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80" w:hanging="459"/>
        <w:spacing w:after="0" w:line="236" w:lineRule="auto"/>
        <w:tabs>
          <w:tab w:leader="none" w:pos="480" w:val="left"/>
        </w:tabs>
        <w:numPr>
          <w:ilvl w:val="0"/>
          <w:numId w:val="1"/>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rFonts w:ascii="MS PGothic" w:cs="MS PGothic" w:eastAsia="MS PGothic" w:hAnsi="MS PGothic"/>
          <w:sz w:val="32"/>
          <w:szCs w:val="32"/>
          <w:color w:val="auto"/>
          <w:highlight w:val="black"/>
          <w:vertAlign w:val="superscript"/>
        </w:rPr>
      </w:pPr>
    </w:p>
    <w:p>
      <w:pPr>
        <w:ind w:left="3920"/>
        <w:spacing w:after="0"/>
        <w:rPr>
          <w:rFonts w:ascii="MS PGothic" w:cs="MS PGothic" w:eastAsia="MS PGothic" w:hAnsi="MS PGothic"/>
          <w:sz w:val="32"/>
          <w:szCs w:val="32"/>
          <w:color w:val="auto"/>
          <w:highlight w:val="black"/>
          <w:vertAlign w:val="superscript"/>
        </w:rPr>
      </w:pPr>
      <w:r>
        <w:rPr>
          <w:rFonts w:ascii="Arial" w:cs="Arial" w:eastAsia="Arial" w:hAnsi="Arial"/>
          <w:sz w:val="18"/>
          <w:szCs w:val="18"/>
          <w:b w:val="1"/>
          <w:bCs w:val="1"/>
          <w:color w:val="auto"/>
        </w:rPr>
        <w:t>For the fiscal year ended December 31, 2021</w:t>
      </w:r>
    </w:p>
    <w:p>
      <w:pPr>
        <w:spacing w:after="0" w:line="29" w:lineRule="exact"/>
        <w:rPr>
          <w:rFonts w:ascii="MS PGothic" w:cs="MS PGothic" w:eastAsia="MS PGothic" w:hAnsi="MS PGothic"/>
          <w:sz w:val="32"/>
          <w:szCs w:val="32"/>
          <w:color w:val="auto"/>
          <w:highlight w:val="black"/>
          <w:vertAlign w:val="superscript"/>
        </w:rPr>
      </w:pPr>
    </w:p>
    <w:p>
      <w:pPr>
        <w:ind w:left="5460"/>
        <w:spacing w:after="0"/>
        <w:rPr>
          <w:rFonts w:ascii="MS PGothic" w:cs="MS PGothic" w:eastAsia="MS PGothic" w:hAnsi="MS PGothic"/>
          <w:sz w:val="32"/>
          <w:szCs w:val="32"/>
          <w:color w:val="auto"/>
          <w:highlight w:val="black"/>
          <w:vertAlign w:val="superscript"/>
        </w:rPr>
      </w:pPr>
      <w:r>
        <w:rPr>
          <w:rFonts w:ascii="Arial" w:cs="Arial" w:eastAsia="Arial" w:hAnsi="Arial"/>
          <w:sz w:val="18"/>
          <w:szCs w:val="18"/>
          <w:b w:val="1"/>
          <w:bCs w:val="1"/>
          <w:color w:val="auto"/>
        </w:rPr>
        <w:t>OR</w:t>
      </w:r>
    </w:p>
    <w:p>
      <w:pPr>
        <w:ind w:left="480" w:hanging="459"/>
        <w:spacing w:after="0" w:line="228" w:lineRule="auto"/>
        <w:tabs>
          <w:tab w:leader="none" w:pos="480" w:val="left"/>
        </w:tabs>
        <w:numPr>
          <w:ilvl w:val="0"/>
          <w:numId w:val="2"/>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tbl>
      <w:tblPr>
        <w:tblLayout w:type="fixed"/>
        <w:tblInd w:w="4320" w:type="dxa"/>
        <w:tblCellMar>
          <w:top w:w="0" w:type="dxa"/>
          <w:left w:w="0" w:type="dxa"/>
          <w:bottom w:w="0" w:type="dxa"/>
          <w:right w:w="0" w:type="dxa"/>
        </w:tblCellMar>
      </w:tblPr>
      <w:tr>
        <w:trPr>
          <w:trHeight w:val="198"/>
        </w:trPr>
        <w:tc>
          <w:tcPr>
            <w:tcW w:w="18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5"/>
                <w:szCs w:val="15"/>
                <w:b w:val="1"/>
                <w:bCs w:val="1"/>
                <w:color w:val="auto"/>
                <w:w w:val="70"/>
              </w:rPr>
              <w:t>to</w:t>
            </w:r>
          </w:p>
        </w:tc>
      </w:tr>
      <w:tr>
        <w:trPr>
          <w:trHeight w:val="210"/>
        </w:trPr>
        <w:tc>
          <w:tcPr>
            <w:tcW w:w="2620" w:type="dxa"/>
            <w:vAlign w:val="bottom"/>
            <w:gridSpan w:val="3"/>
          </w:tcPr>
          <w:p>
            <w:pPr>
              <w:spacing w:after="0"/>
              <w:rPr>
                <w:sz w:val="20"/>
                <w:szCs w:val="20"/>
                <w:color w:val="auto"/>
              </w:rPr>
            </w:pPr>
            <w:r>
              <w:rPr>
                <w:rFonts w:ascii="Arial" w:cs="Arial" w:eastAsia="Arial" w:hAnsi="Arial"/>
                <w:sz w:val="16"/>
                <w:szCs w:val="16"/>
                <w:b w:val="1"/>
                <w:bCs w:val="1"/>
                <w:color w:val="auto"/>
                <w:w w:val="93"/>
              </w:rPr>
              <w:t>Commission File Number: 001-39269</w:t>
            </w:r>
          </w:p>
        </w:tc>
        <w:tc>
          <w:tcPr>
            <w:tcW w:w="160" w:type="dxa"/>
            <w:vAlign w:val="bottom"/>
          </w:tcPr>
          <w:p>
            <w:pPr>
              <w:spacing w:after="0"/>
              <w:rPr>
                <w:sz w:val="18"/>
                <w:szCs w:val="18"/>
                <w:color w:val="auto"/>
              </w:rPr>
            </w:pPr>
          </w:p>
        </w:tc>
      </w:tr>
      <w:tr>
        <w:trPr>
          <w:trHeight w:val="60"/>
        </w:trPr>
        <w:tc>
          <w:tcPr>
            <w:tcW w:w="18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tbl>
      <w:tblPr>
        <w:tblLayout w:type="fixed"/>
        <w:tblInd w:w="1160" w:type="dxa"/>
        <w:tblCellMar>
          <w:top w:w="0" w:type="dxa"/>
          <w:left w:w="0" w:type="dxa"/>
          <w:bottom w:w="0" w:type="dxa"/>
          <w:right w:w="0" w:type="dxa"/>
        </w:tblCellMar>
      </w:tblPr>
      <w:tr>
        <w:trPr>
          <w:trHeight w:val="207"/>
        </w:trPr>
        <w:tc>
          <w:tcPr>
            <w:tcW w:w="4800" w:type="dxa"/>
            <w:vAlign w:val="bottom"/>
          </w:tcPr>
          <w:p>
            <w:pPr>
              <w:jc w:val="center"/>
              <w:ind w:right="1448"/>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533"/>
              <w:spacing w:after="0"/>
              <w:rPr>
                <w:sz w:val="20"/>
                <w:szCs w:val="20"/>
                <w:color w:val="auto"/>
              </w:rPr>
            </w:pPr>
            <w:r>
              <w:rPr>
                <w:rFonts w:ascii="Arial" w:cs="Arial" w:eastAsia="Arial" w:hAnsi="Arial"/>
                <w:sz w:val="14"/>
                <w:szCs w:val="14"/>
                <w:b w:val="1"/>
                <w:bCs w:val="1"/>
                <w:color w:val="auto"/>
              </w:rPr>
              <w:t>47-1787157</w:t>
            </w:r>
          </w:p>
        </w:tc>
      </w:tr>
      <w:tr>
        <w:trPr>
          <w:trHeight w:val="164"/>
        </w:trPr>
        <w:tc>
          <w:tcPr>
            <w:tcW w:w="4800" w:type="dxa"/>
            <w:vAlign w:val="bottom"/>
          </w:tcPr>
          <w:p>
            <w:pPr>
              <w:jc w:val="center"/>
              <w:ind w:right="146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60" w:type="dxa"/>
            <w:vAlign w:val="bottom"/>
          </w:tcPr>
          <w:p>
            <w:pPr>
              <w:jc w:val="center"/>
              <w:ind w:left="147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17"/>
        </w:trPr>
        <w:tc>
          <w:tcPr>
            <w:tcW w:w="4800" w:type="dxa"/>
            <w:vAlign w:val="bottom"/>
          </w:tcPr>
          <w:p>
            <w:pPr>
              <w:jc w:val="center"/>
              <w:ind w:right="1468"/>
              <w:spacing w:after="0"/>
              <w:rPr>
                <w:sz w:val="20"/>
                <w:szCs w:val="20"/>
                <w:color w:val="auto"/>
              </w:rPr>
            </w:pPr>
            <w:r>
              <w:rPr>
                <w:rFonts w:ascii="Arial" w:cs="Arial" w:eastAsia="Arial" w:hAnsi="Arial"/>
                <w:sz w:val="14"/>
                <w:szCs w:val="14"/>
                <w:b w:val="1"/>
                <w:bCs w:val="1"/>
                <w:color w:val="auto"/>
                <w:w w:val="95"/>
              </w:rPr>
              <w:t>240 E. Grand Ave, 2nd Floor</w:t>
            </w:r>
          </w:p>
        </w:tc>
        <w:tc>
          <w:tcPr>
            <w:tcW w:w="3460" w:type="dxa"/>
            <w:vAlign w:val="bottom"/>
          </w:tcPr>
          <w:p>
            <w:pPr>
              <w:spacing w:after="0"/>
              <w:rPr>
                <w:sz w:val="24"/>
                <w:szCs w:val="24"/>
                <w:color w:val="auto"/>
              </w:rPr>
            </w:pPr>
          </w:p>
        </w:tc>
      </w:tr>
      <w:tr>
        <w:trPr>
          <w:trHeight w:val="180"/>
        </w:trPr>
        <w:tc>
          <w:tcPr>
            <w:tcW w:w="4800" w:type="dxa"/>
            <w:vAlign w:val="bottom"/>
          </w:tcPr>
          <w:p>
            <w:pPr>
              <w:jc w:val="center"/>
              <w:ind w:right="1468"/>
              <w:spacing w:after="0"/>
              <w:rPr>
                <w:sz w:val="20"/>
                <w:szCs w:val="20"/>
                <w:color w:val="auto"/>
              </w:rPr>
            </w:pPr>
            <w:r>
              <w:rPr>
                <w:rFonts w:ascii="Arial" w:cs="Arial" w:eastAsia="Arial" w:hAnsi="Arial"/>
                <w:sz w:val="14"/>
                <w:szCs w:val="14"/>
                <w:b w:val="1"/>
                <w:bCs w:val="1"/>
                <w:color w:val="auto"/>
                <w:w w:val="92"/>
              </w:rPr>
              <w:t>South San Francisco, CA</w:t>
            </w:r>
          </w:p>
        </w:tc>
        <w:tc>
          <w:tcPr>
            <w:tcW w:w="3460" w:type="dxa"/>
            <w:vAlign w:val="bottom"/>
          </w:tcPr>
          <w:p>
            <w:pPr>
              <w:jc w:val="right"/>
              <w:ind w:right="713"/>
              <w:spacing w:after="0"/>
              <w:rPr>
                <w:sz w:val="20"/>
                <w:szCs w:val="20"/>
                <w:color w:val="auto"/>
              </w:rPr>
            </w:pPr>
            <w:r>
              <w:rPr>
                <w:rFonts w:ascii="Arial" w:cs="Arial" w:eastAsia="Arial" w:hAnsi="Arial"/>
                <w:sz w:val="14"/>
                <w:szCs w:val="14"/>
                <w:b w:val="1"/>
                <w:bCs w:val="1"/>
                <w:color w:val="auto"/>
              </w:rPr>
              <w:t>94080</w:t>
            </w:r>
          </w:p>
        </w:tc>
      </w:tr>
      <w:tr>
        <w:trPr>
          <w:trHeight w:val="164"/>
        </w:trPr>
        <w:tc>
          <w:tcPr>
            <w:tcW w:w="4800" w:type="dxa"/>
            <w:vAlign w:val="bottom"/>
          </w:tcPr>
          <w:p>
            <w:pPr>
              <w:jc w:val="center"/>
              <w:ind w:right="146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460" w:type="dxa"/>
            <w:vAlign w:val="bottom"/>
          </w:tcPr>
          <w:p>
            <w:pPr>
              <w:jc w:val="center"/>
              <w:ind w:left="1493"/>
              <w:spacing w:after="0"/>
              <w:rPr>
                <w:sz w:val="20"/>
                <w:szCs w:val="20"/>
                <w:color w:val="auto"/>
              </w:rPr>
            </w:pPr>
            <w:r>
              <w:rPr>
                <w:rFonts w:ascii="Arial" w:cs="Arial" w:eastAsia="Arial" w:hAnsi="Arial"/>
                <w:sz w:val="13"/>
                <w:szCs w:val="13"/>
                <w:b w:val="1"/>
                <w:bCs w:val="1"/>
                <w:color w:val="auto"/>
                <w:w w:val="90"/>
              </w:rPr>
              <w:t>(Zip Code)</w:t>
            </w:r>
          </w:p>
        </w:tc>
      </w:tr>
    </w:tbl>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(650) 388-5600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ind w:left="520"/>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6"/>
                <w:szCs w:val="16"/>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ind w:left="520" w:right="3080"/>
        <w:spacing w:after="0" w:line="21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80" w:firstLine="50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0" w:firstLine="509"/>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44"/>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58" w:lineRule="exact"/>
        <w:rPr>
          <w:sz w:val="24"/>
          <w:szCs w:val="24"/>
          <w:color w:val="auto"/>
        </w:rPr>
      </w:pPr>
    </w:p>
    <w:p>
      <w:pPr>
        <w:ind w:right="6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0" w:firstLine="509"/>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ind w:right="80" w:firstLine="509"/>
        <w:spacing w:after="0" w:line="271"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2021 (the last day of the registrant’s most recently completed second fiscal quarter) was $521.6 million.</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registrant’s Common Stock outstanding as of March 16, 2022 was 39,434,149.</w:t>
      </w:r>
    </w:p>
    <w:p>
      <w:pPr>
        <w:spacing w:after="0" w:line="28" w:lineRule="exact"/>
        <w:rPr>
          <w:sz w:val="24"/>
          <w:szCs w:val="24"/>
          <w:color w:val="auto"/>
        </w:rPr>
      </w:pPr>
    </w:p>
    <w:p>
      <w:pPr>
        <w:jc w:val="both"/>
        <w:ind w:right="140" w:firstLine="509"/>
        <w:spacing w:after="0" w:line="257" w:lineRule="auto"/>
        <w:rPr>
          <w:sz w:val="20"/>
          <w:szCs w:val="20"/>
          <w:color w:val="auto"/>
        </w:rPr>
      </w:pPr>
      <w:r>
        <w:rPr>
          <w:rFonts w:ascii="Arial" w:cs="Arial" w:eastAsia="Arial" w:hAnsi="Arial"/>
          <w:sz w:val="14"/>
          <w:szCs w:val="14"/>
          <w:color w:val="auto"/>
        </w:rPr>
        <w:t>Portions of the Registrant’s Definitive Proxy Statement relating to the Registrant’s Annual Meeting of Shareholders are incorporated by reference into Part III of this Annual Report on Form 10-K where indicated. Such Definitive Proxy Statement will be filed with the Securities and Exchange Commission within 120 days after the end of the registrant’s 2021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6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ind w:left="120"/>
              <w:spacing w:after="0"/>
              <w:rPr>
                <w:sz w:val="20"/>
                <w:szCs w:val="20"/>
                <w:color w:val="auto"/>
              </w:rPr>
            </w:pPr>
            <w:r>
              <w:rPr>
                <w:rFonts w:ascii="Arial" w:cs="Arial" w:eastAsia="Arial" w:hAnsi="Arial"/>
                <w:sz w:val="18"/>
                <w:szCs w:val="18"/>
                <w:color w:val="auto"/>
              </w:rPr>
              <w:t>Item 1.</w:t>
            </w:r>
          </w:p>
        </w:tc>
        <w:tc>
          <w:tcPr>
            <w:tcW w:w="81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Business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100" w:type="dxa"/>
            <w:vAlign w:val="bottom"/>
            <w:gridSpan w:val="19"/>
          </w:tcPr>
          <w:p>
            <w:pPr>
              <w:spacing w:after="0" w:line="183" w:lineRule="exact"/>
              <w:rPr>
                <w:rFonts w:ascii="Arial" w:cs="Arial" w:eastAsia="Arial" w:hAnsi="Arial"/>
                <w:sz w:val="16"/>
                <w:szCs w:val="16"/>
                <w:color w:val="0563C1"/>
              </w:rPr>
            </w:pPr>
            <w:hyperlink w:anchor="page41">
              <w:r>
                <w:rPr>
                  <w:rFonts w:ascii="Arial" w:cs="Arial" w:eastAsia="Arial" w:hAnsi="Arial"/>
                  <w:sz w:val="16"/>
                  <w:szCs w:val="16"/>
                  <w:color w:val="0563C1"/>
                </w:rPr>
                <w:t xml:space="preserve">Risk </w:t>
              </w:r>
              <w:r>
                <w:rPr>
                  <w:rFonts w:ascii="Arial" w:cs="Arial" w:eastAsia="Arial" w:hAnsi="Arial"/>
                  <w:sz w:val="17"/>
                  <w:szCs w:val="17"/>
                  <w:color w:val="0563C1"/>
                </w:rPr>
                <w:t>Factors</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1B.</w:t>
            </w:r>
          </w:p>
        </w:tc>
        <w:tc>
          <w:tcPr>
            <w:tcW w:w="880" w:type="dxa"/>
            <w:vAlign w:val="bottom"/>
            <w:tcBorders>
              <w:top w:val="single" w:sz="8" w:color="0563C1"/>
            </w:tcBorders>
            <w:gridSpan w:val="4"/>
          </w:tcPr>
          <w:p>
            <w:pPr>
              <w:spacing w:after="0" w:line="182" w:lineRule="exact"/>
              <w:rPr>
                <w:rFonts w:ascii="Arial" w:cs="Arial" w:eastAsia="Arial" w:hAnsi="Arial"/>
                <w:sz w:val="18"/>
                <w:szCs w:val="18"/>
                <w:color w:val="0563C1"/>
                <w:w w:val="94"/>
              </w:rPr>
            </w:pPr>
            <w:hyperlink w:anchor="page92">
              <w:r>
                <w:rPr>
                  <w:rFonts w:ascii="Arial" w:cs="Arial" w:eastAsia="Arial" w:hAnsi="Arial"/>
                  <w:sz w:val="18"/>
                  <w:szCs w:val="18"/>
                  <w:color w:val="0563C1"/>
                  <w:w w:val="94"/>
                </w:rPr>
                <w:t>Unresolved</w:t>
              </w:r>
            </w:hyperlink>
          </w:p>
        </w:tc>
        <w:tc>
          <w:tcPr>
            <w:tcW w:w="7220" w:type="dxa"/>
            <w:vAlign w:val="bottom"/>
            <w:gridSpan w:val="15"/>
          </w:tcPr>
          <w:p>
            <w:pPr>
              <w:spacing w:after="0" w:line="182" w:lineRule="exact"/>
              <w:rPr>
                <w:rFonts w:ascii="Arial" w:cs="Arial" w:eastAsia="Arial" w:hAnsi="Arial"/>
                <w:sz w:val="18"/>
                <w:szCs w:val="18"/>
                <w:color w:val="0563C1"/>
              </w:rPr>
            </w:pPr>
            <w:hyperlink w:anchor="page92">
              <w:r>
                <w:rPr>
                  <w:rFonts w:ascii="Arial" w:cs="Arial" w:eastAsia="Arial" w:hAnsi="Arial"/>
                  <w:sz w:val="18"/>
                  <w:szCs w:val="18"/>
                  <w:color w:val="0563C1"/>
                </w:rPr>
                <w:t>Staff Comments</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563C1"/>
              <w:bottom w:val="single" w:sz="8" w:color="0563C1"/>
            </w:tcBorders>
            <w:gridSpan w:val="3"/>
          </w:tcPr>
          <w:p>
            <w:pPr>
              <w:spacing w:after="0" w:line="182" w:lineRule="exact"/>
              <w:rPr>
                <w:rFonts w:ascii="Arial" w:cs="Arial" w:eastAsia="Arial" w:hAnsi="Arial"/>
                <w:sz w:val="18"/>
                <w:szCs w:val="18"/>
                <w:color w:val="0563C1"/>
                <w:w w:val="87"/>
              </w:rPr>
            </w:pPr>
            <w:hyperlink w:anchor="page92">
              <w:r>
                <w:rPr>
                  <w:rFonts w:ascii="Arial" w:cs="Arial" w:eastAsia="Arial" w:hAnsi="Arial"/>
                  <w:sz w:val="18"/>
                  <w:szCs w:val="18"/>
                  <w:color w:val="0563C1"/>
                  <w:w w:val="87"/>
                </w:rPr>
                <w:t>Properties</w:t>
              </w:r>
            </w:hyperlink>
          </w:p>
        </w:tc>
        <w:tc>
          <w:tcPr>
            <w:tcW w:w="1320" w:type="dxa"/>
            <w:vAlign w:val="bottom"/>
            <w:tcBorders>
              <w:top w:val="single" w:sz="8" w:color="0563C1"/>
            </w:tcBorders>
            <w:gridSpan w:val="5"/>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3.</w:t>
            </w:r>
          </w:p>
        </w:tc>
        <w:tc>
          <w:tcPr>
            <w:tcW w:w="8100" w:type="dxa"/>
            <w:vAlign w:val="bottom"/>
            <w:gridSpan w:val="19"/>
          </w:tcPr>
          <w:p>
            <w:pPr>
              <w:spacing w:after="0" w:line="182" w:lineRule="exact"/>
              <w:rPr>
                <w:rFonts w:ascii="Arial" w:cs="Arial" w:eastAsia="Arial" w:hAnsi="Arial"/>
                <w:sz w:val="18"/>
                <w:szCs w:val="18"/>
                <w:color w:val="0563C1"/>
              </w:rPr>
            </w:pPr>
            <w:hyperlink w:anchor="page92">
              <w:r>
                <w:rPr>
                  <w:rFonts w:ascii="Arial" w:cs="Arial" w:eastAsia="Arial" w:hAnsi="Arial"/>
                  <w:sz w:val="18"/>
                  <w:szCs w:val="18"/>
                  <w:color w:val="0563C1"/>
                </w:rPr>
                <w:t>Legal Proceedings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4.</w:t>
            </w:r>
          </w:p>
        </w:tc>
        <w:tc>
          <w:tcPr>
            <w:tcW w:w="680" w:type="dxa"/>
            <w:vAlign w:val="bottom"/>
            <w:gridSpan w:val="2"/>
            <w:shd w:val="clear" w:color="auto" w:fill="0563C1"/>
          </w:tcPr>
          <w:p>
            <w:pPr>
              <w:spacing w:after="0" w:line="20" w:lineRule="exact"/>
              <w:rPr>
                <w:sz w:val="1"/>
                <w:szCs w:val="1"/>
                <w:color w:val="auto"/>
              </w:rPr>
            </w:pPr>
          </w:p>
        </w:tc>
        <w:tc>
          <w:tcPr>
            <w:tcW w:w="640" w:type="dxa"/>
            <w:vAlign w:val="bottom"/>
            <w:gridSpan w:val="3"/>
            <w:shd w:val="clear" w:color="auto" w:fill="0563C1"/>
          </w:tcPr>
          <w:p>
            <w:pPr>
              <w:spacing w:after="0" w:line="20" w:lineRule="exact"/>
              <w:rPr>
                <w:sz w:val="1"/>
                <w:szCs w:val="1"/>
                <w:color w:val="auto"/>
              </w:rPr>
            </w:pPr>
          </w:p>
        </w:tc>
        <w:tc>
          <w:tcPr>
            <w:tcW w:w="46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100" w:type="dxa"/>
            <w:vAlign w:val="bottom"/>
            <w:gridSpan w:val="19"/>
          </w:tcPr>
          <w:p>
            <w:pPr>
              <w:spacing w:after="0" w:line="182" w:lineRule="exact"/>
              <w:rPr>
                <w:rFonts w:ascii="Arial" w:cs="Arial" w:eastAsia="Arial" w:hAnsi="Arial"/>
                <w:sz w:val="18"/>
                <w:szCs w:val="18"/>
                <w:color w:val="0563C1"/>
              </w:rPr>
            </w:pPr>
            <w:hyperlink w:anchor="page92">
              <w:r>
                <w:rPr>
                  <w:rFonts w:ascii="Arial" w:cs="Arial" w:eastAsia="Arial" w:hAnsi="Arial"/>
                  <w:sz w:val="18"/>
                  <w:szCs w:val="18"/>
                  <w:color w:val="0563C1"/>
                </w:rPr>
                <w:t>Mine Safety Disclosures</w:t>
              </w:r>
            </w:hyperlink>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8100" w:type="dxa"/>
            <w:vAlign w:val="bottom"/>
            <w:gridSpan w:val="19"/>
          </w:tcPr>
          <w:p>
            <w:pPr>
              <w:spacing w:after="0" w:line="190" w:lineRule="exact"/>
              <w:rPr>
                <w:rFonts w:ascii="Arial" w:cs="Arial" w:eastAsia="Arial" w:hAnsi="Arial"/>
                <w:sz w:val="18"/>
                <w:szCs w:val="18"/>
                <w:color w:val="0563C1"/>
                <w:w w:val="90"/>
              </w:rPr>
            </w:pPr>
            <w:hyperlink w:anchor="page93">
              <w:r>
                <w:rPr>
                  <w:rFonts w:ascii="Arial" w:cs="Arial" w:eastAsia="Arial" w:hAnsi="Arial"/>
                  <w:sz w:val="18"/>
                  <w:szCs w:val="18"/>
                  <w:color w:val="0563C1"/>
                  <w:w w:val="90"/>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563C1"/>
              <w:bottom w:val="single" w:sz="8" w:color="0563C1"/>
            </w:tcBorders>
            <w:gridSpan w:val="2"/>
          </w:tcPr>
          <w:p>
            <w:pPr>
              <w:spacing w:after="0" w:line="182" w:lineRule="exact"/>
              <w:rPr>
                <w:rFonts w:ascii="Arial" w:cs="Arial" w:eastAsia="Arial" w:hAnsi="Arial"/>
                <w:sz w:val="18"/>
                <w:szCs w:val="18"/>
                <w:color w:val="0563C1"/>
                <w:w w:val="85"/>
              </w:rPr>
            </w:pPr>
            <w:hyperlink w:anchor="page95">
              <w:r>
                <w:rPr>
                  <w:rFonts w:ascii="Arial" w:cs="Arial" w:eastAsia="Arial" w:hAnsi="Arial"/>
                  <w:sz w:val="18"/>
                  <w:szCs w:val="18"/>
                  <w:color w:val="0563C1"/>
                  <w:w w:val="85"/>
                </w:rPr>
                <w:t>Reserved</w:t>
              </w:r>
            </w:hyperlink>
          </w:p>
        </w:tc>
        <w:tc>
          <w:tcPr>
            <w:tcW w:w="7400" w:type="dxa"/>
            <w:vAlign w:val="bottom"/>
            <w:tcBorders>
              <w:top w:val="single" w:sz="8" w:color="0563C1"/>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7.</w:t>
            </w:r>
          </w:p>
        </w:tc>
        <w:tc>
          <w:tcPr>
            <w:tcW w:w="8100" w:type="dxa"/>
            <w:vAlign w:val="bottom"/>
            <w:gridSpan w:val="19"/>
          </w:tcPr>
          <w:p>
            <w:pPr>
              <w:spacing w:after="0" w:line="182" w:lineRule="exact"/>
              <w:rPr>
                <w:rFonts w:ascii="Arial" w:cs="Arial" w:eastAsia="Arial" w:hAnsi="Arial"/>
                <w:sz w:val="18"/>
                <w:szCs w:val="18"/>
                <w:color w:val="0563C1"/>
              </w:rPr>
            </w:pPr>
            <w:hyperlink w:anchor="page96">
              <w:r>
                <w:rPr>
                  <w:rFonts w:ascii="Arial" w:cs="Arial" w:eastAsia="Arial" w:hAnsi="Arial"/>
                  <w:sz w:val="18"/>
                  <w:szCs w:val="18"/>
                  <w:color w:val="0563C1"/>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563C1"/>
            </w:tcBorders>
            <w:gridSpan w:val="15"/>
          </w:tcPr>
          <w:p>
            <w:pPr>
              <w:spacing w:after="0" w:line="182" w:lineRule="exact"/>
              <w:rPr>
                <w:rFonts w:ascii="Arial" w:cs="Arial" w:eastAsia="Arial" w:hAnsi="Arial"/>
                <w:sz w:val="18"/>
                <w:szCs w:val="18"/>
                <w:color w:val="0563C1"/>
              </w:rPr>
            </w:pPr>
            <w:hyperlink w:anchor="page104">
              <w:r>
                <w:rPr>
                  <w:rFonts w:ascii="Arial" w:cs="Arial" w:eastAsia="Arial" w:hAnsi="Arial"/>
                  <w:sz w:val="18"/>
                  <w:szCs w:val="18"/>
                  <w:color w:val="0563C1"/>
                </w:rPr>
                <w:t>Quantitative and Qualitative Disclosures About Market Risk</w:t>
              </w:r>
            </w:hyperlink>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563C1"/>
            </w:tcBorders>
            <w:gridSpan w:val="12"/>
          </w:tcPr>
          <w:p>
            <w:pPr>
              <w:spacing w:after="0" w:line="182" w:lineRule="exact"/>
              <w:rPr>
                <w:rFonts w:ascii="Arial" w:cs="Arial" w:eastAsia="Arial" w:hAnsi="Arial"/>
                <w:sz w:val="18"/>
                <w:szCs w:val="18"/>
                <w:color w:val="0563C1"/>
              </w:rPr>
            </w:pPr>
            <w:hyperlink w:anchor="page105">
              <w:r>
                <w:rPr>
                  <w:rFonts w:ascii="Arial" w:cs="Arial" w:eastAsia="Arial" w:hAnsi="Arial"/>
                  <w:sz w:val="18"/>
                  <w:szCs w:val="18"/>
                  <w:color w:val="0563C1"/>
                </w:rPr>
                <w:t>Financial Statements and Supplementary Data</w:t>
              </w:r>
            </w:hyperlink>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w:t>
            </w:r>
          </w:p>
        </w:tc>
        <w:tc>
          <w:tcPr>
            <w:tcW w:w="3340" w:type="dxa"/>
            <w:vAlign w:val="bottom"/>
            <w:tcBorders>
              <w:top w:val="single" w:sz="8" w:color="0563C1"/>
            </w:tcBorders>
            <w:gridSpan w:val="10"/>
          </w:tcPr>
          <w:p>
            <w:pPr>
              <w:spacing w:after="0" w:line="182" w:lineRule="exact"/>
              <w:rPr>
                <w:rFonts w:ascii="Arial" w:cs="Arial" w:eastAsia="Arial" w:hAnsi="Arial"/>
                <w:sz w:val="18"/>
                <w:szCs w:val="18"/>
                <w:color w:val="0563C1"/>
                <w:w w:val="84"/>
              </w:rPr>
            </w:pPr>
            <w:hyperlink w:anchor="page124">
              <w:r>
                <w:rPr>
                  <w:rFonts w:ascii="Arial" w:cs="Arial" w:eastAsia="Arial" w:hAnsi="Arial"/>
                  <w:sz w:val="18"/>
                  <w:szCs w:val="18"/>
                  <w:color w:val="0563C1"/>
                  <w:w w:val="84"/>
                </w:rPr>
                <w:t>Changes in and Disagreements with Accountants</w:t>
              </w:r>
            </w:hyperlink>
          </w:p>
        </w:tc>
        <w:tc>
          <w:tcPr>
            <w:tcW w:w="4760" w:type="dxa"/>
            <w:vAlign w:val="bottom"/>
            <w:gridSpan w:val="9"/>
          </w:tcPr>
          <w:p>
            <w:pPr>
              <w:ind w:left="240"/>
              <w:spacing w:after="0" w:line="182" w:lineRule="exact"/>
              <w:rPr>
                <w:rFonts w:ascii="Arial" w:cs="Arial" w:eastAsia="Arial" w:hAnsi="Arial"/>
                <w:sz w:val="18"/>
                <w:szCs w:val="18"/>
                <w:color w:val="0563C1"/>
              </w:rPr>
            </w:pPr>
            <w:hyperlink w:anchor="page124">
              <w:r>
                <w:rPr>
                  <w:rFonts w:ascii="Arial" w:cs="Arial" w:eastAsia="Arial" w:hAnsi="Arial"/>
                  <w:sz w:val="18"/>
                  <w:szCs w:val="18"/>
                  <w:color w:val="0563C1"/>
                </w:rPr>
                <w:t>on Accounting and Financial Disclosure</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563C1"/>
            </w:tcBorders>
            <w:gridSpan w:val="16"/>
          </w:tcPr>
          <w:p>
            <w:pPr>
              <w:spacing w:after="0" w:line="182" w:lineRule="exact"/>
              <w:rPr>
                <w:rFonts w:ascii="Arial" w:cs="Arial" w:eastAsia="Arial" w:hAnsi="Arial"/>
                <w:sz w:val="18"/>
                <w:szCs w:val="18"/>
                <w:color w:val="0563C1"/>
              </w:rPr>
            </w:pPr>
            <w:hyperlink w:anchor="page124">
              <w:r>
                <w:rPr>
                  <w:rFonts w:ascii="Arial" w:cs="Arial" w:eastAsia="Arial" w:hAnsi="Arial"/>
                  <w:sz w:val="18"/>
                  <w:szCs w:val="18"/>
                  <w:color w:val="0563C1"/>
                </w:rPr>
                <w:t>Controls and Procedures</w:t>
              </w:r>
            </w:hyperlink>
          </w:p>
        </w:tc>
        <w:tc>
          <w:tcPr>
            <w:tcW w:w="8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563C1"/>
            </w:tcBorders>
            <w:gridSpan w:val="6"/>
          </w:tcPr>
          <w:p>
            <w:pPr>
              <w:spacing w:after="0" w:line="182" w:lineRule="exact"/>
              <w:rPr>
                <w:rFonts w:ascii="Arial" w:cs="Arial" w:eastAsia="Arial" w:hAnsi="Arial"/>
                <w:sz w:val="18"/>
                <w:szCs w:val="18"/>
                <w:color w:val="0563C1"/>
              </w:rPr>
            </w:pPr>
            <w:hyperlink w:anchor="page124">
              <w:r>
                <w:rPr>
                  <w:rFonts w:ascii="Arial" w:cs="Arial" w:eastAsia="Arial" w:hAnsi="Arial"/>
                  <w:sz w:val="18"/>
                  <w:szCs w:val="18"/>
                  <w:color w:val="0563C1"/>
                </w:rPr>
                <w:t>Other Information</w:t>
              </w:r>
            </w:hyperlink>
          </w:p>
        </w:tc>
        <w:tc>
          <w:tcPr>
            <w:tcW w:w="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1320" w:type="dxa"/>
            <w:vAlign w:val="bottom"/>
            <w:gridSpan w:val="5"/>
            <w:shd w:val="clear" w:color="auto" w:fill="0563C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100" w:type="dxa"/>
            <w:vAlign w:val="bottom"/>
            <w:gridSpan w:val="19"/>
          </w:tcPr>
          <w:p>
            <w:pPr>
              <w:spacing w:after="0" w:line="182" w:lineRule="exact"/>
              <w:rPr>
                <w:rFonts w:ascii="Arial" w:cs="Arial" w:eastAsia="Arial" w:hAnsi="Arial"/>
                <w:sz w:val="18"/>
                <w:szCs w:val="18"/>
                <w:color w:val="0563C1"/>
              </w:rPr>
            </w:pPr>
            <w:hyperlink w:anchor="page124">
              <w:r>
                <w:rPr>
                  <w:rFonts w:ascii="Arial" w:cs="Arial" w:eastAsia="Arial" w:hAnsi="Arial"/>
                  <w:sz w:val="18"/>
                  <w:szCs w:val="18"/>
                  <w:color w:val="0563C1"/>
                </w:rPr>
                <w:t>Disclosure Regarding Foreign Jurisdictions That Prevent Inspections</w:t>
              </w:r>
            </w:hyperlink>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8100" w:type="dxa"/>
            <w:vAlign w:val="bottom"/>
            <w:gridSpan w:val="19"/>
          </w:tcPr>
          <w:p>
            <w:pPr>
              <w:spacing w:after="0" w:line="190" w:lineRule="exact"/>
              <w:rPr>
                <w:rFonts w:ascii="Arial" w:cs="Arial" w:eastAsia="Arial" w:hAnsi="Arial"/>
                <w:sz w:val="18"/>
                <w:szCs w:val="18"/>
                <w:color w:val="0563C1"/>
              </w:rPr>
            </w:pPr>
            <w:hyperlink w:anchor="page125">
              <w:r>
                <w:rPr>
                  <w:rFonts w:ascii="Arial" w:cs="Arial" w:eastAsia="Arial" w:hAnsi="Arial"/>
                  <w:sz w:val="18"/>
                  <w:szCs w:val="18"/>
                  <w:color w:val="0563C1"/>
                </w:rPr>
                <w:t>Directors, Executive Officers and Corporate Governance</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563C1"/>
            </w:tcBorders>
            <w:gridSpan w:val="11"/>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Executive Compensation</w:t>
              </w:r>
            </w:hyperlink>
          </w:p>
        </w:tc>
        <w:tc>
          <w:tcPr>
            <w:tcW w:w="1360" w:type="dxa"/>
            <w:vAlign w:val="bottom"/>
            <w:gridSpan w:val="3"/>
          </w:tcPr>
          <w:p>
            <w:pPr>
              <w:spacing w:after="0"/>
              <w:rPr>
                <w:sz w:val="15"/>
                <w:szCs w:val="15"/>
                <w:color w:val="auto"/>
              </w:rPr>
            </w:pPr>
          </w:p>
        </w:tc>
        <w:tc>
          <w:tcPr>
            <w:tcW w:w="1840" w:type="dxa"/>
            <w:vAlign w:val="bottom"/>
            <w:gridSpan w:val="3"/>
          </w:tcPr>
          <w:p>
            <w:pPr>
              <w:spacing w:after="0"/>
              <w:rPr>
                <w:sz w:val="15"/>
                <w:szCs w:val="15"/>
                <w:color w:val="auto"/>
              </w:rPr>
            </w:pPr>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12.</w:t>
            </w:r>
          </w:p>
        </w:tc>
        <w:tc>
          <w:tcPr>
            <w:tcW w:w="1820" w:type="dxa"/>
            <w:vAlign w:val="bottom"/>
            <w:tcBorders>
              <w:top w:val="single" w:sz="8" w:color="0563C1"/>
            </w:tcBorders>
            <w:gridSpan w:val="7"/>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Security Ownership of</w:t>
              </w:r>
            </w:hyperlink>
          </w:p>
        </w:tc>
        <w:tc>
          <w:tcPr>
            <w:tcW w:w="6280" w:type="dxa"/>
            <w:vAlign w:val="bottom"/>
            <w:gridSpan w:val="12"/>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Certain Beneficial Owners and Management and Related Stockholder Matters</w:t>
              </w:r>
            </w:hyperlink>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563C1"/>
            </w:tcBorders>
            <w:gridSpan w:val="17"/>
          </w:tcPr>
          <w:p>
            <w:pPr>
              <w:spacing w:after="0" w:line="182" w:lineRule="exact"/>
              <w:rPr>
                <w:rFonts w:ascii="Arial" w:cs="Arial" w:eastAsia="Arial" w:hAnsi="Arial"/>
                <w:sz w:val="18"/>
                <w:szCs w:val="18"/>
                <w:color w:val="0563C1"/>
              </w:rPr>
            </w:pPr>
            <w:hyperlink w:anchor="page125">
              <w:r>
                <w:rPr>
                  <w:rFonts w:ascii="Arial" w:cs="Arial" w:eastAsia="Arial" w:hAnsi="Arial"/>
                  <w:sz w:val="18"/>
                  <w:szCs w:val="18"/>
                  <w:color w:val="0563C1"/>
                </w:rPr>
                <w:t>Certain Relationships and Related Transactions, and Director Independence</w:t>
              </w:r>
            </w:hyperlink>
          </w:p>
        </w:tc>
        <w:tc>
          <w:tcPr>
            <w:tcW w:w="8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14.</w:t>
            </w:r>
          </w:p>
        </w:tc>
        <w:tc>
          <w:tcPr>
            <w:tcW w:w="2880" w:type="dxa"/>
            <w:vAlign w:val="bottom"/>
            <w:tcBorders>
              <w:top w:val="single" w:sz="8" w:color="0563C1"/>
              <w:bottom w:val="single" w:sz="8" w:color="0563C1"/>
            </w:tcBorders>
            <w:gridSpan w:val="9"/>
          </w:tcPr>
          <w:p>
            <w:pPr>
              <w:spacing w:after="0" w:line="182" w:lineRule="exact"/>
              <w:rPr>
                <w:rFonts w:ascii="Arial" w:cs="Arial" w:eastAsia="Arial" w:hAnsi="Arial"/>
                <w:sz w:val="18"/>
                <w:szCs w:val="18"/>
                <w:color w:val="0563C1"/>
                <w:w w:val="90"/>
              </w:rPr>
            </w:pPr>
            <w:hyperlink w:anchor="page125">
              <w:r>
                <w:rPr>
                  <w:rFonts w:ascii="Arial" w:cs="Arial" w:eastAsia="Arial" w:hAnsi="Arial"/>
                  <w:sz w:val="18"/>
                  <w:szCs w:val="18"/>
                  <w:color w:val="0563C1"/>
                  <w:w w:val="90"/>
                </w:rPr>
                <w:t>Principal Accounting Fees and Services</w:t>
              </w:r>
            </w:hyperlink>
          </w:p>
        </w:tc>
        <w:tc>
          <w:tcPr>
            <w:tcW w:w="2580" w:type="dxa"/>
            <w:vAlign w:val="bottom"/>
            <w:tcBorders>
              <w:top w:val="single" w:sz="8" w:color="0563C1"/>
            </w:tcBorders>
            <w:gridSpan w:val="5"/>
          </w:tcPr>
          <w:p>
            <w:pPr>
              <w:spacing w:after="0"/>
              <w:rPr>
                <w:sz w:val="15"/>
                <w:szCs w:val="15"/>
                <w:color w:val="auto"/>
              </w:rPr>
            </w:pPr>
          </w:p>
        </w:tc>
        <w:tc>
          <w:tcPr>
            <w:tcW w:w="26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 w:lineRule="exact"/>
        <w:rPr>
          <w:sz w:val="20"/>
          <w:szCs w:val="20"/>
          <w:color w:val="auto"/>
        </w:rPr>
      </w:pPr>
    </w:p>
    <w:p>
      <w:pPr>
        <w:ind w:left="120"/>
        <w:spacing w:after="0"/>
        <w:tabs>
          <w:tab w:leader="none" w:pos="1120" w:val="left"/>
        </w:tabs>
        <w:rPr>
          <w:rFonts w:ascii="Arial" w:cs="Arial" w:eastAsia="Arial" w:hAnsi="Arial"/>
          <w:sz w:val="16"/>
          <w:szCs w:val="16"/>
          <w:u w:val="single" w:color="auto"/>
          <w:color w:val="0563C1"/>
        </w:rPr>
      </w:pPr>
      <w:r>
        <w:rPr>
          <w:rFonts w:ascii="Arial" w:cs="Arial" w:eastAsia="Arial" w:hAnsi="Arial"/>
          <w:sz w:val="18"/>
          <w:szCs w:val="18"/>
          <w:color w:val="auto"/>
        </w:rPr>
        <w:t>Item 15.</w:t>
      </w:r>
      <w:r>
        <w:rPr>
          <w:sz w:val="20"/>
          <w:szCs w:val="20"/>
          <w:color w:val="auto"/>
        </w:rPr>
        <w:tab/>
      </w:r>
      <w:hyperlink w:anchor="page126">
        <w:r>
          <w:rPr>
            <w:rFonts w:ascii="Arial" w:cs="Arial" w:eastAsia="Arial" w:hAnsi="Arial"/>
            <w:sz w:val="16"/>
            <w:szCs w:val="16"/>
            <w:u w:val="single" w:color="auto"/>
            <w:color w:val="0563C1"/>
          </w:rPr>
          <w:t>Exhibits, Financial Statement Schedules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-17780</wp:posOffset>
            </wp:positionV>
            <wp:extent cx="1840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0230" cy="8890"/>
                    </a:xfrm>
                    <a:prstGeom prst="rect">
                      <a:avLst/>
                    </a:prstGeom>
                    <a:noFill/>
                  </pic:spPr>
                </pic:pic>
              </a:graphicData>
            </a:graphic>
          </wp:anchor>
        </w:drawing>
      </w:r>
    </w:p>
    <w:p>
      <w:pPr>
        <w:ind w:left="120"/>
        <w:spacing w:after="0"/>
        <w:tabs>
          <w:tab w:leader="none" w:pos="1120" w:val="left"/>
        </w:tabs>
        <w:rPr>
          <w:rFonts w:ascii="Arial" w:cs="Arial" w:eastAsia="Arial" w:hAnsi="Arial"/>
          <w:sz w:val="16"/>
          <w:szCs w:val="16"/>
          <w:u w:val="single" w:color="auto"/>
          <w:color w:val="0563C1"/>
        </w:rPr>
      </w:pPr>
      <w:r>
        <w:rPr>
          <w:rFonts w:ascii="Arial" w:cs="Arial" w:eastAsia="Arial" w:hAnsi="Arial"/>
          <w:sz w:val="18"/>
          <w:szCs w:val="18"/>
          <w:color w:val="auto"/>
        </w:rPr>
        <w:t>Item 16</w:t>
      </w:r>
      <w:r>
        <w:rPr>
          <w:sz w:val="20"/>
          <w:szCs w:val="20"/>
          <w:color w:val="auto"/>
        </w:rPr>
        <w:tab/>
      </w:r>
      <w:hyperlink w:anchor="page126">
        <w:r>
          <w:rPr>
            <w:rFonts w:ascii="Arial" w:cs="Arial" w:eastAsia="Arial" w:hAnsi="Arial"/>
            <w:sz w:val="16"/>
            <w:szCs w:val="16"/>
            <w:u w:val="single" w:color="auto"/>
            <w:color w:val="0563C1"/>
          </w:rPr>
          <w:t>Form 10-K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-17145</wp:posOffset>
            </wp:positionV>
            <wp:extent cx="983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rPr>
          <w:rFonts w:ascii="Arial" w:cs="Arial" w:eastAsia="Arial" w:hAnsi="Arial"/>
          <w:sz w:val="18"/>
          <w:szCs w:val="18"/>
          <w:u w:val="single" w:color="auto"/>
          <w:color w:val="0563C1"/>
        </w:rPr>
      </w:pPr>
      <w:hyperlink w:anchor="page129">
        <w:r>
          <w:rPr>
            <w:rFonts w:ascii="Arial" w:cs="Arial" w:eastAsia="Arial" w:hAnsi="Arial"/>
            <w:sz w:val="18"/>
            <w:szCs w:val="18"/>
            <w:u w:val="single" w:color="auto"/>
            <w:color w:val="0563C1"/>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698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15240</wp:posOffset>
            </wp:positionV>
            <wp:extent cx="480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jc w:val="right"/>
        <w:spacing w:after="0" w:line="234" w:lineRule="auto"/>
        <w:rPr>
          <w:sz w:val="20"/>
          <w:szCs w:val="20"/>
          <w:color w:val="auto"/>
        </w:rPr>
      </w:pPr>
      <w:r>
        <w:rPr>
          <w:rFonts w:ascii="Arial" w:cs="Arial" w:eastAsia="Arial" w:hAnsi="Arial"/>
          <w:sz w:val="18"/>
          <w:szCs w:val="18"/>
          <w:color w:val="auto"/>
        </w:rPr>
        <w:t>88</w:t>
      </w:r>
    </w:p>
    <w:p>
      <w:pPr>
        <w:jc w:val="right"/>
        <w:spacing w:after="0" w:line="235" w:lineRule="auto"/>
        <w:rPr>
          <w:sz w:val="20"/>
          <w:szCs w:val="20"/>
          <w:color w:val="auto"/>
        </w:rPr>
      </w:pPr>
      <w:r>
        <w:rPr>
          <w:rFonts w:ascii="Arial" w:cs="Arial" w:eastAsia="Arial" w:hAnsi="Arial"/>
          <w:sz w:val="18"/>
          <w:szCs w:val="18"/>
          <w:color w:val="auto"/>
        </w:rPr>
        <w:t>88</w:t>
      </w:r>
    </w:p>
    <w:p>
      <w:pPr>
        <w:jc w:val="right"/>
        <w:spacing w:after="0" w:line="235" w:lineRule="auto"/>
        <w:rPr>
          <w:sz w:val="20"/>
          <w:szCs w:val="20"/>
          <w:color w:val="auto"/>
        </w:rPr>
      </w:pPr>
      <w:r>
        <w:rPr>
          <w:rFonts w:ascii="Arial" w:cs="Arial" w:eastAsia="Arial" w:hAnsi="Arial"/>
          <w:sz w:val="18"/>
          <w:szCs w:val="18"/>
          <w:color w:val="auto"/>
        </w:rPr>
        <w:t>88</w:t>
      </w:r>
    </w:p>
    <w:p>
      <w:pPr>
        <w:jc w:val="right"/>
        <w:spacing w:after="0"/>
        <w:rPr>
          <w:sz w:val="20"/>
          <w:szCs w:val="20"/>
          <w:color w:val="auto"/>
        </w:rPr>
      </w:pPr>
      <w:r>
        <w:rPr>
          <w:rFonts w:ascii="Arial" w:cs="Arial" w:eastAsia="Arial" w:hAnsi="Arial"/>
          <w:sz w:val="18"/>
          <w:szCs w:val="18"/>
          <w:color w:val="auto"/>
        </w:rPr>
        <w:t>88</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jc w:val="right"/>
        <w:spacing w:after="0" w:line="234" w:lineRule="auto"/>
        <w:rPr>
          <w:sz w:val="20"/>
          <w:szCs w:val="20"/>
          <w:color w:val="auto"/>
        </w:rPr>
      </w:pPr>
      <w:r>
        <w:rPr>
          <w:rFonts w:ascii="Arial" w:cs="Arial" w:eastAsia="Arial" w:hAnsi="Arial"/>
          <w:sz w:val="18"/>
          <w:szCs w:val="18"/>
          <w:color w:val="auto"/>
        </w:rPr>
        <w:t>92</w:t>
      </w:r>
    </w:p>
    <w:p>
      <w:pPr>
        <w:jc w:val="right"/>
        <w:spacing w:after="0" w:line="235" w:lineRule="auto"/>
        <w:rPr>
          <w:sz w:val="20"/>
          <w:szCs w:val="20"/>
          <w:color w:val="auto"/>
        </w:rPr>
      </w:pPr>
      <w:r>
        <w:rPr>
          <w:rFonts w:ascii="Arial" w:cs="Arial" w:eastAsia="Arial" w:hAnsi="Arial"/>
          <w:sz w:val="18"/>
          <w:szCs w:val="18"/>
          <w:color w:val="auto"/>
        </w:rPr>
        <w:t>100</w:t>
      </w:r>
    </w:p>
    <w:p>
      <w:pPr>
        <w:jc w:val="right"/>
        <w:spacing w:after="0" w:line="235" w:lineRule="auto"/>
        <w:rPr>
          <w:sz w:val="20"/>
          <w:szCs w:val="20"/>
          <w:color w:val="auto"/>
        </w:rPr>
      </w:pPr>
      <w:r>
        <w:rPr>
          <w:rFonts w:ascii="Arial" w:cs="Arial" w:eastAsia="Arial" w:hAnsi="Arial"/>
          <w:sz w:val="18"/>
          <w:szCs w:val="18"/>
          <w:color w:val="auto"/>
        </w:rPr>
        <w:t>101</w:t>
      </w:r>
    </w:p>
    <w:p>
      <w:pPr>
        <w:jc w:val="right"/>
        <w:spacing w:after="0" w:line="235" w:lineRule="auto"/>
        <w:rPr>
          <w:sz w:val="20"/>
          <w:szCs w:val="20"/>
          <w:color w:val="auto"/>
        </w:rPr>
      </w:pPr>
      <w:r>
        <w:rPr>
          <w:rFonts w:ascii="Arial" w:cs="Arial" w:eastAsia="Arial" w:hAnsi="Arial"/>
          <w:sz w:val="18"/>
          <w:szCs w:val="18"/>
          <w:color w:val="auto"/>
        </w:rPr>
        <w:t>120</w:t>
      </w:r>
    </w:p>
    <w:p>
      <w:pPr>
        <w:jc w:val="right"/>
        <w:spacing w:after="0" w:line="235" w:lineRule="auto"/>
        <w:rPr>
          <w:sz w:val="20"/>
          <w:szCs w:val="20"/>
          <w:color w:val="auto"/>
        </w:rPr>
      </w:pPr>
      <w:r>
        <w:rPr>
          <w:rFonts w:ascii="Arial" w:cs="Arial" w:eastAsia="Arial" w:hAnsi="Arial"/>
          <w:sz w:val="18"/>
          <w:szCs w:val="18"/>
          <w:color w:val="auto"/>
        </w:rPr>
        <w:t>120</w:t>
      </w:r>
    </w:p>
    <w:p>
      <w:pPr>
        <w:jc w:val="right"/>
        <w:spacing w:after="0" w:line="234" w:lineRule="auto"/>
        <w:rPr>
          <w:sz w:val="20"/>
          <w:szCs w:val="20"/>
          <w:color w:val="auto"/>
        </w:rPr>
      </w:pPr>
      <w:r>
        <w:rPr>
          <w:rFonts w:ascii="Arial" w:cs="Arial" w:eastAsia="Arial" w:hAnsi="Arial"/>
          <w:sz w:val="18"/>
          <w:szCs w:val="18"/>
          <w:color w:val="auto"/>
        </w:rPr>
        <w:t>120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jc w:val="right"/>
        <w:spacing w:after="0" w:line="234" w:lineRule="auto"/>
        <w:rPr>
          <w:sz w:val="20"/>
          <w:szCs w:val="20"/>
          <w:color w:val="auto"/>
        </w:rPr>
      </w:pPr>
      <w:r>
        <w:rPr>
          <w:rFonts w:ascii="Arial" w:cs="Arial" w:eastAsia="Arial" w:hAnsi="Arial"/>
          <w:sz w:val="18"/>
          <w:szCs w:val="18"/>
          <w:color w:val="auto"/>
        </w:rPr>
        <w:t>121</w:t>
      </w:r>
    </w:p>
    <w:p>
      <w:pPr>
        <w:jc w:val="right"/>
        <w:spacing w:after="0" w:line="235" w:lineRule="auto"/>
        <w:rPr>
          <w:sz w:val="20"/>
          <w:szCs w:val="20"/>
          <w:color w:val="auto"/>
        </w:rPr>
      </w:pPr>
      <w:r>
        <w:rPr>
          <w:rFonts w:ascii="Arial" w:cs="Arial" w:eastAsia="Arial" w:hAnsi="Arial"/>
          <w:sz w:val="18"/>
          <w:szCs w:val="18"/>
          <w:color w:val="auto"/>
        </w:rPr>
        <w:t>121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jc w:val="right"/>
        <w:spacing w:after="0"/>
        <w:rPr>
          <w:sz w:val="20"/>
          <w:szCs w:val="20"/>
          <w:color w:val="auto"/>
        </w:rPr>
      </w:pPr>
      <w:r>
        <w:rPr>
          <w:rFonts w:ascii="Arial" w:cs="Arial" w:eastAsia="Arial" w:hAnsi="Arial"/>
          <w:sz w:val="18"/>
          <w:szCs w:val="18"/>
          <w:color w:val="auto"/>
        </w:rPr>
        <w:t>125</w:t>
      </w:r>
    </w:p>
    <w:p>
      <w:pPr>
        <w:sectPr>
          <w:pgSz w:w="11900" w:h="16838" w:orient="portrait"/>
          <w:cols w:equalWidth="0" w:num="2">
            <w:col w:w="9980" w:space="720"/>
            <w:col w:w="500"/>
          </w:cols>
          <w:pgMar w:left="340" w:top="32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This Annual Report on Form 10-K contains forward-looking statements. All statements other than statements of historical facts contained in this Annual Report on Form10-K,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on Form 10-K include, but are not limited to, statements about:</w:t>
      </w:r>
    </w:p>
    <w:p>
      <w:pPr>
        <w:spacing w:after="0" w:line="72" w:lineRule="exact"/>
        <w:rPr>
          <w:sz w:val="20"/>
          <w:szCs w:val="20"/>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03" w:lineRule="exact"/>
        <w:rPr>
          <w:rFonts w:ascii="Arial" w:cs="Arial" w:eastAsia="Arial" w:hAnsi="Arial"/>
          <w:sz w:val="18"/>
          <w:szCs w:val="18"/>
          <w:color w:val="auto"/>
        </w:rPr>
      </w:pPr>
    </w:p>
    <w:p>
      <w:pPr>
        <w:ind w:left="1260" w:hanging="503"/>
        <w:spacing w:after="0" w:line="294"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39" w:lineRule="exact"/>
        <w:rPr>
          <w:rFonts w:ascii="Arial" w:cs="Arial" w:eastAsia="Arial" w:hAnsi="Arial"/>
          <w:sz w:val="16"/>
          <w:szCs w:val="16"/>
          <w:color w:val="auto"/>
        </w:rPr>
      </w:pPr>
    </w:p>
    <w:p>
      <w:pPr>
        <w:ind w:left="1260" w:right="120" w:hanging="503"/>
        <w:spacing w:after="0" w:line="24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15" w:lineRule="exact"/>
        <w:rPr>
          <w:rFonts w:ascii="Arial" w:cs="Arial" w:eastAsia="Arial" w:hAnsi="Arial"/>
          <w:sz w:val="17"/>
          <w:szCs w:val="17"/>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03" w:lineRule="exact"/>
        <w:rPr>
          <w:rFonts w:ascii="Arial" w:cs="Arial" w:eastAsia="Arial" w:hAnsi="Arial"/>
          <w:sz w:val="18"/>
          <w:szCs w:val="18"/>
          <w:color w:val="auto"/>
        </w:rPr>
      </w:pPr>
    </w:p>
    <w:p>
      <w:pPr>
        <w:ind w:left="1260" w:right="4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03" w:lineRule="exact"/>
        <w:rPr>
          <w:rFonts w:ascii="Arial" w:cs="Arial" w:eastAsia="Arial" w:hAnsi="Arial"/>
          <w:sz w:val="18"/>
          <w:szCs w:val="18"/>
          <w:color w:val="auto"/>
        </w:rPr>
      </w:pPr>
    </w:p>
    <w:p>
      <w:pPr>
        <w:ind w:left="1260" w:right="220" w:hanging="503"/>
        <w:spacing w:after="0" w:line="24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9" w:lineRule="exact"/>
        <w:rPr>
          <w:rFonts w:ascii="Arial" w:cs="Arial" w:eastAsia="Arial" w:hAnsi="Arial"/>
          <w:sz w:val="18"/>
          <w:szCs w:val="18"/>
          <w:color w:val="auto"/>
        </w:rPr>
      </w:pPr>
    </w:p>
    <w:p>
      <w:pPr>
        <w:ind w:left="1260" w:right="50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rFonts w:ascii="Arial" w:cs="Arial" w:eastAsia="Arial" w:hAnsi="Arial"/>
          <w:sz w:val="18"/>
          <w:szCs w:val="18"/>
          <w:color w:val="auto"/>
        </w:rPr>
      </w:pPr>
    </w:p>
    <w:p>
      <w:pPr>
        <w:ind w:left="1260" w:right="5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pricing and reimbursement of ORIC-533, ORIC-114, ORIC-944 and other product candidates we may develop, if approved;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 w:name="page4"/>
    <w:bookmarkEnd w:id="3"/>
    <w:p>
      <w:pPr>
        <w:ind w:left="1260" w:right="240" w:hanging="503"/>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ORIC-533, ORIC-114, ORIC-944 and other product candidates we may develop;</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260" w:right="320" w:hanging="503"/>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available-for-sale investments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4"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r>
        <w:rPr>
          <w:rFonts w:ascii="Arial" w:cs="Arial" w:eastAsia="Arial" w:hAnsi="Arial"/>
          <w:sz w:val="18"/>
          <w:szCs w:val="18"/>
          <w:color w:val="auto"/>
        </w:rPr>
        <w:t>.</w:t>
      </w:r>
    </w:p>
    <w:p>
      <w:pPr>
        <w:spacing w:after="0" w:line="19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Profound advancements in oncology drug development have expanded the treatment options available to patients, yet therapeutic resistance and relapse continue to limit the efficacy and duration of clinical benefit of such treatments. Collectively, our founders and management team have a decades-long heritage of identifying and characterizing resistance mechanisms in oncology, having discovered and developed groundbreaking medicines at companies such as Ignyta, Medivation, Aragon and Genentech.</w:t>
      </w:r>
    </w:p>
    <w:p>
      <w:pPr>
        <w:spacing w:after="0" w:line="188" w:lineRule="exact"/>
        <w:rPr>
          <w:sz w:val="20"/>
          <w:szCs w:val="20"/>
          <w:color w:val="auto"/>
        </w:rPr>
      </w:pPr>
    </w:p>
    <w:p>
      <w:pPr>
        <w:jc w:val="both"/>
        <w:ind w:right="640" w:firstLine="749"/>
        <w:spacing w:after="0" w:line="248" w:lineRule="auto"/>
        <w:rPr>
          <w:sz w:val="20"/>
          <w:szCs w:val="20"/>
          <w:color w:val="auto"/>
        </w:rPr>
      </w:pPr>
      <w:r>
        <w:rPr>
          <w:rFonts w:ascii="Arial" w:cs="Arial" w:eastAsia="Arial" w:hAnsi="Arial"/>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 Our clinical stage product candidates include:</w:t>
      </w:r>
    </w:p>
    <w:p>
      <w:pPr>
        <w:spacing w:after="0" w:line="182" w:lineRule="exact"/>
        <w:rPr>
          <w:sz w:val="20"/>
          <w:szCs w:val="20"/>
          <w:color w:val="auto"/>
        </w:rPr>
      </w:pPr>
    </w:p>
    <w:p>
      <w:pPr>
        <w:ind w:left="1540" w:right="20" w:hanging="514"/>
        <w:spacing w:after="0" w:line="284"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we are enrolling patients in a Phase 1b trial as a single-agent in multiple myeloma. We expect to report initial Phase 1b data from this trial in the first half of 2023.</w:t>
      </w:r>
    </w:p>
    <w:p>
      <w:pPr>
        <w:spacing w:after="0" w:line="155" w:lineRule="exact"/>
        <w:rPr>
          <w:rFonts w:ascii="Arial" w:cs="Arial" w:eastAsia="Arial" w:hAnsi="Arial"/>
          <w:sz w:val="16"/>
          <w:szCs w:val="16"/>
          <w:color w:val="auto"/>
        </w:rPr>
      </w:pPr>
    </w:p>
    <w:p>
      <w:pPr>
        <w:ind w:left="1540" w:right="20" w:hanging="514"/>
        <w:spacing w:after="0" w:line="255"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Clinical Trial Application (CTA) in South Korea for ORIC-114, which was cleared in the first quarter of 2022. We are pursuing a Phase 1b single agent trial which will enroll patients with advanced solid tumors with EGFR and HER2 exon 20 alterations or HER2 amplifications and will allow patients with CNS metastases that are either treated or untreated but asymptomatic. We expect to report initial Phase 1b data from this trial in the first half of 2023.</w:t>
      </w:r>
    </w:p>
    <w:p>
      <w:pPr>
        <w:spacing w:after="0" w:line="179" w:lineRule="exact"/>
        <w:rPr>
          <w:rFonts w:ascii="Arial" w:cs="Arial" w:eastAsia="Arial" w:hAnsi="Arial"/>
          <w:sz w:val="17"/>
          <w:szCs w:val="17"/>
          <w:color w:val="auto"/>
        </w:rPr>
      </w:pPr>
    </w:p>
    <w:p>
      <w:pPr>
        <w:ind w:left="1540" w:hanging="514"/>
        <w:spacing w:after="0" w:line="241"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and we are pursuing a single-agent clinical development plan in prostate cancer. We expect to report initial Phase 1b data from this trial in the first half of 2023.</w:t>
      </w:r>
    </w:p>
    <w:p>
      <w:pPr>
        <w:spacing w:after="0" w:line="189"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Beyond these clinical stage product candidates, we are developing multiple discovery stage precision medicines targeting other hallmark cancer resistance mechanisms.</w:t>
      </w:r>
    </w:p>
    <w:p>
      <w:pPr>
        <w:spacing w:after="0" w:line="171"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74" w:lineRule="exact"/>
        <w:rPr>
          <w:sz w:val="20"/>
          <w:szCs w:val="20"/>
          <w:color w:val="auto"/>
        </w:rPr>
      </w:pPr>
    </w:p>
    <w:p>
      <w:pPr>
        <w:ind w:right="600" w:firstLine="749"/>
        <w:spacing w:after="0" w:line="261" w:lineRule="auto"/>
        <w:rPr>
          <w:sz w:val="20"/>
          <w:szCs w:val="20"/>
          <w:color w:val="auto"/>
        </w:rPr>
      </w:pPr>
      <w:r>
        <w:rPr>
          <w:rFonts w:ascii="Arial" w:cs="Arial" w:eastAsia="Arial" w:hAnsi="Arial"/>
          <w:sz w:val="18"/>
          <w:szCs w:val="18"/>
          <w:color w:val="auto"/>
        </w:rPr>
        <w:t>We are building a portfolio of novel agents targeting multiple resistance mechanisms by leveraging our specialized expertise in hormone-dependent cancers, precision oncology and key tumor dependencies:</w:t>
      </w:r>
    </w:p>
    <w:p>
      <w:pPr>
        <w:spacing w:after="0" w:line="76" w:lineRule="exact"/>
        <w:rPr>
          <w:sz w:val="20"/>
          <w:szCs w:val="20"/>
          <w:color w:val="auto"/>
        </w:rPr>
      </w:pPr>
    </w:p>
    <w:p>
      <w:pPr>
        <w:ind w:left="1260" w:right="80" w:hanging="503"/>
        <w:spacing w:after="0" w:line="274"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Hormone-dependent cancers: </w:t>
      </w:r>
      <w:r>
        <w:rPr>
          <w:rFonts w:ascii="Arial" w:cs="Arial" w:eastAsia="Arial" w:hAnsi="Arial"/>
          <w:sz w:val="16"/>
          <w:szCs w:val="16"/>
          <w:color w:val="auto"/>
        </w:rPr>
        <w:t>Two of our founders, Drs. Charles Sawyers and Richard Heyman, are leading experts in nuclear hormone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receptors and hormone-dependent cancers. They previously co-founded two oncology companies, Aragon (acquired by Johnson &amp; Johnson in 2013) and Seragon (acquired by Roche in 2014), that developed therapeutics targeting two nuclear hormone receptors, the androgen receptor (AR) and estrogen receptor (ER), respectively, the former effort leading to the approved drug Erleada (apalutamide). Our product candidate ORIC-944 is an allosteric inhibitor of PRC2 via EED and is being developed as a potential treatment for advanced prostate cancer. Additionally, we have a discovery stage program focused on the synthetic lethal inhibition of PLK4 for TRIM37 amplified breast cancers and other solid tumors. Given the breadth of solid tumor indications in which hormone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1260" w:right="60"/>
        <w:spacing w:after="0" w:line="261" w:lineRule="auto"/>
        <w:rPr>
          <w:sz w:val="20"/>
          <w:szCs w:val="20"/>
          <w:color w:val="auto"/>
        </w:rPr>
      </w:pPr>
      <w:r>
        <w:rPr>
          <w:rFonts w:ascii="Arial" w:cs="Arial" w:eastAsia="Arial" w:hAnsi="Arial"/>
          <w:sz w:val="18"/>
          <w:szCs w:val="18"/>
          <w:color w:val="auto"/>
        </w:rPr>
        <w:t>signaling pathways have been implicated in driving disease, or in the development of resistance, we believe our differentiated insight into this biology is a crucial component of our future success.</w:t>
      </w:r>
    </w:p>
    <w:p>
      <w:pPr>
        <w:spacing w:after="0" w:line="76" w:lineRule="exact"/>
        <w:rPr>
          <w:sz w:val="20"/>
          <w:szCs w:val="20"/>
          <w:color w:val="auto"/>
        </w:rPr>
      </w:pPr>
    </w:p>
    <w:p>
      <w:pPr>
        <w:ind w:left="1260" w:right="20" w:hanging="503"/>
        <w:spacing w:after="0" w:line="253"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Precision oncology: </w:t>
      </w:r>
      <w:r>
        <w:rPr>
          <w:rFonts w:ascii="Arial" w:cs="Arial" w:eastAsia="Arial" w:hAnsi="Arial"/>
          <w:sz w:val="17"/>
          <w:szCs w:val="17"/>
          <w:color w:val="auto"/>
        </w:rPr>
        <w:t>Our precision medicine approach of utilizing biomarkers for demonstration of target and pathway engagement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ultimately for patient selection is rooted in our management team’s prior experience at Ignyta (acquired by Roche in 2018) in successfully developing Rozlytrek (entrectinib), which was approved by the U.S. Food and Drug Administration (FDA) for the treatment of ROS1-positive metastatic non-small cell lung cancer (NSCLC) and neurotrophic tyrosine receptor kinase (NTRK)-positive solid tumors in 2019. Similarly, our product candidate, ORIC-114, a brain penetrant, irreversible inhibitor designed to selectively target EGFR and HER2 with high potency against exon 20 insertion mutations, is being developed in genetically defined patient populations, including NSCLC and breast cancer. Our team’s experience in precision oncology dates back decades, including Dr. Sawyers’ pivotal role in the development of Gleevec (imatinib) and Sprycel (dasatinib). We believe our team’s expertise and experience in precision oncology will allow us to develop drugs with a higher probability of clinical success within biomarker-defined patient populations, while also potentially reducing the time and cost of development.</w:t>
      </w:r>
    </w:p>
    <w:p>
      <w:pPr>
        <w:spacing w:after="0" w:line="85" w:lineRule="exact"/>
        <w:rPr>
          <w:rFonts w:ascii="Arial" w:cs="Arial" w:eastAsia="Arial" w:hAnsi="Arial"/>
          <w:sz w:val="17"/>
          <w:szCs w:val="17"/>
          <w:color w:val="auto"/>
        </w:rPr>
      </w:pPr>
    </w:p>
    <w:p>
      <w:pPr>
        <w:ind w:left="1260" w:hanging="503"/>
        <w:spacing w:after="0" w:line="252"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Key tumor dependencies: </w:t>
      </w:r>
      <w:r>
        <w:rPr>
          <w:rFonts w:ascii="Arial" w:cs="Arial" w:eastAsia="Arial" w:hAnsi="Arial"/>
          <w:sz w:val="17"/>
          <w:szCs w:val="17"/>
          <w:color w:val="auto"/>
        </w:rPr>
        <w:t>Key tumor dependencies are abnormal alterations that promote cancer cell growth and survival and also confer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vulnerabilities that normal cells lack; these cancer-specific dependencies are compelling therapeutic targets. Our scientific team— 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(cobimetinib), Zelboraf (vemurafenib) and Polivy (polatuzumab vedotin). Our knowledge of innate, acquired and bypass resistance mechanisms, as well as our in-depth experience in forward and reverse translation, underpins our discovery efforts to identify key drivers of cancer resistance that can be exploited for therapeutic gain. Our resistance platform and in-house capabilities in medicinal chemistry and structure-based design enable us to pursue these resistance mechanisms. For example, our understanding of innate resistance and our medicinal chemistry expertise has led to the discovery of ORIC-533, an orally bioavailable small molecule inhibitor of CD73.</w:t>
      </w:r>
    </w:p>
    <w:p>
      <w:pPr>
        <w:spacing w:after="0" w:line="186"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We are applying our internal drug discovery capabilities to these three areas of expertise to develop innovative therapies targeting the critical cancer resistance mechanisms that we believe will bring the largest benefit to patients, including by making existing therapies more effective for a longer period of time.</w:t>
      </w:r>
    </w:p>
    <w:p>
      <w:pPr>
        <w:spacing w:after="0" w:line="182"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117475</wp:posOffset>
            </wp:positionV>
            <wp:extent cx="5880735" cy="1474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ind w:left="760"/>
        <w:spacing w:after="0"/>
        <w:rPr>
          <w:sz w:val="20"/>
          <w:szCs w:val="20"/>
          <w:color w:val="auto"/>
        </w:rPr>
      </w:pPr>
      <w:r>
        <w:rPr>
          <w:rFonts w:ascii="Arial" w:cs="Arial" w:eastAsia="Arial" w:hAnsi="Arial"/>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143510</wp:posOffset>
            </wp:positionV>
            <wp:extent cx="5880735" cy="1508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CD73 inhibitor program: ORIC-533</w:t>
      </w:r>
    </w:p>
    <w:p>
      <w:pPr>
        <w:spacing w:after="0" w:line="104"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multiple myeloma, melanoma and prostate, among others. Several global pharmaceutical companies are developing anti-CD73 antibodies, but due to significant medicinal chemistry challenges, to our knowledge, only one additional orally bioavailable inhibitor of CD73 is in clinical development. With our resistance platform capabilities, our medicinal chemistry team created a differentiated compound that is both potent and orally bioavailable. Our product candidate ORIC-533, is an orally bioavailable small molecule inhibitor of CD73 that has demonstrated more potent adenosine inhibition in vitro compared to an antibody-based approach and other small molecule CD73 inhibitors. In the second quarter of 2021, the U.S. Food and Drug Administration (FDA) cleared the Investigational New Drug Application (IND) for ORIC-533, and we are pursuing a single-agent clinical development plan in multiple myeloma.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Brain penetrant EGFR/HER2 program: ORIC-114</w:t>
      </w:r>
    </w:p>
    <w:p>
      <w:pPr>
        <w:spacing w:after="0" w:line="77" w:lineRule="exact"/>
        <w:rPr>
          <w:sz w:val="20"/>
          <w:szCs w:val="20"/>
          <w:color w:val="auto"/>
        </w:rPr>
      </w:pPr>
    </w:p>
    <w:p>
      <w:pPr>
        <w:ind w:right="60" w:firstLine="749"/>
        <w:spacing w:after="0" w:line="228" w:lineRule="auto"/>
        <w:rPr>
          <w:sz w:val="20"/>
          <w:szCs w:val="20"/>
          <w:color w:val="auto"/>
        </w:rPr>
      </w:pPr>
      <w:r>
        <w:rPr>
          <w:rFonts w:ascii="Arial" w:cs="Arial" w:eastAsia="Arial" w:hAnsi="Arial"/>
          <w:sz w:val="17"/>
          <w:szCs w:val="17"/>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Approximately one-third of patients with exon 20 insertion mutations develop brain metastases, which contributes to poor prognosis.</w:t>
      </w:r>
    </w:p>
    <w:p>
      <w:pPr>
        <w:spacing w:after="0" w:line="179"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ORIC-114 is a brain penetrant, orally bioavailable, irreversible inhibitor designed to selectively target EGFR and HER2 with high potency against exon 20 insertion mutations. ORIC-114 has demonstrated greater brain exposure in preclinical studies compared to certain other compounds being developed against exon 20 mutations and has shown strong anti-tumor activity in an EGFR-driven intracranial lung cancer model. ORIC-114 has also demonstrated strong anti-tumor activity in both a subcutaneous and intracranial HER2-positive breast cancer model. In the fourth quarter of 2021, we filed a CTA for ORIC-114 in South Korea, which was cleared in the first quarter of 2022. We are pursuing a Phase 1b single agent trial which will enroll patients with advanced solid tumors with EGFR or HER2 exon 20 alterations or HER2 amplification and will allow patients with CNS metastases that are either treated or untreated but asymptomatic.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PRC2 inhibitor program: ORIC-944</w:t>
      </w:r>
    </w:p>
    <w:p>
      <w:pPr>
        <w:spacing w:after="0" w:line="90" w:lineRule="exact"/>
        <w:rPr>
          <w:sz w:val="20"/>
          <w:szCs w:val="20"/>
          <w:color w:val="auto"/>
        </w:rPr>
      </w:pPr>
    </w:p>
    <w:p>
      <w:pPr>
        <w:ind w:right="20" w:firstLine="749"/>
        <w:spacing w:after="0" w:line="223" w:lineRule="auto"/>
        <w:rPr>
          <w:sz w:val="20"/>
          <w:szCs w:val="20"/>
          <w:color w:val="auto"/>
        </w:rPr>
      </w:pPr>
      <w:r>
        <w:rPr>
          <w:rFonts w:ascii="Arial" w:cs="Arial" w:eastAsia="Arial" w:hAnsi="Arial"/>
          <w:sz w:val="17"/>
          <w:szCs w:val="17"/>
          <w:color w:val="auto"/>
        </w:rPr>
        <w:t>The dysregulation of PRC2 methyltransferase activity can lead to tumorigenesis in a wide range of cancers including prostate cancer, breast cancer, and hematological malignancies. PRC2 is composed of two druggable subunits: EED and EZH2. Several companies are developing EZH2 inhibitors; however, the pharmacologic properties of these compounds result in high doses that achieve only partial target inhibition in the clinic. Additionally, preclinical studies suggest drug resistance to EZH2 inhibitors may develop via EZH1 bypass compensation or acquired mutations in EZH2. Allosteric inhibition of EED impacts the assembly, stabilization, and activation of PRC2, and may have benefits over EZH2-mediated inhibition of PRC2.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pursuing a single-agent clinical development plan in treatment-resistant prostate cancer.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GR antagonist program: ORIC-101</w:t>
      </w:r>
    </w:p>
    <w:p>
      <w:pPr>
        <w:spacing w:after="0" w:line="225" w:lineRule="exact"/>
        <w:rPr>
          <w:sz w:val="20"/>
          <w:szCs w:val="20"/>
          <w:color w:val="auto"/>
        </w:rPr>
      </w:pPr>
    </w:p>
    <w:p>
      <w:pPr>
        <w:ind w:right="540" w:firstLine="749"/>
        <w:spacing w:after="0" w:line="324" w:lineRule="auto"/>
        <w:rPr>
          <w:sz w:val="20"/>
          <w:szCs w:val="20"/>
          <w:color w:val="auto"/>
        </w:rPr>
      </w:pPr>
      <w:r>
        <w:rPr>
          <w:rFonts w:ascii="Arial" w:cs="Arial" w:eastAsia="Arial" w:hAnsi="Arial"/>
          <w:sz w:val="16"/>
          <w:szCs w:val="16"/>
          <w:color w:val="auto"/>
        </w:rPr>
        <w:t>ORIC-101, a potent and selective GR antagonist, with two distinct mechanisms of action was being evaluated in two Phase 1b trials in combination with: (1) Xtandi (enzalutamide) in metastatic prostate cancer and (2) Abraxane (nab-paclitaxel) in advanced or metastatic solid tumors.</w:t>
      </w:r>
    </w:p>
    <w:p>
      <w:pPr>
        <w:spacing w:after="0" w:line="124"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In March 2022, based on planned interim analyses from the two Phase 1b studies, it was determined that while the combination regimens were generally well tolerated, they did not demonstrate sufficient clinical activity to support further development, and we announced the decision to discontinue further development of ORIC-101.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212"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and thus for the most part utilize a small molecule therapeutic approach to target oncogenic drivers in solid tumors like prostate, breast, and lung cancer that relapse with innate, acquired or bypass resistance. Our most advanced small molecule discovery research programs are currently in lead optimization.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6"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Our goal is to discover, develop and commercialize innovative therapies that overcome resistance in cancer. The key elements of our business strategy to achieve this goal include:</w:t>
      </w:r>
    </w:p>
    <w:p>
      <w:pPr>
        <w:spacing w:after="0" w:line="171" w:lineRule="exact"/>
        <w:rPr>
          <w:sz w:val="20"/>
          <w:szCs w:val="20"/>
          <w:color w:val="auto"/>
        </w:rPr>
      </w:pPr>
    </w:p>
    <w:p>
      <w:pPr>
        <w:ind w:left="1260" w:right="140" w:hanging="503"/>
        <w:spacing w:after="0" w:line="284"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Leveraging the insights, experience and networks of our founders and management team. </w:t>
      </w:r>
      <w:r>
        <w:rPr>
          <w:rFonts w:ascii="Arial" w:cs="Arial" w:eastAsia="Arial" w:hAnsi="Arial"/>
          <w:sz w:val="16"/>
          <w:szCs w:val="16"/>
          <w:color w:val="auto"/>
        </w:rPr>
        <w:t>Our founders and management team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extensive experience identifying, discovering, developing and commercializing innovative cancer therapeutics aimed at novel targets, including Rozlytrek, Erleada, Talzenna, Xtandi, Sprycel and Gleevec. We are using this broad oncology experience together with our internal discovery and development capabilities to build a diverse pipeline of therapies targeting multiple cancer resistance mechanisms.</w:t>
      </w:r>
    </w:p>
    <w:p>
      <w:pPr>
        <w:spacing w:after="0" w:line="155" w:lineRule="exact"/>
        <w:rPr>
          <w:rFonts w:ascii="Arial" w:cs="Arial" w:eastAsia="Arial" w:hAnsi="Arial"/>
          <w:sz w:val="16"/>
          <w:szCs w:val="16"/>
          <w:color w:val="auto"/>
        </w:rPr>
      </w:pPr>
    </w:p>
    <w:p>
      <w:pPr>
        <w:ind w:left="1260" w:hanging="503"/>
        <w:spacing w:after="0" w:line="270"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our product candidates as rapidly as possible through clinical development. </w:t>
      </w:r>
      <w:r>
        <w:rPr>
          <w:rFonts w:ascii="Arial" w:cs="Arial" w:eastAsia="Arial" w:hAnsi="Arial"/>
          <w:sz w:val="16"/>
          <w:szCs w:val="16"/>
          <w:color w:val="auto"/>
        </w:rPr>
        <w:t>In 2021, we filed and cleared INDs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FDA for ORIC-533, an orally bioavailable small molecule inhibitor of CD73, and ORIC-944, a potent and selective allosteric inhibitor of polycomb repressive complex 2 (PRC2), that targets its regulatory embryonic ectoderm development (EED) subunit. We also filed a CTA in South Korea for ORIC-114, a brain penetrant, orally bioavailable, irreversible inhibitor designed to selectively target EGFR and HER2 with high potency towards exon 20 insertion mutations which was cleared in the first quarter of 2022. For ORIC-533 we are enrolling patients in a Phase 1b trial as a single-agent in multiple myeloma. For ORIC-114 we are pursuing a Phase 1b single agent trial which will enroll patients with advanced solid tumors with EGFR and HER2 exon 20 alterations or HER2 amplifications and will allow patients with CNS metastases that are either treated or untreated but asymptomatic. For ORIC-944 we are pursuing a single-agent clinical development plan in prostate cancer. We expect to report initial Phase 1b data from these three programs in the first half of 2023. Where possible we plan to pursue accelerated development strategies in areas of high unmet need.</w:t>
      </w:r>
    </w:p>
    <w:p>
      <w:pPr>
        <w:spacing w:after="0" w:line="171" w:lineRule="exact"/>
        <w:rPr>
          <w:rFonts w:ascii="Arial" w:cs="Arial" w:eastAsia="Arial" w:hAnsi="Arial"/>
          <w:sz w:val="16"/>
          <w:szCs w:val="16"/>
          <w:color w:val="auto"/>
        </w:rPr>
      </w:pPr>
    </w:p>
    <w:p>
      <w:pPr>
        <w:ind w:left="1260" w:right="100" w:hanging="503"/>
        <w:spacing w:after="0" w:line="271"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Leveraging our resistance platform in building the leading, fully integrated company focused on delivering innovative medicines that aim to overcome resistance in cancer. </w:t>
      </w:r>
      <w:r>
        <w:rPr>
          <w:rFonts w:ascii="Arial" w:cs="Arial" w:eastAsia="Arial" w:hAnsi="Arial"/>
          <w:sz w:val="16"/>
          <w:szCs w:val="16"/>
          <w:color w:val="auto"/>
        </w:rPr>
        <w:t>As of December 31, 2021, we had 78 full-time employees, including world-class discovery,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preclinical and clinical development teams, encompassing all major functions necessary to take a molecule from target identification through registrational clinical trials. Together, they bring in-house expertise in medicinal chemistry, biology, translational medicine, computational chemistry, in vitro and in vivo pharmacology, computational biology, biomarker development and CMC. We have also established internal expertise in clinical development, clinical operations, pharmacovigilance, clinical pharmacology, regulatory and quality. The members of our research and development organization have collectively led and contributed to dozens of IND filings and multiple drug approvals in oncology. These internal capabilities led to the discovery and clinical development of our first product candidate and will enable us to continue to expand and advance our portfolio of additional product candidates.</w:t>
      </w:r>
    </w:p>
    <w:p>
      <w:pPr>
        <w:spacing w:after="0" w:line="168" w:lineRule="exact"/>
        <w:rPr>
          <w:rFonts w:ascii="Arial" w:cs="Arial" w:eastAsia="Arial" w:hAnsi="Arial"/>
          <w:sz w:val="16"/>
          <w:szCs w:val="16"/>
          <w:color w:val="auto"/>
        </w:rPr>
      </w:pPr>
    </w:p>
    <w:p>
      <w:pPr>
        <w:ind w:left="1260" w:right="120" w:hanging="503"/>
        <w:spacing w:after="0" w:line="248"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Continuing to expand our portfolio of product candidates through both internal research activities and business development efforts. </w:t>
      </w:r>
      <w:r>
        <w:rPr>
          <w:rFonts w:ascii="Arial" w:cs="Arial" w:eastAsia="Arial" w:hAnsi="Arial"/>
          <w:sz w:val="18"/>
          <w:szCs w:val="18"/>
          <w:color w:val="auto"/>
        </w:rPr>
        <w:t>Our internally generated product candidates include, ORIC-533, an orally bioavailable small molecule inhibitor of CD73. We also continue to advance our other internally generated programs as well as expand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8" w:name="page9"/>
    <w:bookmarkEnd w:id="8"/>
    <w:p>
      <w:pPr>
        <w:ind w:left="1260"/>
        <w:spacing w:after="0"/>
        <w:rPr>
          <w:sz w:val="20"/>
          <w:szCs w:val="20"/>
          <w:color w:val="auto"/>
        </w:rPr>
      </w:pPr>
      <w:r>
        <w:rPr>
          <w:rFonts w:ascii="Arial" w:cs="Arial" w:eastAsia="Arial" w:hAnsi="Arial"/>
          <w:sz w:val="18"/>
          <w:szCs w:val="18"/>
          <w:color w:val="auto"/>
        </w:rPr>
        <w:t>our pipeline through internal discovery activities. Simultaneously, we believe that accessing external innovation and expertise is important to our success. For example, we have in-licensed Mirati’s allosteric PRC2 program, including a lead product candidate now designated ORIC-944, as well as Voronoi’s EGFR and HER2 exon 20 insertion mutation program, including a lead product candidate now designated ORIC-114. We will continue to leverage our leadership team’s prior business development experience as we evaluate potential in-licensing and acquisition opportunities to further expand our portfolio. We aim to be the partner of choice for academic groups and companies in the field of cancer resistance.</w:t>
      </w:r>
    </w:p>
    <w:p>
      <w:pPr>
        <w:spacing w:after="0" w:line="189" w:lineRule="exact"/>
        <w:rPr>
          <w:sz w:val="20"/>
          <w:szCs w:val="20"/>
          <w:color w:val="auto"/>
        </w:rPr>
      </w:pPr>
    </w:p>
    <w:p>
      <w:pPr>
        <w:ind w:left="1260" w:hanging="503"/>
        <w:spacing w:after="0" w:line="238"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Utilizing a precision medicine approach in the development of each of our product candidates. </w:t>
      </w:r>
      <w:r>
        <w:rPr>
          <w:rFonts w:ascii="Arial" w:cs="Arial" w:eastAsia="Arial" w:hAnsi="Arial"/>
          <w:sz w:val="18"/>
          <w:szCs w:val="18"/>
          <w:color w:val="auto"/>
        </w:rPr>
        <w:t>We use biomarkers to demonstrate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pathway engagement and plan to use them for patient selection in our clinical trials. This approach is rooted in our team’s prior experiences developing targeted therapies, such as Rozlytrek, an orally bioavailable, tyrosine kinase inhibitor approved for select tumors that harbor ROS1 or NTRK fusions.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 As part of our strategy, our in-house team of experienced translational scientists and computational biologists leverages existing technologies as well as develops proprietary assays to enable the selection and assessment of biomarkers for each of our programs.</w:t>
      </w:r>
    </w:p>
    <w:p>
      <w:pPr>
        <w:spacing w:after="0" w:line="191" w:lineRule="exact"/>
        <w:rPr>
          <w:rFonts w:ascii="Arial" w:cs="Arial" w:eastAsia="Arial" w:hAnsi="Arial"/>
          <w:sz w:val="18"/>
          <w:szCs w:val="18"/>
          <w:color w:val="auto"/>
        </w:rPr>
      </w:pPr>
    </w:p>
    <w:p>
      <w:pPr>
        <w:ind w:left="1260" w:right="20" w:hanging="503"/>
        <w:spacing w:after="0" w:line="255"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Evaluating opportunities to accelerate development timelines and enhance the commercial potential of our programs in collaboration with third parties. </w:t>
      </w:r>
      <w:r>
        <w:rPr>
          <w:rFonts w:ascii="Arial" w:cs="Arial" w:eastAsia="Arial" w:hAnsi="Arial"/>
          <w:sz w:val="17"/>
          <w:szCs w:val="17"/>
          <w:color w:val="auto"/>
        </w:rPr>
        <w:t>We own or license full worldwide development and commercialization rights to each of our programs (other than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to our brain penetrant EGFR and HER2 program, ORIC-114, for which we own exclusive rights worldwide excluding the People's Republic of China, Hong Kong, Macau and Taiwan (the ORIC Territory)). We have established collaborations and intend to continue evaluating opportunities to work with partners that meaningfully enhance our capabilities with respect to the development and commercialization of our product candidates. In addition, we intend to commercialize our product candidates in key markets either alone or with partners in order to maximize the worldwide commercial potential of our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cancer resistance</w:t>
      </w:r>
    </w:p>
    <w:p>
      <w:pPr>
        <w:spacing w:after="0" w:line="104"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Furthermore, treatment resistance in cancer emerges irrespective of therapeutic class, including targeted therapy, hormone therapy, immunotherapy and chemotherapy.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ind w:right="100" w:firstLine="749"/>
        <w:spacing w:after="0" w:line="248" w:lineRule="auto"/>
        <w:rPr>
          <w:sz w:val="20"/>
          <w:szCs w:val="20"/>
          <w:color w:val="auto"/>
        </w:rPr>
      </w:pPr>
      <w:r>
        <w:rPr>
          <w:rFonts w:ascii="Arial" w:cs="Arial" w:eastAsia="Arial" w:hAnsi="Arial"/>
          <w:sz w:val="18"/>
          <w:szCs w:val="18"/>
          <w:color w:val="auto"/>
        </w:rPr>
        <w:t>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key resistance mechanisms and ORIC team’s prior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143510</wp:posOffset>
            </wp:positionV>
            <wp:extent cx="5246370" cy="2322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637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right="20" w:hanging="503"/>
        <w:spacing w:after="0" w:line="267"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Innate resistance </w:t>
      </w:r>
      <w:r>
        <w:rPr>
          <w:rFonts w:ascii="Arial" w:cs="Arial" w:eastAsia="Arial" w:hAnsi="Arial"/>
          <w:sz w:val="16"/>
          <w:szCs w:val="16"/>
          <w:color w:val="auto"/>
        </w:rPr>
        <w:t>occurs when a key tumor dependency is not addressed, such as a driver mutation with no available targeted therapeutic.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example of a drug targeting innate resistance is Rozlytrek, developed by Ignyta for patients with ROS1-positive, metastatic NSCLC and NTRK gene fusion-positive solid tumors. We believe these innate resistance targets have a higher probability of technical success than other cancer targets, hold potential for meaningful clinical outcomes, and have the potential for rapid clinical development and approval timelines. Innate resistance targets have been the subject of a number of targeted therapies that have been approved over the past couple of decades. Studies have shown that treatments that target and inhibit unaddressed driver mutations have high response rates with generally good durability, including in a resistant setting. This efficacy in a refractory patient population in turn has been shown to enable a shorter development pathway, with many such agents being approved based upon single arm trials of modest size. New advances in small molecule drug discovery have created an opportunity to better target next-generation oncogenic drivers. Our pipeline includes several programs targeting innate resistance including ORIC-533, our orally bioavailable small molecule CD73 inhibitor, which we designed to address adenosine-driven innate resistance to chemotherapy- and immunotherapy-based treatment regimens and is being developed for multiple myeloma; ORIC-114, our brain penetrant, orally bioavailable, irreversible inhibitor designed to address innate resistance related to exon20 insertion mutations of EGFR and HER2 in lung and other tumors as well as HER2-positive breast cancer, and; ORIC-944, our allosteric inhibitor of PRC2, which was designed to address innate resistance related to PRC2 dysregulation in prostate and other tumors. While other therapies targeting innate resistance have shown technical success, our programs are distinct from other therapies and there is no guarantee that our product candidates will be approved, are more likely to receive FDA approval than other potential product candidates, or if approved, will be approved quickly.</w:t>
      </w:r>
    </w:p>
    <w:p>
      <w:pPr>
        <w:spacing w:after="0" w:line="84" w:lineRule="exact"/>
        <w:rPr>
          <w:rFonts w:ascii="Arial" w:cs="Arial" w:eastAsia="Arial" w:hAnsi="Arial"/>
          <w:sz w:val="16"/>
          <w:szCs w:val="16"/>
          <w:color w:val="auto"/>
        </w:rPr>
      </w:pPr>
    </w:p>
    <w:p>
      <w:pPr>
        <w:ind w:left="1260" w:right="80" w:hanging="503"/>
        <w:spacing w:after="0" w:line="272" w:lineRule="auto"/>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Acquired resistance </w:t>
      </w:r>
      <w:r>
        <w:rPr>
          <w:rFonts w:ascii="Arial" w:cs="Arial" w:eastAsia="Arial" w:hAnsi="Arial"/>
          <w:sz w:val="16"/>
          <w:szCs w:val="16"/>
          <w:color w:val="auto"/>
        </w:rPr>
        <w:t>arises in response to treatment resulting in a newly acquired or enriched oncogenic driver. Genomic changes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target, such as DNA mutation or amplification, can be evolutionarily selected to propel proliferation in heterogeneous tumors or may be acquired through the course of the disease. Specific changes in the target itself often result in loss of potency of the initial therapeutic. An example of acquired resistance is seen in chronic myeloid leukemia (CML) treated with the first-generation BCR-ABL inhibitor Gleevec, with resistance frequently driven by mutations in BCR-ABL that lead to loss of Gleevec binding activity. The second-generation BCR-ABL inhibitor Sprycel was developed to specifically address acquired resistance to Gleevec, with our co-founder, Dr. Sawyers, playing a critical role in the development of both therapeutics. Our pipeline includes one preclinical program and several ongoing discovery efforts directed towards targets for acquired resistance in solid tumors.</w:t>
      </w:r>
    </w:p>
    <w:p>
      <w:pPr>
        <w:spacing w:after="0" w:line="73" w:lineRule="exact"/>
        <w:rPr>
          <w:rFonts w:ascii="Arial" w:cs="Arial" w:eastAsia="Arial" w:hAnsi="Arial"/>
          <w:sz w:val="16"/>
          <w:szCs w:val="16"/>
          <w:color w:val="auto"/>
        </w:rPr>
      </w:pPr>
    </w:p>
    <w:p>
      <w:pPr>
        <w:ind w:left="1260" w:hanging="503"/>
        <w:spacing w:after="0" w:line="24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Bypass resistance </w:t>
      </w:r>
      <w:r>
        <w:rPr>
          <w:rFonts w:ascii="Arial" w:cs="Arial" w:eastAsia="Arial" w:hAnsi="Arial"/>
          <w:sz w:val="18"/>
          <w:szCs w:val="18"/>
          <w:color w:val="auto"/>
        </w:rPr>
        <w:t>occurs when a therapeutically targeted cancer pathway is reactivated in cells to compensate for the presence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Targeted therapies that induce reactivation of the same pathway indicate a key dependence on that specific pathway for tumor growth and survival. This key dependency concept is illustrated in the context of BRAF mutant melanoma. Mutations in the BRAF kinase allow for unrestricted signaling of the protein that is required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ind w:left="1260" w:right="160"/>
        <w:spacing w:after="0"/>
        <w:rPr>
          <w:sz w:val="20"/>
          <w:szCs w:val="20"/>
          <w:color w:val="auto"/>
        </w:rPr>
      </w:pPr>
      <w:r>
        <w:rPr>
          <w:rFonts w:ascii="Arial" w:cs="Arial" w:eastAsia="Arial" w:hAnsi="Arial"/>
          <w:sz w:val="18"/>
          <w:szCs w:val="18"/>
          <w:color w:val="auto"/>
        </w:rPr>
        <w:t>for tumor growth and survival. Discovery of small molecule BRAF inhibitors led to significant reduction of tumor growth and improvement of melanoma patient survival, as the innate resistance was addressed. However, following the initial profound responses observed in patients, patients began relapsing. Mechanistic exploration into the basis of patient progression revealed that some tumors were evolving to reactivate the same pathway further downstream, as the tumors compensated for the BRAF therapeutic. The development of Cotellic to target MEK further downstream in this pathway overcame the bypass mechanism and significantly improved patient outcomes.</w:t>
      </w:r>
    </w:p>
    <w:p>
      <w:pPr>
        <w:spacing w:after="0" w:line="216" w:lineRule="exact"/>
        <w:rPr>
          <w:sz w:val="20"/>
          <w:szCs w:val="20"/>
          <w:color w:val="auto"/>
        </w:rPr>
      </w:pPr>
    </w:p>
    <w:p>
      <w:pPr>
        <w:ind w:right="260" w:firstLine="749"/>
        <w:spacing w:after="0" w:line="291" w:lineRule="auto"/>
        <w:rPr>
          <w:sz w:val="20"/>
          <w:szCs w:val="20"/>
          <w:color w:val="auto"/>
        </w:rPr>
      </w:pPr>
      <w:r>
        <w:rPr>
          <w:rFonts w:ascii="Arial" w:cs="Arial" w:eastAsia="Arial" w:hAnsi="Arial"/>
          <w:sz w:val="17"/>
          <w:szCs w:val="17"/>
          <w:color w:val="auto"/>
        </w:rPr>
        <w:t>Collectively, our team has spent decades identifying and characterizing resistance mechanisms and has a strong heritage of bringing forth new and improved therapies designed to exploit resistance biology from the research lab to the clinic and, ultimately, to patients in need.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areas of focus within cancer resistance</w:t>
      </w:r>
    </w:p>
    <w:p>
      <w:pPr>
        <w:spacing w:after="0" w:line="21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Our vision for patients with cancer is that therapeutics specifically addressing resistance will provide durable treatment responses, such that solid tumors can become a chronic disease with patient survival measured in years rather than months. Within the broader resistance landscape, we have specialized expertise in hormone-dependent cancers, precision oncology and key tumor dependencies, areas in which we have focused our internal discovery and external business development efforts.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Hormone-dependent cancers</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Two of our founders, Drs. Sawyers and Heyman, are leading experts in hormone-dependent cancers. They previously co-founded two oncology companies, Aragon and Seragon, that developed therapeutics targeting two nuclear hormone receptors, AR and ER, respectively. Following the acquisitions of Aragon—whose lead product, Erleada, was ultimately approved for prostate cancer—and Seragon, whose lead product candidates were being developed for breast cancer, Drs. Sawyers and Heyman founded ORIC.</w:t>
      </w:r>
    </w:p>
    <w:p>
      <w:pPr>
        <w:spacing w:after="0" w:line="188" w:lineRule="exact"/>
        <w:rPr>
          <w:sz w:val="20"/>
          <w:szCs w:val="20"/>
          <w:color w:val="auto"/>
        </w:rPr>
      </w:pPr>
    </w:p>
    <w:p>
      <w:pPr>
        <w:jc w:val="both"/>
        <w:ind w:right="200" w:firstLine="749"/>
        <w:spacing w:after="0" w:line="248" w:lineRule="auto"/>
        <w:rPr>
          <w:sz w:val="20"/>
          <w:szCs w:val="20"/>
          <w:color w:val="auto"/>
        </w:rPr>
      </w:pPr>
      <w:r>
        <w:rPr>
          <w:rFonts w:ascii="Arial" w:cs="Arial" w:eastAsia="Arial" w:hAnsi="Arial"/>
          <w:sz w:val="18"/>
          <w:szCs w:val="18"/>
          <w:color w:val="auto"/>
        </w:rPr>
        <w:t>Given the breadth of resistance in hormone driven cancers, we believe our differentiated insight into this biology is a crucial component of our future success. Our programs include the product candidate ORIC-944 being developed for prostate cancer and a discovery stage program focused on the synthetic lethal inhibition of PLK4 for TRIM37 amplified breast cancers.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oncology (biomarker-driven, patient-selected trials)</w:t>
      </w:r>
    </w:p>
    <w:p>
      <w:pPr>
        <w:spacing w:after="0" w:line="212" w:lineRule="exact"/>
        <w:rPr>
          <w:sz w:val="20"/>
          <w:szCs w:val="20"/>
          <w:color w:val="auto"/>
        </w:rPr>
      </w:pPr>
    </w:p>
    <w:p>
      <w:pPr>
        <w:ind w:right="200" w:firstLine="749"/>
        <w:spacing w:after="0" w:line="279" w:lineRule="auto"/>
        <w:rPr>
          <w:sz w:val="20"/>
          <w:szCs w:val="20"/>
          <w:color w:val="auto"/>
        </w:rPr>
      </w:pPr>
      <w:r>
        <w:rPr>
          <w:rFonts w:ascii="Arial" w:cs="Arial" w:eastAsia="Arial" w:hAnsi="Arial"/>
          <w:sz w:val="16"/>
          <w:szCs w:val="16"/>
          <w:color w:val="auto"/>
        </w:rPr>
        <w:t>Our clinical development team—including our Chief Medical Officer, Head of Clinical Development and heads of five core functions— previously worked together with our Chief Executive Officer at Ignyta, an oncology company that developed a pipeline of precision therapies, including Rozlytrek, which is now approved by the FDA in two different indications for genetically defined tumors, ROS1-positive metastatic NSCLC and NTRK-positive solid tumors. The clinical development of Rozlytrek, which was largely driven by this team, relied upon biomarker-driven patient selection via a companion diagnostic, leading to the approval of the compound approximately five years after it first entered the clinic.</w:t>
      </w:r>
    </w:p>
    <w:p>
      <w:pPr>
        <w:spacing w:after="0" w:line="159"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The Rozlytrek and Ignyta experience can be seen as a paradigm for precision oncology, in which the identification of biomarkers forms the basis of the entire drug discovery and development process, from early understandings of PK and PD modulation of target biology through to appropriate patient selection during clinical development. As part of our strategy, our in-house team of experienced translational scientists and computational biologists utilize existing technologies as well as develop proprietary assays to enable the selection and assessment of biomarkers for each of our programs.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w:t>
      </w:r>
    </w:p>
    <w:p>
      <w:pPr>
        <w:spacing w:after="0" w:line="180"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Our emphasis on a precision oncology approach to the mechanisms that underlie cancer resistance enables us to develop biological methods and assays that can be employed in the selection of appropriate patients for our development candidates rather than relying solely on limited clinical diagnosis information. For example, like many cancers, prostate cancer is a heterogeneous disease with different pathways contributing to potential resistance mechanisms to anti-androgen therapy that may vary from patient to patient or evolve over the course of a patient’s treatment history. We intend to apply a precision oncology approach to the advancement of our entire pipeline.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Key tumor dependencies</w:t>
      </w:r>
    </w:p>
    <w:p>
      <w:pPr>
        <w:spacing w:after="0" w:line="104"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Our scientific team—led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Zelboraf and Polivy. The team’s approach to uncovering tumor dependencies that are key drivers of cancer resistance is biology-focused and mechanistically driven.</w:t>
      </w:r>
    </w:p>
    <w:p>
      <w:pPr>
        <w:spacing w:after="0" w:line="189"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Tumors are dependent on distinct biological drivers, or key tumor dependencies, which can be exploited to develop therapeutics. Examples of key tumor dependencies include oncogenic drivers, metabolic dependencies and lineage-specific markers. The earliest known tumor dependency occurs after normal cells acquire mutations that initiate tumor development. These early lesions continuously evolve within a given tissue in the presence of other cell types, such as endothelial and immune cells, ultimately generating a heterogeneous tumor ecosystem. The interplay between tumor cells and other heterologous cell types within a tissue impart physiological restrictions, such as limited oxygen or increased acidity, that tumor cells are forced to withstand to enable growth. This concept of evolution under selective pressure also applies in the context of an advanced tumor being subjected to therapeutic interventions—the relapsing tumors are forced to adapt in order to grow in the presence of treatment. Through these evolutionary processes, tumor cells can become exclusively dependent on distinct pathways, and these are the key dependencies that can be exploited for therapeutic gain.</w:t>
      </w:r>
    </w:p>
    <w:p>
      <w:pPr>
        <w:spacing w:after="0" w:line="168"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Our understanding of key tumor dependencies has also led to the development of an orally bioavailable small molecule inhibitor of CD73, ORIC-533, that targets adenosine within a key metabolic pathway upon which tumors become dependent. 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multiple myeloma, melanoma and prostate, among others. In addition to our CD73 program, we are developing multiple programs focused on addressing key dependencies in solid tumors, defined as either unaddressed drivers of innate resistance, acquired mutations or bypass mechanisms that cause relapse.</w:t>
      </w:r>
    </w:p>
    <w:p>
      <w:pPr>
        <w:spacing w:after="0" w:line="194" w:lineRule="exact"/>
        <w:rPr>
          <w:sz w:val="20"/>
          <w:szCs w:val="20"/>
          <w:color w:val="auto"/>
        </w:rPr>
      </w:pPr>
    </w:p>
    <w:p>
      <w:pPr>
        <w:jc w:val="both"/>
        <w:ind w:right="460" w:firstLine="749"/>
        <w:spacing w:after="0" w:line="248" w:lineRule="auto"/>
        <w:rPr>
          <w:sz w:val="20"/>
          <w:szCs w:val="20"/>
          <w:color w:val="auto"/>
        </w:rPr>
      </w:pPr>
      <w:r>
        <w:rPr>
          <w:rFonts w:ascii="Arial" w:cs="Arial" w:eastAsia="Arial" w:hAnsi="Arial"/>
          <w:sz w:val="18"/>
          <w:szCs w:val="18"/>
          <w:color w:val="auto"/>
        </w:rPr>
        <w:t>Our resistance platform and in-house capabilities in medicinal chemistry and structure-based design enable drug discovery efforts for these resistance mechanisms. This platform, along with our forward and reverse translation expertise, underpins our efforts to address key drivers of cancer resistance.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pipeline to treat cancer resistance</w:t>
      </w:r>
    </w:p>
    <w:p>
      <w:pPr>
        <w:spacing w:after="0" w:line="212"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117475</wp:posOffset>
            </wp:positionV>
            <wp:extent cx="5880735" cy="1474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143510</wp:posOffset>
            </wp:positionV>
            <wp:extent cx="5880735" cy="1508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CD73 inhibitor program: ORIC-533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adenosine and CD73</w:t>
      </w:r>
    </w:p>
    <w:p>
      <w:pPr>
        <w:spacing w:after="0" w:line="212"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Adenosine, a purine nucleoside base, is an extracellular signaling molecule derived from adenosine triphosphate (ATP). Adenosine is a potent suppressor of immune function and accumulates in tissues at sites of inflammation and damage. Analogously, in the context of tumors, adenosine in the tumor microenvironment is implicated in local immunosuppression that leads to tumor growth. Extracellular ATP is metabolized to AMP by the enzyme CD39, and AMP is metabolized to adenosine by the enzyme CD73. Adenosine, via its interaction with adenosine receptors, functions to suppress immune function. Multiple cell types within the tumor milieu, including cancer cells, endothelial cells and immune cells, express CD73.</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targeting CD73 in oncology</w:t>
      </w:r>
    </w:p>
    <w:p>
      <w:pPr>
        <w:spacing w:after="0" w:line="212"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As shown in the figure below, CD73 is an enzyme that controls the rate at which extracellular adenosine is produced, and its overexpression is associated with poor prognosis in several cancers, including TNBC, NSCLC, multiple myeloma, melanoma and prostate, among others. Several global pharmaceutical companies are developing anti-CD73 antibodies, but due to significant medicinal chemistry challenges, to our knowledge, only one orally bioavailable inhibitor of CD73 is in clinical development. With our resistance platform capabilities, our medicinal chemistry team created a differentiated compound that is both potent and orally bioavailable.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52" w:right="47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CD73 has been linked to therapy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143510</wp:posOffset>
            </wp:positionV>
            <wp:extent cx="5812155" cy="2760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1215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ORIC-533 is an orally bioavailable small molecule that potently and selectively antagonizes CD73 enzymatic function (&lt; 1nM) and fully inhibits CD73-mediated AMP to adenosine conversion both in human tumor cells and immune cells. Preclinical studies show that ORIC-533 restores CD8+ T-cell expansion and activation of adenosine-induced immunosuppression. Reversal of adenosine-induced intratumoral immunosuppression with ORIC-533 leads to significant anti-tumor responses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120015</wp:posOffset>
            </wp:positionV>
            <wp:extent cx="5880735" cy="258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749"/>
        <w:spacing w:after="0" w:line="284" w:lineRule="auto"/>
        <w:rPr>
          <w:sz w:val="20"/>
          <w:szCs w:val="20"/>
          <w:color w:val="auto"/>
        </w:rPr>
      </w:pPr>
      <w:r>
        <w:rPr>
          <w:rFonts w:ascii="Arial" w:cs="Arial" w:eastAsia="Arial" w:hAnsi="Arial"/>
          <w:sz w:val="16"/>
          <w:szCs w:val="16"/>
          <w:color w:val="auto"/>
        </w:rPr>
        <w:t>In the figure above on the left, an ORIC-533 analogue decreased adenosine production in a concentration-dependent manner in cultured human CD8+ T cells and human H1568 cancer cells. While an ORIC-533 analogue can completely block adenosine production by immune and tumor cells, an anti-CD73 antibody is unable to achieve the same degree of functional inhibition. In the figure above on the right, a single oral dose of our compound in mice achieved unbound plasma exposures that exceed the in vitro EC90 levels required for suppression of adenosine production for 24 hours.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4" w:name="page15"/>
    <w:bookmarkEnd w:id="14"/>
    <w:p>
      <w:pPr>
        <w:ind w:left="760"/>
        <w:spacing w:after="0"/>
        <w:rPr>
          <w:sz w:val="20"/>
          <w:szCs w:val="20"/>
          <w:color w:val="auto"/>
        </w:rPr>
      </w:pPr>
      <w:r>
        <w:rPr>
          <w:rFonts w:ascii="Arial" w:cs="Arial" w:eastAsia="Arial" w:hAnsi="Arial"/>
          <w:sz w:val="16"/>
          <w:szCs w:val="16"/>
          <w:color w:val="auto"/>
        </w:rPr>
        <w:t>Moreover, CD73 inhibition in vivo substantially reduced the adenosine/AMP ratio in EMT6 mouse tumors following sustained CD73 inhibitor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124460</wp:posOffset>
            </wp:positionV>
            <wp:extent cx="5880735" cy="2288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Source: ORIC data using syngeneic EG7 tumor model, AACR June 2020 abstract 10268, poster LB-115</w:t>
      </w:r>
    </w:p>
    <w:p>
      <w:pPr>
        <w:spacing w:after="0"/>
        <w:rPr>
          <w:sz w:val="20"/>
          <w:szCs w:val="20"/>
          <w:color w:val="auto"/>
        </w:rPr>
      </w:pPr>
      <w:r>
        <w:rPr>
          <w:rFonts w:ascii="Arial" w:cs="Arial" w:eastAsia="Arial" w:hAnsi="Arial"/>
          <w:sz w:val="13"/>
          <w:szCs w:val="13"/>
          <w:color w:val="auto"/>
        </w:rPr>
        <w:t>*: p&lt;0.005. ***: p = 0.0006. ****: p &lt; 0.0001.</w:t>
      </w:r>
    </w:p>
    <w:p>
      <w:pPr>
        <w:spacing w:after="0" w:line="191"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In the figure above on the left, daily CD73 inhibitor treatment with our product candidate ORIC-533 significantly impairs syngeneic tumor growth and tumor size as an orally dosed single-agent. Evaluation of tumors at the end of study, on the right above, show the depletion of adenosine and corresponding increase in T cells in the tumor microenvironment.</w:t>
      </w:r>
    </w:p>
    <w:p>
      <w:pPr>
        <w:spacing w:after="0" w:line="182"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When compared to other CD73 inhibitors in preclinical studies, ORIC-533 more potently suppressed adenosine production from AMP in both T cells and tumor cells, and at nM concentrations was able to rescue activation of CD8+ T cells exposed to a high AMP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93980</wp:posOffset>
            </wp:positionV>
            <wp:extent cx="5880735" cy="256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Source: ORIC data, AACR June 2020 abstract 4317, poster 1023</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Bowman et al, 2019. **: WO2019246403A1 Compound 9. ***: WO2019168744A1 Example 2</w:t>
      </w:r>
    </w:p>
    <w:p>
      <w:pPr>
        <w:spacing w:after="0" w:line="228"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The above figure demonstrates the results of a series of preclinical experiments that we conducted evaluating ORIC-533, AB680, Calithera, and Eli Lilly compounds across a variety of properties that we believe to be important in developing a potent and efficacious CD73 inhibitor. In the figure and table on the left above, human PBMCs, H1568 NSCLC cells, and human CD8+ T cells were pre-treated with compounds for 15 minutes, followed by addition of 10 uM AMP/5 uM EHNA for 1 hour. Adenosine in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7"/>
          <w:szCs w:val="17"/>
          <w:color w:val="auto"/>
        </w:rPr>
        <w:t>supernatant was quantified by LC-MS/MS. The biochemical binding assay was carried out with purified CD73 protein and compounds assessed at a wide concentration range to calculate IC50. In the figure on the above right, human PBMC-derived CD8+ T cells were activated for 24 hours with tetrameric anti-CD3/CD28/CD2 antibodies in serum free media, labeled with CellTrace™ Violet and plated onto 96-well plates. Compounds at varying concentrations and 1 millimolar AMP were added, and cells incubated for 72-96 hours. T cell proliferation was quantified by flow cytometry. TNFa cytokine production in cell supernatants was measured by Meso Scale Discovery immunoassay.</w:t>
      </w:r>
    </w:p>
    <w:p>
      <w:pPr>
        <w:spacing w:after="0" w:line="174"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auto"/>
        </w:rPr>
        <w:t>In the second quarter of 2021, the U.S. Food and Drug Administration (FDA) cleared the Investigational New Drug Application (IND) for ORIC-533, and we are pursuing a single-agent clinical development plan in multiple myeloma.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the fourth quarter of 2021, we presented data supporting the therapeutic potential of ORIC-533 in multiple myeloma. Key highlights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included:</w:t>
      </w:r>
    </w:p>
    <w:p>
      <w:pPr>
        <w:spacing w:after="0" w:line="196" w:lineRule="exact"/>
        <w:rPr>
          <w:sz w:val="20"/>
          <w:szCs w:val="20"/>
          <w:color w:val="auto"/>
        </w:rPr>
      </w:pPr>
    </w:p>
    <w:p>
      <w:pPr>
        <w:ind w:left="1020" w:right="10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samples from multiple myeloma demonstrated that the tumor environment is adenosine rich and further studies have shown that high CD73 and high adenosine are associated with poor prognosis and therapeutic resistance in multiple myeloma.</w:t>
      </w:r>
    </w:p>
    <w:p>
      <w:pPr>
        <w:spacing w:after="0" w:line="170"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Compelling mechanistic rationale, supported by research from Dr. Kenneth Anderson’s lab at Dana Farber Cancer Institute. As shown on the figures on the right below, ORIC CD73 inhibitor reversed adenosine driven immunosuppression and restored T-cell activity to induce killing of multiple myeloma cells from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116205</wp:posOffset>
            </wp:positionV>
            <wp:extent cx="5915025" cy="228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Source: Ray et al. ASH Poster (2021).</w:t>
      </w:r>
    </w:p>
    <w:p>
      <w:pPr>
        <w:spacing w:after="0" w:line="201" w:lineRule="exact"/>
        <w:rPr>
          <w:sz w:val="20"/>
          <w:szCs w:val="20"/>
          <w:color w:val="auto"/>
        </w:rPr>
      </w:pPr>
    </w:p>
    <w:p>
      <w:pPr>
        <w:ind w:right="100" w:firstLine="749"/>
        <w:spacing w:after="0" w:line="279" w:lineRule="auto"/>
        <w:rPr>
          <w:sz w:val="20"/>
          <w:szCs w:val="20"/>
          <w:color w:val="auto"/>
        </w:rPr>
      </w:pPr>
      <w:r>
        <w:rPr>
          <w:rFonts w:ascii="Arial" w:cs="Arial" w:eastAsia="Arial" w:hAnsi="Arial"/>
          <w:sz w:val="16"/>
          <w:szCs w:val="16"/>
          <w:color w:val="auto"/>
        </w:rPr>
        <w:t>In additional ex vivo studies, mononuclear cells taken from the bone marrow of three multiple myeloma patient donors were cultured in the presence and absence of ORIC CD73 inhibitor, after which fluorescence activated cell sorting analysis was used to quantify the amount of myeloma cell death. As shown in the figure on the right below, the addition of the CD73 inhibitor induced an average of approximately 40% lysis of multiple myeloma cells in this ex-vivo patient assay. The ORIC CD73 inhibitor activity in the ex vivo assay from patients with multiple myeloma compares favorably to data previously reported with approved therapies for the treatment of multiple myeloma, including lenalidomide, bortezomib and daratumumab.</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217805</wp:posOffset>
            </wp:positionV>
            <wp:extent cx="5915025" cy="2091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91502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Source: Nijhof et al. Clin Cancer Res (2015) and Ray et al. ASH Poster (2021). Note: LEN, lenalidomide. DARA, daratumumab. BOR, bortezomib.</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penetrant EGFR/HER2 program: ORIC-114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12"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Outside of NSCLC, it is estimated that EGFR and HER2 exon 20 insertion mutations are observed in 0.6% of patients. In total, these prevalence estimates suggest a target population in non-small cell lung cancer of over 7,500 patients in the US annually, plus an additional 8,500 patients across other cancers.</w:t>
      </w:r>
    </w:p>
    <w:p>
      <w:pPr>
        <w:spacing w:after="0" w:line="161"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In addition to the EGFR and HER2 exon 20 insertion population, HER2 amplifications are commonly observed in metastatic breast cancer and can also be observed in other malignancies such as certain gastrointestinal tumors. HER2-positive breast cancer represents approximately 25% of all breast cancers and up to half of the HER2-positive breast cancer patients develop brain metastases over the course of their disease.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brain penetrant inhibitor of EGFR/HER2 with high potency towards exon 20 mutations</w:t>
      </w:r>
    </w:p>
    <w:p>
      <w:pPr>
        <w:spacing w:after="0" w:line="104" w:lineRule="exact"/>
        <w:rPr>
          <w:sz w:val="20"/>
          <w:szCs w:val="20"/>
          <w:color w:val="auto"/>
        </w:rPr>
      </w:pPr>
    </w:p>
    <w:p>
      <w:pPr>
        <w:ind w:right="240" w:firstLine="749"/>
        <w:spacing w:after="0" w:line="248" w:lineRule="auto"/>
        <w:rPr>
          <w:sz w:val="20"/>
          <w:szCs w:val="20"/>
          <w:color w:val="auto"/>
        </w:rPr>
      </w:pPr>
      <w:r>
        <w:rPr>
          <w:rFonts w:ascii="Arial" w:cs="Arial" w:eastAsia="Arial" w:hAnsi="Arial"/>
          <w:sz w:val="18"/>
          <w:szCs w:val="18"/>
          <w:color w:val="auto"/>
        </w:rPr>
        <w:t>Currently, the medicines approved by the FDA specifically to treat NSCLC with EGFR or HER2 exon 20 insertion mutations provide limited benefit for patients with active brain metastases. Within NSCLC, approximately one-third of patients with exon 20 insertion mutations develop brain metastases, which contributes to poor prognosis. Several companies are developing EGFR exon 20</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ind w:right="160"/>
        <w:spacing w:after="0" w:line="261" w:lineRule="auto"/>
        <w:rPr>
          <w:sz w:val="20"/>
          <w:szCs w:val="20"/>
          <w:color w:val="auto"/>
        </w:rPr>
      </w:pPr>
      <w:r>
        <w:rPr>
          <w:rFonts w:ascii="Arial" w:cs="Arial" w:eastAsia="Arial" w:hAnsi="Arial"/>
          <w:sz w:val="18"/>
          <w:szCs w:val="18"/>
          <w:color w:val="auto"/>
        </w:rPr>
        <w:t>inhibitors; however, to our knowledge none have demonstrated significant brain exposure in patients suitable for addressing brain metastases, an area of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109220</wp:posOffset>
            </wp:positionV>
            <wp:extent cx="3034665" cy="2023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466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(1) Robichaux et al Nat Med (2018). EGFR exon 20 insertion (n=9) and classical EGFR mutation (n=129)</w:t>
      </w:r>
    </w:p>
    <w:p>
      <w:pPr>
        <w:spacing w:after="0" w:line="201"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EGFR exon 20 insertions are associated with lower PFS with first and second generation EGFR TKIs, such as erlotinib, gefitinib and afatinib, compared to other EGFR mutations.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04" w:lineRule="exact"/>
        <w:rPr>
          <w:sz w:val="20"/>
          <w:szCs w:val="20"/>
          <w:color w:val="auto"/>
        </w:rPr>
      </w:pPr>
    </w:p>
    <w:p>
      <w:pPr>
        <w:ind w:right="220" w:firstLine="749"/>
        <w:spacing w:after="0" w:line="270" w:lineRule="auto"/>
        <w:rPr>
          <w:sz w:val="20"/>
          <w:szCs w:val="20"/>
          <w:color w:val="auto"/>
        </w:rPr>
      </w:pPr>
      <w:r>
        <w:rPr>
          <w:rFonts w:ascii="Arial" w:cs="Arial" w:eastAsia="Arial" w:hAnsi="Arial"/>
          <w:sz w:val="17"/>
          <w:szCs w:val="17"/>
          <w:color w:val="auto"/>
        </w:rPr>
        <w:t>ORIC-114 was designed as a brain penetrant, orally bioavailable, irreversible inhibitor designed to selectively target EGFR and HER2 with nanomolar potency towards exon 20 insertion mutations. As shown in the figure below, in a kinase selectivity panel, the ErbB receptor tyrosine kinases were strong hits and there were no off-targets identified for ORIC-114, unlike the comparator clinical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44450</wp:posOffset>
            </wp:positionV>
            <wp:extent cx="5915025" cy="2339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502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All kinome selectivity screens were conducted on a 468 kinase panel with 1 uM of either TAK-788, poziotinib, CLN-081, BDTX-189 or ORIC-114 in a head-to-head assessment. The top 10% of hits are shown in red. Notably, ORIC-114 did not hit any of the 3F family of kinases with the potential for covalent Cys interaction in the active site.</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18" w:name="page19"/>
    <w:bookmarkEnd w:id="18"/>
    <w:p>
      <w:pPr>
        <w:ind w:right="420" w:firstLine="749"/>
        <w:spacing w:after="0" w:line="324" w:lineRule="auto"/>
        <w:rPr>
          <w:sz w:val="20"/>
          <w:szCs w:val="20"/>
          <w:color w:val="auto"/>
        </w:rPr>
      </w:pPr>
      <w:r>
        <w:rPr>
          <w:rFonts w:ascii="Arial" w:cs="Arial" w:eastAsia="Arial" w:hAnsi="Arial"/>
          <w:sz w:val="16"/>
          <w:szCs w:val="16"/>
          <w:color w:val="auto"/>
        </w:rPr>
        <w:t>ORIC-114 demonstrated potent anti-tumor activity in various NSCLC EGFR exon 20 insertion mutation models. In the examples below, in models carrying the variants NPH, ASV and insG, ORIC-114 demonstrated potent anti-tumor activity when dosed orally once daily at 4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88265</wp:posOffset>
            </wp:positionV>
            <wp:extent cx="6103620" cy="2751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0362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the head-to-head in vivo study in an EGFR exon 20 insertion lung cancer model shown below, ORIC-114 demonstrated greater antitumor activity than BDTX-189 and CLN-081. A 90% complete response rate was observed for ORIC-114 at the well tolerated dose of 3mg/kg once daily compared to no complete responses observed for BDTX-189, and only two complete responses for CLN-081. Additionally, in the CLN-081 cohort, 25% of the animals had to come off-study due to significant weight loss. Collectively, these in vivo data indicate the potential for a broader therapeutic index of ORIC-114.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120650</wp:posOffset>
            </wp:positionV>
            <wp:extent cx="6026150" cy="2151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LU0387 lung adenocarcinoma EGFR ex20ins H773-V774insNPH xenograft model. N = 8-10 mice per group. CR defined as &lt; 30 mm</w:t>
      </w:r>
      <w:r>
        <w:rPr>
          <w:rFonts w:ascii="Arial" w:cs="Arial" w:eastAsia="Arial" w:hAnsi="Arial"/>
          <w:sz w:val="16"/>
          <w:szCs w:val="16"/>
          <w:color w:val="auto"/>
          <w:vertAlign w:val="superscript"/>
        </w:rPr>
        <w:t>3</w:t>
      </w:r>
      <w:r>
        <w:rPr>
          <w:rFonts w:ascii="Arial" w:cs="Arial" w:eastAsia="Arial" w:hAnsi="Arial"/>
          <w:sz w:val="13"/>
          <w:szCs w:val="13"/>
          <w:color w:val="auto"/>
        </w:rPr>
        <w:t>.</w:t>
      </w:r>
    </w:p>
    <w:p>
      <w:pPr>
        <w:spacing w:after="0" w:line="220"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auto"/>
        </w:rPr>
        <w:t>ORIC-114 was designed for brain penetrance and demonstrated potent anti-tumor activity in an intracranial NSCLC EGFR exon 19 deletion mutation in vivo model, when dosed orally at 2.5 mg/kg QD, superior to TAK-788 which was dosed orally at 30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9" w:name="page20"/>
    <w:bookmarkEnd w:id="19"/>
    <w:p>
      <w:pPr>
        <w:ind w:right="260"/>
        <w:spacing w:after="0" w:line="261" w:lineRule="auto"/>
        <w:rPr>
          <w:sz w:val="20"/>
          <w:szCs w:val="20"/>
          <w:color w:val="auto"/>
        </w:rPr>
      </w:pPr>
      <w:r>
        <w:rPr>
          <w:rFonts w:ascii="Arial" w:cs="Arial" w:eastAsia="Arial" w:hAnsi="Arial"/>
          <w:sz w:val="18"/>
          <w:szCs w:val="18"/>
          <w:color w:val="auto"/>
        </w:rPr>
        <w:t>mg/kg QD and osimertinib at 10 mg/kg QD. Efficacy was measured by quantification of the bioluminescence photon flux in mice carrying intracranial PC9-Luc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109220</wp:posOffset>
            </wp:positionV>
            <wp:extent cx="4294505" cy="2486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9450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A key feature of ORIC-114 differentiation is that it was designed to optimize brain exposure across multiple parameters, including pump engagement, physicochemical properties, and free unbound fraction in the brain. Together, these compound characteristics translate in vivo into a high brain to plasma ratio in mice of nearly 1, as shown in the graph below, which depicts the free unbound fraction. Importantly, ORIC-114 high brain to plasma ratio was maintained at both 1 and 4 hours. In comparison with other clinical compounds, ORIC-114 free brain to plasma ratios are on par with osimertinib, which is deemed a CNS clinically active compound. In contrast, the free brain to plasma ratio of ORIC-114 is superior to other exon 20 directed agents such as TAK-788 and CLN-081, and is also superior to the HER2 agent, tucatinib, and its active metabolite. In summary, the limitations of current therapies to address brain metastases in both the exon 20 mutant population and the HER2-positive patient population, present an opportunity for ORIC-114.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132080</wp:posOffset>
            </wp:positionV>
            <wp:extent cx="3557270" cy="2957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Rationale for brain penetrant inhibitor of HER2 amplification</w:t>
      </w:r>
    </w:p>
    <w:p>
      <w:pPr>
        <w:spacing w:after="0" w:line="104"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HER2-positive breast cancer represents approximately 25% of all breast cancers and up to half of the HER2-positive breast cancer patients develop brain metastases over the course of their disease. Most current FDA approved HER2-directed therapies are not effective at crossing the blood-brain-barrier. Recently tucatinib was approved for HER2-positive breast cancer patients with brain metastases; however, we hypothesize that tucatinib activity may be limited by modest brain exposure of the parent drug and its active metabolite. Several companies are developing HER2 inhibitors; however, to our knowledge none have demonstrated significant brain exposure suitable for addressing brain metastases, an area of significant unmet medical need.</w:t>
      </w:r>
    </w:p>
    <w:p>
      <w:pPr>
        <w:spacing w:after="0" w:line="159" w:lineRule="exact"/>
        <w:rPr>
          <w:sz w:val="20"/>
          <w:szCs w:val="20"/>
          <w:color w:val="auto"/>
        </w:rPr>
      </w:pPr>
    </w:p>
    <w:p>
      <w:pPr>
        <w:ind w:right="280" w:firstLine="749"/>
        <w:spacing w:after="0" w:line="241" w:lineRule="auto"/>
        <w:rPr>
          <w:sz w:val="20"/>
          <w:szCs w:val="20"/>
          <w:color w:val="auto"/>
        </w:rPr>
      </w:pPr>
      <w:r>
        <w:rPr>
          <w:rFonts w:ascii="Arial" w:cs="Arial" w:eastAsia="Arial" w:hAnsi="Arial"/>
          <w:sz w:val="18"/>
          <w:szCs w:val="18"/>
          <w:color w:val="auto"/>
        </w:rPr>
        <w:t>The in vivo result shown on the figure below on the left indicates that orally dosed ORIC-114 has strong anti-tumor activity systemically in a subcutaneous HER2-positive breast cancer model, with tumor growth inhibition of 111% and two complete responses. ORIC-114 and tucatinib both demonstrate regressions in this subcutaneous model. However, in the figure below on the right, in the same HER2-positive breast cancer model with the tumors grown intracranially, oral dosing of ORIC-114 showed significant tumor growth inhibition in this intracranial model, with superior antitumor activity in the brain versus tucatinib.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95250</wp:posOffset>
            </wp:positionV>
            <wp:extent cx="6069330"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the fourth quarter of 2021, we filed a Clinical Trial Application (CTA) for ORIC-114 in South Korea, which was cleared in the first quarter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PRC2 inhibitor program: ORIC-944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12" w:lineRule="exact"/>
        <w:rPr>
          <w:sz w:val="20"/>
          <w:szCs w:val="20"/>
          <w:color w:val="auto"/>
        </w:rPr>
      </w:pPr>
    </w:p>
    <w:p>
      <w:pPr>
        <w:ind w:right="360" w:firstLine="749"/>
        <w:spacing w:after="0" w:line="262" w:lineRule="auto"/>
        <w:rPr>
          <w:sz w:val="20"/>
          <w:szCs w:val="20"/>
          <w:color w:val="auto"/>
        </w:rPr>
      </w:pPr>
      <w:r>
        <w:rPr>
          <w:rFonts w:ascii="Arial" w:cs="Arial" w:eastAsia="Arial" w:hAnsi="Arial"/>
          <w:sz w:val="17"/>
          <w:szCs w:val="17"/>
          <w:color w:val="auto"/>
        </w:rPr>
        <w:t>The PRC2 is a histone methyltransferase consisting of three core subunits: EED, EZH2 or EZH1, and SUZ12 and plays a key role in gene regulation and transcriptional repression, in particular during embryonic development. The dysregulation of PRC2 can lead to tumorigenesis in a wide range of cancers including prostate cancer, breast cancer, and hematological malignancies. EED is responsible for histone binding and activation of the PRC2 complex. Allosteric inhibition of EED impacts the assembly, stabilization, and activation of PRC2.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Rationale for targeting allosteric inhibition of PRC2 through EED</w:t>
      </w:r>
    </w:p>
    <w:p>
      <w:pPr>
        <w:spacing w:after="0" w:line="212"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The PRC2 complex has two druggable subunits, EZH2, whose enzymatic function is the target of first generation therapeutics, and EED, which next-generation therapeutics like ORIC-944 inhibit. Several companies are developing EZH2 inhibitors; however, the pharmacologic properties of these compounds result in high doses given more than once a day, that achieve only partial target inhibition in the clinic. Allosteric inhibition of PRC2 through EED is differentiated from targeting EZH2 and may be beneficial for a number of reasons. First, preclinical studies show that EED inhibition is active against mutants in EZH2 that confer innate resistance to EZH2 inhibitors. Second, in a similar fashion, acquired mutations in EZH2 are sensitive to EED inhibition. Third, cells treated with EZH2 inhibitors are also able to activate EHZ1 in a compensatory bypass mechanism of resistance, yet those cells are sensitive to EED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121285</wp:posOffset>
            </wp:positionV>
            <wp:extent cx="5237480" cy="2125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3748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0"/>
          <w:szCs w:val="10"/>
          <w:color w:val="auto"/>
        </w:rPr>
        <w:t>Note: EZH1, enhancer of zeste homolog 1. EZH2, enhancer of zeste homolog 2. EED, embryonic ectoderm development. SUZ12, suppressor of zeste 12. H3K27, histone H3 at lysine 27. (1) Yu et al. Cancer Res. (2007).</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ORIC-944 is a potent and selective allosteric inhibitor of PRC2 with mechanism of action via binding the EED subunit. ORIC-944 when dosed orally once a day as a single-agent significantly inhibited prostate tumor growth in androgen insensitive and enzalutamide-resistant prostate cancer models as seen in the figures below. While cross-study comparisons of preclinical data have limitations and caveats, the ORIC-944 efficacy appears to be superior to EZH2 inhibitors in the same models</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188595</wp:posOffset>
            </wp:positionV>
            <wp:extent cx="5888990" cy="2219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89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Note: ORIC-944 dose used was 200 mg/kg QD. Enzalutamide dose used was 30 mg/kg QD. ****p &lt; 0.0001. Left graph: C4-2 xenograft model. Right graph: 22Rv1 xenograft model.</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2" w:right="439" w:bottom="1440" w:gutter="0" w:footer="0" w:header="0"/>
        </w:sectPr>
      </w:pPr>
    </w:p>
    <w:bookmarkStart w:id="22" w:name="page23"/>
    <w:bookmarkEnd w:id="22"/>
    <w:p>
      <w:pPr>
        <w:ind w:right="200" w:firstLine="749"/>
        <w:spacing w:after="0" w:line="289" w:lineRule="auto"/>
        <w:rPr>
          <w:sz w:val="20"/>
          <w:szCs w:val="20"/>
          <w:color w:val="auto"/>
        </w:rPr>
      </w:pPr>
      <w:r>
        <w:rPr>
          <w:rFonts w:ascii="Arial" w:cs="Arial" w:eastAsia="Arial" w:hAnsi="Arial"/>
          <w:sz w:val="16"/>
          <w:szCs w:val="16"/>
          <w:color w:val="auto"/>
        </w:rPr>
        <w:t>Additional preclinical studies with ORIC-944 as a monotherapy and in combination regimens are being explored. We filed and cleared an IND with the FDA for ORIC-944 in the fourth quarter of 2021, and we are pursuing a single-agent clinical development plan in metastatic prostate cancer.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 antagonist program: ORIC-101</w:t>
      </w:r>
    </w:p>
    <w:p>
      <w:pPr>
        <w:spacing w:after="0" w:line="225" w:lineRule="exact"/>
        <w:rPr>
          <w:sz w:val="20"/>
          <w:szCs w:val="20"/>
          <w:color w:val="auto"/>
        </w:rPr>
      </w:pPr>
    </w:p>
    <w:p>
      <w:pPr>
        <w:ind w:right="560" w:firstLine="749"/>
        <w:spacing w:after="0" w:line="324" w:lineRule="auto"/>
        <w:rPr>
          <w:sz w:val="20"/>
          <w:szCs w:val="20"/>
          <w:color w:val="auto"/>
        </w:rPr>
      </w:pPr>
      <w:r>
        <w:rPr>
          <w:rFonts w:ascii="Arial" w:cs="Arial" w:eastAsia="Arial" w:hAnsi="Arial"/>
          <w:sz w:val="16"/>
          <w:szCs w:val="16"/>
          <w:color w:val="auto"/>
        </w:rPr>
        <w:t>ORIC-101, a potent and selective GR antagonist, with two distinct mechanisms of action was being evaluated in two Phase 1b trials in combination with: (1) Xtandi (enzalutamide) in metastatic prostate cancer and (2) Abraxane (nab-paclitaxel) in advanced or metastatic solid tumors.</w:t>
      </w:r>
    </w:p>
    <w:p>
      <w:pPr>
        <w:spacing w:after="0" w:line="124"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In March 2022, based on planned interim analyses from the two Phase 1b studies, it was determined that while the combination regimens were generally well tolerated, they did not demonstrate sufficient clinical activity to support further development, and we announced the decision to discontinue further development of ORIC-101.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98" w:lineRule="exact"/>
        <w:rPr>
          <w:sz w:val="20"/>
          <w:szCs w:val="20"/>
          <w:color w:val="auto"/>
        </w:rPr>
      </w:pPr>
    </w:p>
    <w:p>
      <w:pPr>
        <w:ind w:right="100" w:firstLine="749"/>
        <w:spacing w:after="0" w:line="216" w:lineRule="auto"/>
        <w:rPr>
          <w:sz w:val="20"/>
          <w:szCs w:val="20"/>
          <w:color w:val="auto"/>
        </w:rPr>
      </w:pPr>
      <w:r>
        <w:rPr>
          <w:rFonts w:ascii="Arial" w:cs="Arial" w:eastAsia="Arial" w:hAnsi="Arial"/>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and thus for the most part utilize a small molecule therapeutic approach to target oncogenic drivers in solid tumors like prostate, breast, and lung cancer that relapse with innate, acquired or bypass resistance. Our most advanced small molecule discovery research programs are currently in lead optimization.</w:t>
      </w:r>
    </w:p>
    <w:p>
      <w:pPr>
        <w:spacing w:after="0" w:line="176" w:lineRule="exact"/>
        <w:rPr>
          <w:sz w:val="20"/>
          <w:szCs w:val="20"/>
          <w:color w:val="auto"/>
        </w:rPr>
      </w:pPr>
    </w:p>
    <w:p>
      <w:pPr>
        <w:ind w:left="1020" w:right="60" w:hanging="503"/>
        <w:spacing w:after="0" w:line="24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PLK4 Program: a small molecule therapeutic intended to address a mechanism of innate resistance found in a subset of breast cancers, specifically a synthetic lethal interaction of PLK4 inhibition in tumors bearing a TRIM37 DNA amplification. Breast cancer models as well as other tumor models with this TRIM37 amplification have a key tumor dependency on PLK4 and our therapeutic approach is to inhibit this enzyme.</w:t>
      </w:r>
    </w:p>
    <w:p>
      <w:pPr>
        <w:spacing w:after="0" w:line="187" w:lineRule="exact"/>
        <w:rPr>
          <w:rFonts w:ascii="Arial" w:cs="Arial" w:eastAsia="Arial" w:hAnsi="Arial"/>
          <w:sz w:val="18"/>
          <w:szCs w:val="18"/>
          <w:color w:val="auto"/>
        </w:rPr>
      </w:pPr>
    </w:p>
    <w:p>
      <w:pPr>
        <w:ind w:left="1020" w:right="12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Discovery Program A: a small molecule therapeutic intended to address an acquired resistance mechanism in lung cancer that is caused by a mutation that arises in an enzyme within a subset of NSCLC patients after first-line treatment with another agent.</w:t>
      </w:r>
    </w:p>
    <w:p>
      <w:pPr>
        <w:spacing w:after="0" w:line="146" w:lineRule="exact"/>
        <w:rPr>
          <w:rFonts w:ascii="Arial" w:cs="Arial" w:eastAsia="Arial" w:hAnsi="Arial"/>
          <w:sz w:val="17"/>
          <w:szCs w:val="17"/>
          <w:color w:val="auto"/>
        </w:rPr>
      </w:pPr>
    </w:p>
    <w:p>
      <w:pPr>
        <w:ind w:left="1020" w:right="4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Discovery Program B: a blocking antibody that is targeting a mechanism of innate resistance caused by a gene rearrangement found in a subset of many solid tumors.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98"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On October 19, 2020, we entered into the Voronoi License Agreement, a license and collaboration agreement, with Voronoi. The Voronoi License Agreement gives us access to Voronoi’s preclinical stage EGFR and HER2 exon 20 insertion mutation program, including a lead product candidate now designated as ORIC-114. Under the Voronoi License Agreement, Voronoi granted us an exclusive, sublicensable license under Voronoi’s rights to certain patent applications directed to certain small molecule compounds that bind to EGFR or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has the right to perform certain mutually agreed upon development activities. Except for Voronoi's right to participate in such development activities, we are wholly responsible for development and commercialization of licensed products in the ORIC Territory. In addition, we are obligated to use commercially reasonable efforts to develop and commercialize at least one licensed product in certain major markets in the ORIC Territory.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ind w:right="20" w:firstLine="749"/>
        <w:spacing w:after="0" w:line="259" w:lineRule="auto"/>
        <w:rPr>
          <w:sz w:val="20"/>
          <w:szCs w:val="20"/>
          <w:color w:val="auto"/>
        </w:rPr>
      </w:pPr>
      <w:r>
        <w:rPr>
          <w:rFonts w:ascii="Arial" w:cs="Arial" w:eastAsia="Arial" w:hAnsi="Arial"/>
          <w:sz w:val="17"/>
          <w:szCs w:val="17"/>
          <w:color w:val="auto"/>
        </w:rPr>
        <w:t>Our financial obligations under the Voronoi License Agreement included an upfront payment of $5.0 million in cash and the issuance to Voronoi of 283,259 shares of our common stock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our common stock. The shares were issued in a private placement in reliance on Section 4(a)(2) of the Securities Act, as amended, for transactions by an issuer not involving any public offering.</w:t>
      </w:r>
    </w:p>
    <w:p>
      <w:pPr>
        <w:spacing w:after="0" w:line="160" w:lineRule="exact"/>
        <w:rPr>
          <w:sz w:val="20"/>
          <w:szCs w:val="20"/>
          <w:color w:val="auto"/>
        </w:rPr>
      </w:pPr>
    </w:p>
    <w:p>
      <w:pPr>
        <w:ind w:right="60" w:firstLine="749"/>
        <w:spacing w:after="0" w:line="238" w:lineRule="auto"/>
        <w:rPr>
          <w:sz w:val="20"/>
          <w:szCs w:val="20"/>
          <w:color w:val="auto"/>
        </w:rPr>
      </w:pPr>
      <w:r>
        <w:rPr>
          <w:rFonts w:ascii="Arial" w:cs="Arial" w:eastAsia="Arial" w:hAnsi="Arial"/>
          <w:sz w:val="17"/>
          <w:szCs w:val="17"/>
          <w:color w:val="auto"/>
        </w:rPr>
        <w:t>Under the Voronoi License Agreement, Voronoi will be responsible for certain research and development costs up to a predetermined threshold. Upon achievement of the predetermined threshold, Voronoi has the option to opt-out of participation in and funding of future development activities. If Voronoi decides not to exercise the opt-out provision, the parties will share certain future research and development costs equally in the Republic of Korea. We are also obligated to make milestone payments to Voronoi upon the achievement of certain events. Upon the achievement of certain development and regulatory milestones with respect to the first licensed product, we are obligated to pay Voronoi up to a maximum of $111.0 million. Upon the achievement of certain commercial milestones with respect to the first licensed product, we are obligated to pay Voronoi up to a maximum of $225.0 million. If we pursue a second licensed product, we could pay Voronoi up to an additional $272.0 million in success-based milestones. In addition, we are obligated to pay royalties on net sales of licensed products in the ORIC Territory.</w:t>
      </w:r>
    </w:p>
    <w:p>
      <w:pPr>
        <w:spacing w:after="0" w:line="177" w:lineRule="exact"/>
        <w:rPr>
          <w:sz w:val="20"/>
          <w:szCs w:val="20"/>
          <w:color w:val="auto"/>
        </w:rPr>
      </w:pPr>
    </w:p>
    <w:p>
      <w:pPr>
        <w:ind w:right="120" w:firstLine="749"/>
        <w:spacing w:after="0" w:line="227" w:lineRule="auto"/>
        <w:rPr>
          <w:sz w:val="20"/>
          <w:szCs w:val="20"/>
          <w:color w:val="auto"/>
        </w:rPr>
      </w:pPr>
      <w:r>
        <w:rPr>
          <w:rFonts w:ascii="Arial" w:cs="Arial" w:eastAsia="Arial" w:hAnsi="Arial"/>
          <w:sz w:val="18"/>
          <w:szCs w:val="18"/>
          <w:color w:val="auto"/>
        </w:rPr>
        <w:t>Unless earlier terminated, the Voronoi License Agreement will continue in effect until the expiration of all royalty payment obligations. Following the expiration of the Voronoi License Agreement, we will retain our licenses under the intellectual property Voronoi licensed to us on a royalty-free basis. We and Voronoi may each terminate the Voronoi License Agreement if the other party materially breaches the terms of such agreement, subject to specified notice and cure provisions, or enters into bankruptcy or insolvency proceedings. Voronoi may also terminate the agreement if we discontinue development of licensed products for a specified period of time. We also have the right to terminate the Voronoi License Agreement without cause by providing prior notice to Voronoi.</w:t>
      </w:r>
    </w:p>
    <w:p>
      <w:pPr>
        <w:spacing w:after="0" w:line="175"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If Voronoi terminates the Voronoi License Agreement for cause, or we terminate the Voronoi License Agreement without cause, then we are obligated to grant a nonexclusive license to Voronoi under certain of our patents and know-how and to assign to Voronoi certain of our regulatory filings for licensed compounds and licensed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On August 3, 2020, we entered into a license agreement (Mirati License Agreement) with Mirati. Under the Mirati License Agreement, Mirati granted us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 Under the Mirati License Agreement, we are wholly responsible for development and commercialization of licensed products. In addition, we are obligated to use commercially reasonable efforts to develop and commercialize at least one licensed product in certain major markets.</w:t>
      </w:r>
    </w:p>
    <w:p>
      <w:pPr>
        <w:spacing w:after="0" w:line="176" w:lineRule="exact"/>
        <w:rPr>
          <w:sz w:val="20"/>
          <w:szCs w:val="20"/>
          <w:color w:val="auto"/>
        </w:rPr>
      </w:pPr>
    </w:p>
    <w:p>
      <w:pPr>
        <w:ind w:right="20" w:firstLine="749"/>
        <w:spacing w:after="0" w:line="258" w:lineRule="auto"/>
        <w:rPr>
          <w:sz w:val="20"/>
          <w:szCs w:val="20"/>
          <w:color w:val="auto"/>
        </w:rPr>
      </w:pPr>
      <w:r>
        <w:rPr>
          <w:rFonts w:ascii="Arial" w:cs="Arial" w:eastAsia="Arial" w:hAnsi="Arial"/>
          <w:sz w:val="16"/>
          <w:szCs w:val="16"/>
          <w:color w:val="auto"/>
        </w:rPr>
        <w:t>Our financial obligation under the Mirati License Agreement was an upfront payment of 588,235 shares of our common stock, issued pursuant to a stock issuance agreement entered into between the parties on August 3, 2020. The number of shares issued was based on a price of $34.00 per share, representing a premium of 10% to the 60-day trailing volume weighted average trading price of our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We are not obligated to pay Mirati milestones or royalties.</w:t>
      </w:r>
    </w:p>
    <w:p>
      <w:pPr>
        <w:spacing w:after="0" w:line="163" w:lineRule="exact"/>
        <w:rPr>
          <w:sz w:val="20"/>
          <w:szCs w:val="20"/>
          <w:color w:val="auto"/>
        </w:rPr>
      </w:pPr>
    </w:p>
    <w:p>
      <w:pPr>
        <w:ind w:right="60" w:firstLine="749"/>
        <w:spacing w:after="0" w:line="225"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we will retain our licenses under the intellectual property Mirati licensed to us on a royalty-free basis. We and Mirati may each terminate the Mirati License Agreement if the other party materially breaches the terms of such agreement, subject to specified notice and cure provisions, or enters into bankruptcy or insolvency proceedings. Mirati may terminate the agreement if we challenge any of the patent rights licensed to us by Mirati or we discontinue development of licensed products for a specified period of time. We also have the right to terminate the Mirati License Agreement without cause by providing prior notice to Mirati.</w:t>
      </w:r>
    </w:p>
    <w:p>
      <w:pPr>
        <w:spacing w:after="0" w:line="189"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If Mirati terminates the Mirati License Agreement, or we terminate the Mirati License Agreement without cause, then we are obligated to assign to Mirati, or grant an exclusive license to Mirati with respect to, certain of our patents, know-how and regulatory filings directed to licensed compounds and licensed products.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8" w:lineRule="exact"/>
        <w:rPr>
          <w:sz w:val="20"/>
          <w:szCs w:val="20"/>
          <w:color w:val="auto"/>
        </w:rPr>
      </w:pPr>
    </w:p>
    <w:p>
      <w:pPr>
        <w:ind w:firstLine="749"/>
        <w:spacing w:after="0" w:line="228"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required commercial infrastructure and manufacturing needs may all influence or alter our commercialization plans.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85" w:lineRule="exact"/>
        <w:rPr>
          <w:sz w:val="20"/>
          <w:szCs w:val="20"/>
          <w:color w:val="auto"/>
        </w:rPr>
      </w:pPr>
    </w:p>
    <w:p>
      <w:pPr>
        <w:ind w:right="20" w:firstLine="749"/>
        <w:spacing w:after="0" w:line="226"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65" w:lineRule="exact"/>
        <w:rPr>
          <w:sz w:val="20"/>
          <w:szCs w:val="20"/>
          <w:color w:val="auto"/>
        </w:rPr>
      </w:pPr>
    </w:p>
    <w:p>
      <w:pPr>
        <w:ind w:right="260" w:firstLine="749"/>
        <w:spacing w:after="0" w:line="219" w:lineRule="auto"/>
        <w:rPr>
          <w:sz w:val="20"/>
          <w:szCs w:val="20"/>
          <w:color w:val="auto"/>
        </w:rPr>
      </w:pPr>
      <w:r>
        <w:rPr>
          <w:rFonts w:ascii="Arial" w:cs="Arial" w:eastAsia="Arial" w:hAnsi="Arial"/>
          <w:sz w:val="18"/>
          <w:szCs w:val="18"/>
          <w:color w:val="auto"/>
        </w:rPr>
        <w:t>To date, we have obtained active pharmaceutical ingredients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w:t>
      </w:r>
    </w:p>
    <w:p>
      <w:pPr>
        <w:spacing w:after="0" w:line="163" w:lineRule="exact"/>
        <w:rPr>
          <w:sz w:val="20"/>
          <w:szCs w:val="20"/>
          <w:color w:val="auto"/>
        </w:rPr>
      </w:pPr>
    </w:p>
    <w:p>
      <w:pPr>
        <w:ind w:right="220" w:firstLine="749"/>
        <w:spacing w:after="0" w:line="235" w:lineRule="auto"/>
        <w:rPr>
          <w:sz w:val="20"/>
          <w:szCs w:val="20"/>
          <w:color w:val="auto"/>
        </w:rPr>
      </w:pPr>
      <w:r>
        <w:rPr>
          <w:rFonts w:ascii="Arial" w:cs="Arial" w:eastAsia="Arial" w:hAnsi="Arial"/>
          <w:sz w:val="18"/>
          <w:szCs w:val="18"/>
          <w:color w:val="auto"/>
        </w:rPr>
        <w:t>As we advance our product candidates through development, we will consider whether to change our lack of redundant supply for the API and drug product for each of our product candidates to protect against any potential supply disruptions.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generally expect to rely on third parties for the manufacture of any companion diagnostics we may develop.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8"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or in-licensing issued patents and patent applications,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80" w:lineRule="exact"/>
        <w:rPr>
          <w:sz w:val="20"/>
          <w:szCs w:val="20"/>
          <w:color w:val="auto"/>
        </w:rPr>
      </w:pPr>
    </w:p>
    <w:p>
      <w:pPr>
        <w:ind w:right="80" w:firstLine="749"/>
        <w:spacing w:after="0" w:line="284" w:lineRule="auto"/>
        <w:rPr>
          <w:sz w:val="20"/>
          <w:szCs w:val="20"/>
          <w:color w:val="auto"/>
        </w:rPr>
      </w:pPr>
      <w:r>
        <w:rPr>
          <w:rFonts w:ascii="Arial" w:cs="Arial" w:eastAsia="Arial" w:hAnsi="Arial"/>
          <w:sz w:val="16"/>
          <w:szCs w:val="16"/>
          <w:color w:val="auto"/>
        </w:rPr>
        <w:t>Our patent portfolio consists of issued patents and pending patent applications that we own or in-licensed related to ORIC-533, ORIC-114, ORIC-944 and various other compounds and programs. As of December 31, 2021, the portfolio includes 5 issued United States patents, 22 pending United States patent applications, 3 pending international patent applications filed under the Patent Cooperation Treaty (PCT application), 2 issued patents in various markets outside of the United States, and more than 50 pending patent applications in various markets outside of the United States.</w:t>
      </w:r>
    </w:p>
    <w:p>
      <w:pPr>
        <w:spacing w:after="0" w:line="155"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As of December 31, 2021, our patent portfolio covering ORIC-533 included patents issued in the United States, along with patent applications pending in the United States, Europe, Japan, China and other markets outside of the United States. The issued United States patents covering ORIC-533 as composition of matter, pharmaceutical compositions and related methods of use are expected to expire in 2040, absent any patent term extensions for regulatory delay. Any patents that may issue from our pending patent applications related to ORIC-533 are expected to expire between 2040 and 2042, absent any patent term adjustments or extensions.</w:t>
      </w:r>
    </w:p>
    <w:p>
      <w:pPr>
        <w:spacing w:after="0" w:line="189"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As of December 31, 2021, our patent portfolio covering ORIC-114 that we have exclusively in-licensed from Voronoi in the ORIC Territory include an issued patent in Korea, along with patent applications pending in the United States, Europe, Japan, China and other markets outside of the United States. Any patents that may issue from the pending patent applications related to ORIC-114 are expected to expire between 2040 and 2042, absent any patent term adjustments or extensions.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right="80" w:firstLine="749"/>
        <w:spacing w:after="0" w:line="259" w:lineRule="auto"/>
        <w:rPr>
          <w:sz w:val="20"/>
          <w:szCs w:val="20"/>
          <w:color w:val="auto"/>
        </w:rPr>
      </w:pPr>
      <w:r>
        <w:rPr>
          <w:rFonts w:ascii="Arial" w:cs="Arial" w:eastAsia="Arial" w:hAnsi="Arial"/>
          <w:sz w:val="17"/>
          <w:szCs w:val="17"/>
          <w:color w:val="auto"/>
        </w:rPr>
        <w:t>As of December 31, 2021, our patent portfolio covering ORIC-944 that we have exclusively in-licensed from Mirati include patents issued in Israel and the United States, along with patent applications pending in the United States, Europe, Japan, China and other markets outside of the United States. The issued United States patents covering ORIC-944 as composition of matter, pharmaceutical compositions and related methods of use are expected to expire in 2039, absent any patent term extensions for regulatory delay. Any patents that may issue from the pending patent applications related to ORIC-944 are expected to expire between 2039 and 2042, absent any patent term adjustments or extensions.</w:t>
      </w:r>
    </w:p>
    <w:p>
      <w:pPr>
        <w:spacing w:after="0" w:line="174"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We also possess substantial know-how and trade secrets relating to the development and commercialization of our product candidates, including related manufacturing processes and technology.</w:t>
      </w:r>
    </w:p>
    <w:p>
      <w:pPr>
        <w:spacing w:after="0" w:line="171" w:lineRule="exact"/>
        <w:rPr>
          <w:sz w:val="20"/>
          <w:szCs w:val="20"/>
          <w:color w:val="auto"/>
        </w:rPr>
      </w:pPr>
    </w:p>
    <w:p>
      <w:pPr>
        <w:ind w:right="340" w:firstLine="749"/>
        <w:spacing w:after="0" w:line="248"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82"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9"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w:t>
      </w:r>
    </w:p>
    <w:p>
      <w:pPr>
        <w:spacing w:after="0" w:line="168"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Moreover, even our issued patents may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products. While we believe that our technology, the expertise of our executive and scientific team, research,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89" w:lineRule="exact"/>
        <w:rPr>
          <w:sz w:val="20"/>
          <w:szCs w:val="20"/>
          <w:color w:val="auto"/>
        </w:rPr>
      </w:pPr>
    </w:p>
    <w:p>
      <w:pPr>
        <w:ind w:right="100" w:firstLine="749"/>
        <w:spacing w:after="0" w:line="276"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6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and convenience.</w:t>
      </w:r>
    </w:p>
    <w:p>
      <w:pPr>
        <w:spacing w:after="0" w:line="189"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For ORIC-533, our orally bioavailable small molecule CD73 inhibitor,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Akeso, Symphogen, Innovent, Henlius Biotech and Jacobio Pharmaceuticals. Other companies, such as Arcus Biosciences, Antengene and Merck through its acquisition of Peloton Therapeutics, have small-molecule programs against this target. To our knowledge, only Antengene has an orally available, small molecule CD73 inhibitor in an active clinical trial for patients with cancer.</w:t>
      </w:r>
    </w:p>
    <w:p>
      <w:pPr>
        <w:spacing w:after="0" w:line="159"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For ORIC-114, we are aware of two companies with an FDA 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Spectrum Pharmaceuticals, Jiangsu Hengrui Medicine Co., Daiichi Sankyo, Dizal Pharmaceuticals, Cullinan Oncology, Black Diamond Therapeutics, Bayer, Allist Pharmaceuticals and Blueprint Medicines. Additionally, Seattle Genetics has an FDA approved product for the treatment of patients with HER2-positive breast cancer, including patients with brain metastases. We are also aware that Dizal Pharmaceuticals is developing a brain penetrant inhibitor currently in a clinical trial for patients with HER2-positive breast cancer.</w:t>
      </w:r>
    </w:p>
    <w:p>
      <w:pPr>
        <w:spacing w:after="0" w:line="161" w:lineRule="exact"/>
        <w:rPr>
          <w:sz w:val="20"/>
          <w:szCs w:val="20"/>
          <w:color w:val="auto"/>
        </w:rPr>
      </w:pPr>
    </w:p>
    <w:p>
      <w:pPr>
        <w:ind w:right="240" w:firstLine="749"/>
        <w:spacing w:after="0" w:line="270" w:lineRule="auto"/>
        <w:rPr>
          <w:sz w:val="20"/>
          <w:szCs w:val="20"/>
          <w:color w:val="auto"/>
        </w:rPr>
      </w:pPr>
      <w:r>
        <w:rPr>
          <w:rFonts w:ascii="Arial" w:cs="Arial" w:eastAsia="Arial" w:hAnsi="Arial"/>
          <w:sz w:val="17"/>
          <w:szCs w:val="17"/>
          <w:color w:val="auto"/>
        </w:rPr>
        <w:t>For ORIC-944, we are aware of several companies developing inhibitors against PRC2 via EZH2 inhibition that are currently in clinical trials, including Epizyme, Constellation Pharmaceuticals (now Morphosys), Daiichi Sankyo, Pfizer, Shanghai HaiHe Pharmaceutical and Jiangsu Hengrui Medicine Co. To our knowledge, only Novartis has an allosteric PRC2 inhibitor in a clinical trial for patients with cancer.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1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regulatory authority.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12"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In the United States, the FDA regulates drugs under the Food, Drug, and Cosmetic Act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81"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63" w:lineRule="exact"/>
        <w:rPr>
          <w:sz w:val="20"/>
          <w:szCs w:val="20"/>
          <w:color w:val="auto"/>
        </w:rPr>
      </w:pPr>
    </w:p>
    <w:p>
      <w:pPr>
        <w:ind w:left="1260" w:right="340" w:hanging="503"/>
        <w:spacing w:after="0" w:line="261"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trial site before each trial may be initiated;</w:t>
      </w:r>
    </w:p>
    <w:p>
      <w:pPr>
        <w:spacing w:after="0" w:line="117" w:lineRule="exact"/>
        <w:rPr>
          <w:rFonts w:ascii="Arial" w:cs="Arial" w:eastAsia="Arial" w:hAnsi="Arial"/>
          <w:sz w:val="18"/>
          <w:szCs w:val="18"/>
          <w:color w:val="auto"/>
        </w:rPr>
      </w:pPr>
    </w:p>
    <w:p>
      <w:pPr>
        <w:ind w:left="1260" w:right="160" w:hanging="503"/>
        <w:spacing w:after="0" w:line="248"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(GCP) requirements and other clinical trial-related regulations to establish substantial evidence of the safety and efficacy of the investigational product for each proposed indication;</w:t>
      </w:r>
    </w:p>
    <w:p>
      <w:pPr>
        <w:spacing w:after="0" w:line="8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filing for review;</w:t>
      </w:r>
    </w:p>
    <w:p>
      <w:pPr>
        <w:spacing w:after="0" w:line="117" w:lineRule="exact"/>
        <w:rPr>
          <w:rFonts w:ascii="Arial" w:cs="Arial" w:eastAsia="Arial" w:hAnsi="Arial"/>
          <w:sz w:val="18"/>
          <w:szCs w:val="18"/>
          <w:color w:val="auto"/>
        </w:rPr>
      </w:pPr>
    </w:p>
    <w:p>
      <w:pPr>
        <w:ind w:left="1260" w:right="40" w:hanging="503"/>
        <w:spacing w:after="0" w:line="248"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87" w:lineRule="exact"/>
        <w:rPr>
          <w:rFonts w:ascii="Arial" w:cs="Arial" w:eastAsia="Arial" w:hAnsi="Arial"/>
          <w:sz w:val="18"/>
          <w:szCs w:val="18"/>
          <w:color w:val="auto"/>
        </w:rPr>
      </w:pPr>
    </w:p>
    <w:p>
      <w:pPr>
        <w:ind w:left="1260" w:hanging="503"/>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117" w:lineRule="exact"/>
        <w:rPr>
          <w:rFonts w:ascii="Arial" w:cs="Arial" w:eastAsia="Arial" w:hAnsi="Arial"/>
          <w:sz w:val="18"/>
          <w:szCs w:val="18"/>
          <w:color w:val="auto"/>
        </w:rPr>
      </w:pPr>
    </w:p>
    <w:p>
      <w:pPr>
        <w:ind w:left="1260" w:right="280" w:hanging="503"/>
        <w:spacing w:after="0" w:line="261"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 and</w:t>
      </w:r>
    </w:p>
    <w:p>
      <w:pPr>
        <w:spacing w:after="0" w:line="76" w:lineRule="exact"/>
        <w:rPr>
          <w:rFonts w:ascii="Arial" w:cs="Arial" w:eastAsia="Arial" w:hAnsi="Arial"/>
          <w:sz w:val="18"/>
          <w:szCs w:val="18"/>
          <w:color w:val="auto"/>
        </w:rPr>
      </w:pPr>
    </w:p>
    <w:p>
      <w:pPr>
        <w:ind w:left="1260" w:right="140" w:hanging="503"/>
        <w:spacing w:after="0" w:line="241"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the potential requirement to conduct post-approval studies. The data required to support an NDA are generated in two distinct developmental stages: preclinical and clinical. The preclinical and clinical testing and approval process requires substantial time, effort and financial resources, and we cannot be certain that any approvals for any current and future product candidates will be granted on a timely basis, or at all.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IND/CTA</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9"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outstanding concerns before the clinical trial can begin. As a result, submission of an IND may not result in the FDA allowing clinical trials to commence.</w:t>
      </w:r>
    </w:p>
    <w:p>
      <w:pPr>
        <w:spacing w:after="0" w:line="235"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A process similar to an IND submission, review and approval is followed in filing a Clinical Trials Application (CTA) with regulatory agencies in other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8"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generally accept a well-designed and well-conducted foreign clinical trial not conducted under an IND if the trial was conducted in accordance with the ethical principles contained in the Declaration of Helsinki pursuant to 21 CFR 312.120(c)(4), incorporating the 1989 version of the Declaration, or with the laws and regulations of the foreign regulatory authority where the trial was conducted, such as the EMA, whichever provides greater protection of the human subjects, and with GCP and GMP requirements, and the FDA is able to validate the data through an onsite inspection, if deemed necessary, and the practice of medicine in the foreign country is consistent with the United States.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27" w:lineRule="exact"/>
        <w:rPr>
          <w:sz w:val="20"/>
          <w:szCs w:val="20"/>
          <w:color w:val="auto"/>
        </w:rPr>
      </w:pPr>
    </w:p>
    <w:p>
      <w:pPr>
        <w:ind w:left="1260" w:right="260" w:hanging="503"/>
        <w:spacing w:after="0" w:line="248"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7" w:lineRule="exact"/>
        <w:rPr>
          <w:rFonts w:ascii="Arial" w:cs="Arial" w:eastAsia="Arial" w:hAnsi="Arial"/>
          <w:sz w:val="18"/>
          <w:szCs w:val="18"/>
          <w:color w:val="auto"/>
        </w:rPr>
      </w:pPr>
    </w:p>
    <w:p>
      <w:pPr>
        <w:ind w:left="1260" w:right="220" w:hanging="503"/>
        <w:spacing w:after="0" w:line="248"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7" w:lineRule="exact"/>
        <w:rPr>
          <w:rFonts w:ascii="Arial" w:cs="Arial" w:eastAsia="Arial" w:hAnsi="Arial"/>
          <w:sz w:val="18"/>
          <w:szCs w:val="18"/>
          <w:color w:val="auto"/>
        </w:rPr>
      </w:pPr>
    </w:p>
    <w:p>
      <w:pPr>
        <w:ind w:left="1260" w:right="240" w:hanging="503"/>
        <w:spacing w:after="0" w:line="284"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0" w:lineRule="exact"/>
        <w:rPr>
          <w:rFonts w:ascii="Arial" w:cs="Arial" w:eastAsia="Arial" w:hAnsi="Arial"/>
          <w:sz w:val="16"/>
          <w:szCs w:val="16"/>
          <w:color w:val="auto"/>
        </w:rPr>
      </w:pPr>
    </w:p>
    <w:p>
      <w:pPr>
        <w:ind w:left="1260" w:hanging="503"/>
        <w:spacing w:after="0" w:line="248"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87" w:lineRule="exact"/>
        <w:rPr>
          <w:rFonts w:ascii="Arial" w:cs="Arial" w:eastAsia="Arial" w:hAnsi="Arial"/>
          <w:sz w:val="18"/>
          <w:szCs w:val="18"/>
          <w:color w:val="auto"/>
        </w:rPr>
      </w:pPr>
    </w:p>
    <w:p>
      <w:pPr>
        <w:ind w:left="1260" w:right="60" w:hanging="503"/>
        <w:spacing w:after="0" w:line="241"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reports detailing the results of the clinical trials, among other information, must be submitted at least annually to the FDA.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pacing w:after="0" w:line="94" w:lineRule="exact"/>
        <w:rPr>
          <w:rFonts w:ascii="Arial" w:cs="Arial" w:eastAsia="Arial" w:hAnsi="Arial"/>
          <w:sz w:val="18"/>
          <w:szCs w:val="18"/>
          <w:color w:val="auto"/>
        </w:rPr>
      </w:pPr>
    </w:p>
    <w:p>
      <w:pPr>
        <w:ind w:left="1260" w:right="480" w:hanging="503"/>
        <w:spacing w:after="0" w:line="291"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left="1260" w:right="40"/>
        <w:spacing w:after="0" w:line="279" w:lineRule="auto"/>
        <w:rPr>
          <w:sz w:val="20"/>
          <w:szCs w:val="20"/>
          <w:color w:val="auto"/>
        </w:rPr>
      </w:pPr>
      <w:r>
        <w:rPr>
          <w:rFonts w:ascii="Arial" w:cs="Arial" w:eastAsia="Arial" w:hAnsi="Arial"/>
          <w:sz w:val="16"/>
          <w:szCs w:val="16"/>
          <w:color w:val="auto"/>
        </w:rPr>
        <w:t>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65" w:lineRule="exact"/>
        <w:rPr>
          <w:sz w:val="20"/>
          <w:szCs w:val="20"/>
          <w:color w:val="auto"/>
        </w:rPr>
      </w:pPr>
    </w:p>
    <w:p>
      <w:pPr>
        <w:ind w:left="1260" w:right="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product candidates. Additionally, appropriate packaging must be selected and tested, and stability studies must be conducted to demonstrate that our product candidates do not undergo unacceptable deterioration over their labeled shelf life.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process</w:t>
      </w:r>
    </w:p>
    <w:p>
      <w:pPr>
        <w:spacing w:after="0" w:line="212" w:lineRule="exact"/>
        <w:rPr>
          <w:sz w:val="20"/>
          <w:szCs w:val="20"/>
          <w:color w:val="auto"/>
        </w:rPr>
      </w:pPr>
    </w:p>
    <w:p>
      <w:pPr>
        <w:jc w:val="both"/>
        <w:ind w:right="160" w:firstLine="749"/>
        <w:spacing w:after="0" w:line="262" w:lineRule="auto"/>
        <w:rPr>
          <w:sz w:val="20"/>
          <w:szCs w:val="20"/>
          <w:color w:val="auto"/>
        </w:rPr>
      </w:pPr>
      <w:r>
        <w:rPr>
          <w:rFonts w:ascii="Arial" w:cs="Arial" w:eastAsia="Arial" w:hAnsi="Arial"/>
          <w:sz w:val="17"/>
          <w:szCs w:val="17"/>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7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legally marketed in the United States.</w:t>
      </w:r>
    </w:p>
    <w:p>
      <w:pPr>
        <w:spacing w:after="0" w:line="189" w:lineRule="exact"/>
        <w:rPr>
          <w:sz w:val="20"/>
          <w:szCs w:val="20"/>
          <w:color w:val="auto"/>
        </w:rPr>
      </w:pPr>
    </w:p>
    <w:p>
      <w:pPr>
        <w:ind w:right="120" w:firstLine="749"/>
        <w:spacing w:after="0" w:line="262" w:lineRule="auto"/>
        <w:rPr>
          <w:sz w:val="20"/>
          <w:szCs w:val="20"/>
          <w:color w:val="auto"/>
        </w:rPr>
      </w:pPr>
      <w:r>
        <w:rPr>
          <w:rFonts w:ascii="Arial" w:cs="Arial" w:eastAsia="Arial" w:hAnsi="Arial"/>
          <w:sz w:val="17"/>
          <w:szCs w:val="17"/>
          <w:color w:val="auto"/>
        </w:rPr>
        <w:t>Under the Prescription Drug User Fee Act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189"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ind w:right="160"/>
        <w:spacing w:after="0" w:line="261" w:lineRule="auto"/>
        <w:rPr>
          <w:sz w:val="20"/>
          <w:szCs w:val="20"/>
          <w:color w:val="auto"/>
        </w:rPr>
      </w:pPr>
      <w:r>
        <w:rPr>
          <w:rFonts w:ascii="Arial" w:cs="Arial" w:eastAsia="Arial" w:hAnsi="Arial"/>
          <w:sz w:val="18"/>
          <w:szCs w:val="18"/>
          <w:color w:val="auto"/>
        </w:rPr>
        <w:t>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12"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8"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2"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2"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spacing w:after="0" w:line="189"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47" w:lineRule="exact"/>
        <w:rPr>
          <w:sz w:val="20"/>
          <w:szCs w:val="20"/>
          <w:color w:val="auto"/>
        </w:rPr>
      </w:pPr>
    </w:p>
    <w:p>
      <w:pPr>
        <w:ind w:right="120" w:firstLine="749"/>
        <w:spacing w:after="0" w:line="254"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receiving accelerated approval perform adequate and well 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w:t>
      </w:r>
    </w:p>
    <w:p>
      <w:pPr>
        <w:spacing w:after="0" w:line="181"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2"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4"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9"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140" w:hanging="383"/>
        <w:spacing w:after="0"/>
        <w:tabs>
          <w:tab w:leader="none" w:pos="11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 or</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212"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2" w:name="page33"/>
    <w:bookmarkEnd w:id="32"/>
    <w:p>
      <w:pPr>
        <w:ind w:right="40" w:firstLine="749"/>
        <w:spacing w:after="0" w:line="248" w:lineRule="auto"/>
        <w:rPr>
          <w:sz w:val="20"/>
          <w:szCs w:val="20"/>
          <w:color w:val="auto"/>
        </w:rPr>
      </w:pPr>
      <w:r>
        <w:rPr>
          <w:rFonts w:ascii="Arial" w:cs="Arial" w:eastAsia="Arial" w:hAnsi="Arial"/>
          <w:sz w:val="18"/>
          <w:szCs w:val="18"/>
          <w:color w:val="auto"/>
        </w:rPr>
        <w:t>Pursuing FDA approval/clearance of an in vitro companion diagnostic would require either a pre-market notification, also called 510(k) clearance, or a pre-market approval, or PMA, or a de novo classification for that diagnostic. The review of companion diagnostics involves coordination of review with the FDA’s Center for Devices and Radiological Health.</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process</w:t>
      </w:r>
    </w:p>
    <w:p>
      <w:pPr>
        <w:spacing w:after="0" w:line="104" w:lineRule="exact"/>
        <w:rPr>
          <w:sz w:val="20"/>
          <w:szCs w:val="20"/>
          <w:color w:val="auto"/>
        </w:rPr>
      </w:pPr>
    </w:p>
    <w:p>
      <w:pPr>
        <w:ind w:right="100" w:firstLine="749"/>
        <w:spacing w:after="0" w:line="276"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2" w:lineRule="exact"/>
        <w:rPr>
          <w:sz w:val="20"/>
          <w:szCs w:val="20"/>
          <w:color w:val="auto"/>
        </w:rPr>
      </w:pPr>
    </w:p>
    <w:p>
      <w:pPr>
        <w:ind w:right="60" w:firstLine="749"/>
        <w:spacing w:after="0" w:line="294"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10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80"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PMA process</w:t>
      </w:r>
    </w:p>
    <w:p>
      <w:pPr>
        <w:spacing w:after="0" w:line="90" w:lineRule="exact"/>
        <w:rPr>
          <w:sz w:val="20"/>
          <w:szCs w:val="20"/>
          <w:color w:val="auto"/>
        </w:rPr>
      </w:pPr>
    </w:p>
    <w:p>
      <w:pPr>
        <w:ind w:right="60" w:firstLine="749"/>
        <w:spacing w:after="0" w:line="225" w:lineRule="auto"/>
        <w:rPr>
          <w:sz w:val="20"/>
          <w:szCs w:val="20"/>
          <w:color w:val="auto"/>
        </w:rPr>
      </w:pPr>
      <w:r>
        <w:rPr>
          <w:rFonts w:ascii="Arial" w:cs="Arial" w:eastAsia="Arial" w:hAnsi="Arial"/>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or QSR, which imposes extensive testing, control, documentation, and other quality assurance and GMP requirements.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98" w:lineRule="exact"/>
        <w:rPr>
          <w:sz w:val="20"/>
          <w:szCs w:val="20"/>
          <w:color w:val="auto"/>
        </w:rPr>
      </w:pPr>
    </w:p>
    <w:p>
      <w:pPr>
        <w:ind w:right="40" w:firstLine="749"/>
        <w:spacing w:after="0" w:line="231" w:lineRule="auto"/>
        <w:rPr>
          <w:sz w:val="20"/>
          <w:szCs w:val="20"/>
          <w:color w:val="auto"/>
        </w:rPr>
      </w:pPr>
      <w:r>
        <w:rPr>
          <w:rFonts w:ascii="Arial" w:cs="Arial" w:eastAsia="Arial" w:hAnsi="Arial"/>
          <w:sz w:val="18"/>
          <w:szCs w:val="18"/>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67" w:lineRule="exact"/>
        <w:rPr>
          <w:sz w:val="20"/>
          <w:szCs w:val="20"/>
          <w:color w:val="auto"/>
        </w:rPr>
      </w:pPr>
    </w:p>
    <w:p>
      <w:pPr>
        <w:ind w:left="1140" w:right="20" w:hanging="383"/>
        <w:spacing w:after="0" w:line="235"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left="1140"/>
        <w:spacing w:after="0"/>
        <w:rPr>
          <w:sz w:val="20"/>
          <w:szCs w:val="20"/>
          <w:color w:val="auto"/>
        </w:rPr>
      </w:pPr>
      <w:r>
        <w:rPr>
          <w:rFonts w:ascii="Arial" w:cs="Arial" w:eastAsia="Arial" w:hAnsi="Arial"/>
          <w:sz w:val="16"/>
          <w:szCs w:val="16"/>
          <w:color w:val="auto"/>
        </w:rPr>
        <w:t>particular drug, for which payment may be made under a federal healthcare program, such as Medicare or Medicaid. Moreover, the Patient</w:t>
      </w:r>
    </w:p>
    <w:p>
      <w:pPr>
        <w:spacing w:after="0" w:line="113" w:lineRule="exact"/>
        <w:rPr>
          <w:sz w:val="20"/>
          <w:szCs w:val="20"/>
          <w:color w:val="auto"/>
        </w:rPr>
      </w:pPr>
    </w:p>
    <w:p>
      <w:pPr>
        <w:ind w:left="1140" w:right="340" w:hanging="383"/>
        <w:spacing w:after="0" w:line="253"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Protection and Affordable Care Act of 2010, as amended by the health Care and Education Reconciliation Act of 2010 (collectively, the ACA), provides that the government may assert that a claim including items or services resulting from a violation of the federal Anti-Kickback Statute constitutes a false or fraudulent claim for purposes of the civil False Claims Act;</w:t>
      </w:r>
    </w:p>
    <w:p>
      <w:pPr>
        <w:spacing w:after="0" w:line="83" w:lineRule="exact"/>
        <w:rPr>
          <w:rFonts w:ascii="Arial" w:cs="Arial" w:eastAsia="Arial" w:hAnsi="Arial"/>
          <w:sz w:val="17"/>
          <w:szCs w:val="17"/>
          <w:color w:val="auto"/>
        </w:rPr>
      </w:pPr>
    </w:p>
    <w:p>
      <w:pPr>
        <w:ind w:left="1140" w:right="40" w:hanging="383"/>
        <w:spacing w:after="0" w:line="24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false claims, including the civil False Claims Act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94" w:lineRule="exact"/>
        <w:rPr>
          <w:rFonts w:ascii="Arial" w:cs="Arial" w:eastAsia="Arial" w:hAnsi="Arial"/>
          <w:sz w:val="18"/>
          <w:szCs w:val="18"/>
          <w:color w:val="auto"/>
        </w:rPr>
      </w:pPr>
    </w:p>
    <w:p>
      <w:pPr>
        <w:ind w:left="1140" w:right="20" w:hanging="383"/>
        <w:spacing w:after="0" w:line="291"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52" w:lineRule="exact"/>
        <w:rPr>
          <w:rFonts w:ascii="Arial" w:cs="Arial" w:eastAsia="Arial" w:hAnsi="Arial"/>
          <w:sz w:val="17"/>
          <w:szCs w:val="17"/>
          <w:color w:val="auto"/>
        </w:rPr>
      </w:pPr>
    </w:p>
    <w:p>
      <w:pPr>
        <w:ind w:left="1140" w:right="60" w:hanging="383"/>
        <w:spacing w:after="0" w:line="262"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77" w:lineRule="exact"/>
        <w:rPr>
          <w:rFonts w:ascii="Arial" w:cs="Arial" w:eastAsia="Arial" w:hAnsi="Arial"/>
          <w:sz w:val="17"/>
          <w:szCs w:val="17"/>
          <w:color w:val="auto"/>
        </w:rPr>
      </w:pPr>
    </w:p>
    <w:p>
      <w:pPr>
        <w:ind w:left="1140" w:right="40" w:hanging="383"/>
        <w:spacing w:after="0" w:line="274"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certain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 recipients will be expanded to include physician assistants, nurse practitioners, clinical nurse specialists, certified registered nurse anesthetists and anesthesiologist assistants, and certified nurse-midwives; and</w:t>
      </w:r>
    </w:p>
    <w:p>
      <w:pPr>
        <w:spacing w:after="0" w:line="68" w:lineRule="exact"/>
        <w:rPr>
          <w:rFonts w:ascii="Arial" w:cs="Arial" w:eastAsia="Arial" w:hAnsi="Arial"/>
          <w:sz w:val="16"/>
          <w:szCs w:val="16"/>
          <w:color w:val="auto"/>
        </w:rPr>
      </w:pPr>
    </w:p>
    <w:p>
      <w:pPr>
        <w:ind w:left="1140" w:right="40" w:hanging="383"/>
        <w:spacing w:after="0" w:line="27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68"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as well as other applicable consumer safety requirements.</w:t>
      </w:r>
    </w:p>
    <w:p>
      <w:pPr>
        <w:spacing w:after="0" w:line="180"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212"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6"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and UK drug development</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addition to regulations in the United States, we must obtain the requisite approvals from regulatory authorities in foreign countries prior to the commencement of clinical studies or marketing of the product in those countries. Certain countries outside the U.S. have a similar process that requires the submission of a clinical study application much like the IND prior to the commencement of human clinical studies. The approval process varies from country to country and the time may be longer or shorter that that required to obtain FDA approval. The requirements governing the conduct of clinical trials, product licensing, pricing and reimbursement vary greatly from country to country and may require us to perform additional pre-clinical or clinical testing.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12"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Pharmaceutical products in the European Union are subject to regulation under comprehensive legislation enacted by the European Commission in the European Medicinal Products Directive (Directive 2001/83/EC), as amended. Centrally authorized products are also regulated by Regulation (EC) No. 726/2004. This legislation is binding on all Member States together with ancillary legislation governing research. In the UK, the main legislative texts relating to human medicines is the Medicines Act 1968 and the Human Medicines Regulation 2012.</w:t>
      </w:r>
    </w:p>
    <w:p>
      <w:pPr>
        <w:spacing w:after="0" w:line="172" w:lineRule="exact"/>
        <w:rPr>
          <w:sz w:val="20"/>
          <w:szCs w:val="20"/>
          <w:color w:val="auto"/>
        </w:rPr>
      </w:pPr>
    </w:p>
    <w:p>
      <w:pPr>
        <w:ind w:right="160" w:firstLine="749"/>
        <w:spacing w:after="0" w:line="274" w:lineRule="auto"/>
        <w:rPr>
          <w:sz w:val="20"/>
          <w:szCs w:val="20"/>
          <w:color w:val="auto"/>
        </w:rPr>
      </w:pPr>
      <w:r>
        <w:rPr>
          <w:rFonts w:ascii="Arial" w:cs="Arial" w:eastAsia="Arial" w:hAnsi="Arial"/>
          <w:sz w:val="16"/>
          <w:szCs w:val="16"/>
          <w:color w:val="auto"/>
        </w:rPr>
        <w:t>The European Union system for authorization of medicinal products for human use offers several routes: the centralized procedure, the decentralized procedure, and the mutual recognition procedure, as well as domestic national routes. The centralized procedure provides for the grant of a single marketing authorization that is valid for all 27 European Union Member States as well as the EEA countries of Iceland, Liechtenstein and Norway. The centralized procedure is mandatory for certain categories of investigational products, including human products containing a new active substance indicated for the treatment of certain diseases, including cancer, AIDS, diabetes and neurodegenerative illness; orphan medicinal products; and medicinal products manufactured using biotechnological processes. Applications for marketing authorization for such medicines must be submitted to the EMA, in which the Committee for Medicinal Products for Human Use (CHMP) is generally responsible for conducting the initial assessment of a product.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5" w:name="page36"/>
    <w:bookmarkEnd w:id="35"/>
    <w:p>
      <w:pPr>
        <w:ind w:firstLine="749"/>
        <w:spacing w:after="0" w:line="253" w:lineRule="auto"/>
        <w:rPr>
          <w:sz w:val="20"/>
          <w:szCs w:val="20"/>
          <w:color w:val="auto"/>
        </w:rPr>
      </w:pPr>
      <w:r>
        <w:rPr>
          <w:rFonts w:ascii="Arial" w:cs="Arial" w:eastAsia="Arial" w:hAnsi="Arial"/>
          <w:sz w:val="17"/>
          <w:szCs w:val="17"/>
          <w:color w:val="auto"/>
        </w:rPr>
        <w:t>The decentralized and mutual recognition procedures are applicable to the majority of conventional medicinal products and are both based on the principle of recognition of a marketing authorization by one or more Member States. The decentralized procedure is available for applicants who wish to market a product in various European Union Member States where such product has not received marketing approval in any European Union Member State before. In this procedure, an application for marketing authorization is submitted simultaneously in several Member States, one of them being chosen as the “Reference Member State.” At the end of the procedure, national marketing authorizations are granted in the Reference and in the concerned Member States. The mutual recognition procedure is compulsory when a medicinal product has already received a marketing authorization in one Member State and is to be marketed in a Member State other than that in which it was first authorized. Any national marketing authorization granted by a European Union Member State's national authority can be used to support an application for its mutual recognition by other Member States. Marketing authorization applications can also be submitted directly to the Member State's national competent authority under the national route (if the centralized route is not compulsory).</w:t>
      </w:r>
    </w:p>
    <w:p>
      <w:pPr>
        <w:spacing w:after="0" w:line="180"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The UK is no longer a member of the EU, but EU law remains applicable in Northern Ireland. There are a number of new marketing authorization routes available in the UK, Great Britain (England, Scotland and Wales) or Northern Ireland, in addition to the national procedure, which are broadly categorized as either (1) national routes (i.e. the innovative licensing and access procedure (ILAP), the national procedure, rolling review, EC Decision Procedure (ECDP), the MR/DC reliance procedure and unfettered access from Northern Ireland); or (2) international routes (i.e. Access Consortium to market a medicine in the UK, Australia, Canada, Singapore and/or Switzerland; or the Project Orbis program for cancer treatments). The application procedure will depend on the relevant procedure chosen.</w:t>
      </w:r>
    </w:p>
    <w:p>
      <w:pPr>
        <w:spacing w:after="0" w:line="189"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All granted centrally authorized marketing authorizations automatically became Great Britain (GB) marketing authorizations on 1 January 2021. Though there are several ways to obtain a marketing authorization for GB (and Northern Ireland) discussed above, the EDRCP is available for marketing authorizations approved under the centralized procedure. Under this procedure the UK's regulator, the MHRA, can rely on the decision of the European Commission on the approval of a new marketing authorization under centralized procedure for a period of two years from January 1, 2021, when determining an application for a GB marketing authorization. Applicants submit a letter of intent to submit an EDRCP to the MHRA at least 4 weeks before the submission of the application for the EDRCP marketing authorization application. The marketing authorization application is submitted after receipt of the positive opinion from the CHMP.</w:t>
      </w:r>
    </w:p>
    <w:p>
      <w:pPr>
        <w:spacing w:after="0" w:line="191"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The objective of the EMA is the comprehensive evaluation of benefit/risk profile of a new medicinal product going through the centralized procedure. This evaluation involves showing that the product has significant efficacy and safety, together with a satisfactory plan for risk management post-marketing. The CHMP is the EMA’s expert committee responsible for human medicinal products. The CHMP is responsible for conducting the initial review of centrally authorized marketing authorization applications and for assessing modifications or extensions (variations) to an existing marketing authorization. It also considers the recommendations of the Pharmacovigilance Risk Assessment Committee on the safety of medicines on the market and when necessary, recommends to the European Commission changes to a medicine’s marketing authorization, or its suspension or withdrawal from the market. The marketing authorization application is similar to the NDA in the United States. All application procedures require an application in the common technical document (CTD), which includes the submission of detailed information about the manufacturing and quality of the product, and non-clinical and clinical trial information. The main scientific principle used by the CHMP in the evaluation of medicinal products is the benefit/risk ratio based on quality, efficacy, safety, and risk management considerations. The CHMP assesses whether the data it reviews comply with the ICH-harmonized Good Practices published for GCP, GMP and good laboratory practice (GLP). The CHMP also considers whether studies concluding efficacy and safety of products have sufficient statistical power.</w:t>
      </w:r>
    </w:p>
    <w:p>
      <w:pPr>
        <w:spacing w:after="0" w:line="183"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Marketing authorizations for the UK are submitted to the MHRA. As the Medicinal Products Directive is transposed into domestic law, the standards of clinical efficacy, safety, chemical control and manufacture as at 31 December 2020 (the end of the transition period for the UK’s exit from the EU) are retained. As Northern Ireland continues to apply EU law, medicines regulation for Great Britain is likely to be closely aligned with the EU for some time.</w:t>
      </w:r>
    </w:p>
    <w:p>
      <w:pPr>
        <w:spacing w:after="0" w:line="188"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Two recent developments have been introduced which further expand the European regulatory framework: the Falsified Medicines Directive and the Pharmacovigilance Directive. The Falsified Medicines Directive obliges manufacturers of medicinal products to audit their suppliers of active substances to ensure compliance with GMP. It also introduces a new obligation on product manufacturers to inform the competent authority (e.g., ANSM) and the marketing authorization holder if they become aware that these products may be falsified, whether they are being distributed through the legitimate supply chain or by illegal means. The Pharmacovigilance Directive obliges marketing authorization holders to monitor the safety of authorized products and detect any change in their risk-benefit profile.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100"/>
        <w:spacing w:after="0"/>
        <w:rPr>
          <w:sz w:val="20"/>
          <w:szCs w:val="20"/>
          <w:color w:val="auto"/>
        </w:rPr>
      </w:pPr>
      <w:r>
        <w:rPr>
          <w:rFonts w:ascii="Arial" w:cs="Arial" w:eastAsia="Arial" w:hAnsi="Arial"/>
          <w:sz w:val="18"/>
          <w:szCs w:val="18"/>
          <w:color w:val="auto"/>
        </w:rPr>
        <w:t>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 Brexit will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81"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Clinical trials in the European Union are regulated under European Council Directive 2001/20/EC (Clinical Trials Directive) on the implementation of GCP in the conduct of clinical trials of medicinal products for human use. The Clinical Trials Directive requires the sponsor of an investigational medicinal product to obtain a CTA, much like an IND in the United States, from the national competent authority of a European Union Member State in which the clinical trial is to be conducted. The application for CTA must satisfy detailed requirements for the protection of trial subjects including requirements relating to consent and specific rules for minors and adults unable to consent by reason of incapacity. The CTA application must be accompanied by an investigational medicinal product dossier with supporting information prescribed by the Council Directive and corresponding national laws of the Member States and further detailed in applicable guidance, including the European Commission Communication 2010/C 82/01. A clinical trial may only be commenced after an Ethics Committee has given its approval.</w:t>
      </w:r>
    </w:p>
    <w:p>
      <w:pPr>
        <w:spacing w:after="0" w:line="167" w:lineRule="exact"/>
        <w:rPr>
          <w:sz w:val="20"/>
          <w:szCs w:val="20"/>
          <w:color w:val="auto"/>
        </w:rPr>
      </w:pPr>
    </w:p>
    <w:p>
      <w:pPr>
        <w:ind w:right="180" w:firstLine="749"/>
        <w:spacing w:after="0" w:line="231" w:lineRule="auto"/>
        <w:rPr>
          <w:sz w:val="20"/>
          <w:szCs w:val="20"/>
          <w:color w:val="auto"/>
        </w:rPr>
      </w:pPr>
      <w:r>
        <w:rPr>
          <w:rFonts w:ascii="Arial" w:cs="Arial" w:eastAsia="Arial" w:hAnsi="Arial"/>
          <w:sz w:val="18"/>
          <w:szCs w:val="18"/>
          <w:color w:val="auto"/>
        </w:rPr>
        <w:t>A sponsor of a clinical trial must also follow certain procedures, including obtaining a unique EudraCT number by entering specified relevant information in the EudraCT Community Clinical Trial System. In addition, Member States require that the manufacture and/or importation of investigational medicinal products be authorized. Sponsors of investigational medicinal products must ensure compliance with, among other things, GCP and good manufacturing practice (GMP) as well as requirements pertaining to safety reporting.</w:t>
      </w:r>
    </w:p>
    <w:p>
      <w:pPr>
        <w:spacing w:after="0" w:line="175" w:lineRule="exact"/>
        <w:rPr>
          <w:sz w:val="20"/>
          <w:szCs w:val="20"/>
          <w:color w:val="auto"/>
        </w:rPr>
      </w:pPr>
    </w:p>
    <w:p>
      <w:pPr>
        <w:ind w:firstLine="749"/>
        <w:spacing w:after="0" w:line="237" w:lineRule="auto"/>
        <w:rPr>
          <w:sz w:val="20"/>
          <w:szCs w:val="20"/>
          <w:color w:val="auto"/>
        </w:rPr>
      </w:pPr>
      <w:r>
        <w:rPr>
          <w:rFonts w:ascii="Arial" w:cs="Arial" w:eastAsia="Arial" w:hAnsi="Arial"/>
          <w:sz w:val="17"/>
          <w:szCs w:val="17"/>
          <w:color w:val="auto"/>
        </w:rPr>
        <w:t>In April 2014, Regulation EU No 536/2014 (Clinical Trials Regulation) was adopted, which comes into application on January 31, 2022 and repeals the existing EU Clinical Trials Directive. The Clinical Trials Regulation is intended to simplify the current rules for clinical trial authorization and standards of performance. For instance, there will be a streamlined application procedure via a single-entry point, a European Union portal and database. The implementation of the Clinical Trials Regulation depends on confirmation of full functionality of the Clinical Trials Information System (CTIS) through an independent audit, which commenced in September 2020. The system is currently planned to go live in January 2022. The new clinical trial portal and database will be maintained by the EMA in collaboration with the European Commission and the European Union Member States. The objectives of the new Regulation include consistent rules for conducting trials throughout the European Union, consistent data standards and adverse events listing, and consistent information on the authorization status. Additionally, information on the conduct and results of each clinical trial carried out in the European Union will be made publicly available.</w:t>
      </w:r>
    </w:p>
    <w:p>
      <w:pPr>
        <w:spacing w:after="0" w:line="180" w:lineRule="exact"/>
        <w:rPr>
          <w:sz w:val="20"/>
          <w:szCs w:val="20"/>
          <w:color w:val="auto"/>
        </w:rPr>
      </w:pPr>
    </w:p>
    <w:p>
      <w:pPr>
        <w:ind w:right="100" w:firstLine="749"/>
        <w:spacing w:after="0" w:line="238" w:lineRule="auto"/>
        <w:rPr>
          <w:sz w:val="20"/>
          <w:szCs w:val="20"/>
          <w:color w:val="auto"/>
        </w:rPr>
      </w:pPr>
      <w:r>
        <w:rPr>
          <w:rFonts w:ascii="Arial" w:cs="Arial" w:eastAsia="Arial" w:hAnsi="Arial"/>
          <w:sz w:val="17"/>
          <w:szCs w:val="17"/>
          <w:color w:val="auto"/>
        </w:rPr>
        <w:t>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 position. A CTA will be required to conduct a clinical trial in the UK, together with Ethics Committee approval. However, the sponsor of a clinical trial in the UK must be established in the UK or a country on an approved list currently limited to the EU Member States plus Iceland, Liechtenstein and Norway) or appoint a legal representative who is established on one of the aforementioned countries. Clinical trials should also be registered on an established international register such as ISRCTN registry or ClinicalTrials.gov. The UK also requires the manufacture and/or importation of investigational medicinal products to be authorized. There is no mutual recognition agreement between the UK and EU on GMP, so medicines manufactured in the UK would be subject to GMP release in the EU.</w:t>
      </w:r>
    </w:p>
    <w:p>
      <w:pPr>
        <w:spacing w:after="0" w:line="177"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Similar to the U.S. patent term-restoration, Supplementary Protection Certificates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12"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7" w:name="page38"/>
    <w:bookmarkEnd w:id="37"/>
    <w:p>
      <w:pPr>
        <w:ind w:right="220" w:firstLine="749"/>
        <w:spacing w:after="0" w:line="254"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81"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2"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2"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86"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firstLine="749"/>
        <w:spacing w:after="0" w:line="267" w:lineRule="auto"/>
        <w:rPr>
          <w:sz w:val="20"/>
          <w:szCs w:val="20"/>
          <w:color w:val="auto"/>
        </w:rPr>
      </w:pPr>
      <w:r>
        <w:rPr>
          <w:rFonts w:ascii="Arial" w:cs="Arial" w:eastAsia="Arial" w:hAnsi="Arial"/>
          <w:sz w:val="16"/>
          <w:szCs w:val="16"/>
          <w:color w:val="auto"/>
        </w:rPr>
        <w:t>Since its enactment, there have been legislative and judicial efforts to repeal, replace, or change some or all of the ACA. For example, on December 22, 2017, President Trump signed into law new federal tax legislation commonly referred to as the Tax Cuts and Jobs Act (the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(the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77"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March 31, 2022, followed by 1% payment adjustment from April 1 to June 30, 2022 and resumption of the 2% adjustment beginning July 1, 2022, unless additional congressional action is taken. It is possible that additional governmental action will be taken in response to the COVID-19 pandemic, resulting in a material adverse effect on our business.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4" w:lineRule="exact"/>
        <w:rPr>
          <w:sz w:val="20"/>
          <w:szCs w:val="20"/>
          <w:color w:val="auto"/>
        </w:rPr>
      </w:pPr>
    </w:p>
    <w:p>
      <w:pPr>
        <w:ind w:right="40" w:firstLine="749"/>
        <w:spacing w:after="0" w:line="251" w:lineRule="auto"/>
        <w:rPr>
          <w:sz w:val="20"/>
          <w:szCs w:val="20"/>
          <w:color w:val="auto"/>
        </w:rPr>
      </w:pPr>
      <w:r>
        <w:rPr>
          <w:rFonts w:ascii="Arial" w:cs="Arial" w:eastAsia="Arial" w:hAnsi="Arial"/>
          <w:sz w:val="17"/>
          <w:szCs w:val="17"/>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2020, under the Trump administration,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HHS challenging various aspects of the rules. The impact of these lawsuits as well as legislative, executive, and administrative actions of the current administration on us and the pharmaceutical industry as a whole is currently unknown.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and allowing Medicare to negotiate drug pricing for select drugs. The implementation of cost containment measures or other healthcare reforms may prevent us from being able to generate revenue, attain profitability, or commercialize our product candidates if approved.</w:t>
      </w:r>
    </w:p>
    <w:p>
      <w:pPr>
        <w:spacing w:after="0" w:line="183"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9" w:name="page40"/>
    <w:bookmarkEnd w:id="39"/>
    <w:p>
      <w:pPr>
        <w:ind w:right="460"/>
        <w:spacing w:after="0" w:line="261" w:lineRule="auto"/>
        <w:rPr>
          <w:sz w:val="20"/>
          <w:szCs w:val="20"/>
          <w:color w:val="auto"/>
        </w:rPr>
      </w:pPr>
      <w:r>
        <w:rPr>
          <w:rFonts w:ascii="Arial" w:cs="Arial" w:eastAsia="Arial" w:hAnsi="Arial"/>
          <w:sz w:val="18"/>
          <w:szCs w:val="18"/>
          <w:color w:val="auto"/>
        </w:rPr>
        <w:t>state laws once we begin commercialization. These and other health reform measures that are implemented may have a material adverse effect on our operations.</w:t>
      </w:r>
    </w:p>
    <w:p>
      <w:pPr>
        <w:spacing w:after="0" w:line="171" w:lineRule="exact"/>
        <w:rPr>
          <w:sz w:val="20"/>
          <w:szCs w:val="20"/>
          <w:color w:val="auto"/>
        </w:rPr>
      </w:pPr>
    </w:p>
    <w:p>
      <w:pPr>
        <w:ind w:right="140" w:firstLine="749"/>
        <w:spacing w:after="0" w:line="276" w:lineRule="auto"/>
        <w:rPr>
          <w:sz w:val="20"/>
          <w:szCs w:val="20"/>
          <w:color w:val="auto"/>
        </w:rPr>
      </w:pPr>
      <w:r>
        <w:rPr>
          <w:rFonts w:ascii="Arial" w:cs="Arial" w:eastAsia="Arial" w:hAnsi="Arial"/>
          <w:sz w:val="16"/>
          <w:szCs w:val="16"/>
          <w:color w:val="auto"/>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212"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We believe that sustainable operations are both financially and operationally beneficial to our business, and critical to the health of the communities in which we operate. Our operations are subject to federal, state, local and foreign laws, rules and regulations relating to environmental concerns, including air emissions, wastewater discharges, solid and hazardous waste management activities, and the safety of our employees. We endeavor to take actions necessary to comply with such regulations. We seek to minimize our resource footprint at our locations with a focus on managing waste, water and energy consumption.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Human Capital</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December 31, 2021, we had 78 full-time employees, of which 55 were engaged in research and development activities. Substantially all of our employees are located in South San Francisco, California and San Diego, California. None of our employees are represented by labor unions or covered by collective bargaining agreements. We consider our relationship with our employees to be good.</w:t>
      </w:r>
    </w:p>
    <w:p>
      <w:pPr>
        <w:spacing w:after="0" w:line="182" w:lineRule="exact"/>
        <w:rPr>
          <w:sz w:val="20"/>
          <w:szCs w:val="20"/>
          <w:color w:val="auto"/>
        </w:rPr>
      </w:pPr>
    </w:p>
    <w:p>
      <w:pPr>
        <w:ind w:right="120" w:firstLine="749"/>
        <w:spacing w:after="0" w:line="25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are committed to offering a comprehensive suite of benefits ranging from medical, dental, and vision coverage, disability, remote work flexibility, employee stock purchase, and life insurance programs. All employees are also eligible to participate in a Company sponsored defined contribution plan created under Section 401(k) of the Internal Revenue Code that provides for the Company to match a portion of contributions by participating employees.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We were incorporated in Delaware in August 2014. Our principal executive offices are located at 240 E. Grand Avenue, 2nd Floor, South San Francisco, California 94080. Our telephone number is (650) 388-5600. Our website address is www.oricpharma.com. Information contained on the website is not incorporated by reference into this Annual Report on Form 10-K or any other filings we make with the SEC.</w:t>
      </w:r>
    </w:p>
    <w:p>
      <w:pPr>
        <w:spacing w:after="0" w:line="182"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We may use our website (www.oricpharma.com), press releases, public conference calls, public webcasts, Twitter and LinkedIn as means of disclosing material non-public information and for complying with our disclosure obligations under Regulation FD.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https://www.sec.gov.</w:t>
      </w:r>
    </w:p>
    <w:p>
      <w:pPr>
        <w:spacing w:after="0" w:line="180"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We use the ORIC Pharmaceuticals logo and other marks as trademarks in the United States and other countries. This periodic report contains references to our trademarks and service marks and to those belonging to other entities. Solely for convenience, trademarks and trade names referred to in this periodic report, including logos, artwork and other visual displays, may appear without the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Item 1A. Risk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Annual Report on Form 10-K,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 and</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11" w:lineRule="exact"/>
        <w:rPr>
          <w:sz w:val="20"/>
          <w:szCs w:val="20"/>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dependence on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clinical trial results and challenges related to FDA, EMA and other regulatory requirements;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different territories;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difficulties in developing our potential programs;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our product candidates for particular indications;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unacceptance of our product candidates in the medical community;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market opportunities for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 and</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11" w:lineRule="exact"/>
        <w:rPr>
          <w:sz w:val="20"/>
          <w:szCs w:val="20"/>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EMA and other regulatory authorities’ unacceptance of data from trials conducted outside their jurisdiction;</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to our ability to obtain orphan drug designation or maintain orphan drug exclusivity for our product candidates;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1" w:name="page42"/>
    <w:bookmarkEnd w:id="41"/>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11" w:lineRule="exact"/>
        <w:rPr>
          <w:rFonts w:ascii="Arial" w:cs="Arial" w:eastAsia="Arial" w:hAnsi="Arial"/>
          <w:sz w:val="18"/>
          <w:szCs w:val="18"/>
          <w:color w:val="auto"/>
        </w:rPr>
      </w:pP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anti-bribery, anti-corruption, export, trade sanctions and import laws or regulations; and</w:t>
      </w:r>
    </w:p>
    <w:p>
      <w:pPr>
        <w:ind w:left="1260" w:hanging="503"/>
        <w:spacing w:after="0" w:line="243"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California laws or The Nasdaq Global Select Market (Nasdaq) rules governing diversity of our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11"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 data privacy breaches or incidents impacting our internal systems or those of commercial third parties;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Securities and Exchange Commission civil enforcement action against one of our officers;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federal income tax reform and additional effort and expenses incurred as a result;</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related to international marketing of our product candidates;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military conflict in Ukraine, and any resulting trade war, could result in increased manufacturing costs; and</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 may adversely affect us by increasing our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inability to obtain or maintain rights to our product candidates through acquisitions and in-licenses;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limited name recognition in our markets that depend on protection of our trademarks and trade names;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development and commercialization rights that are subject to unfavorable terms and conditions of licensors;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 and</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1"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third parties for production, preclinical studies and clinical trials of our product candidates;</w:t>
      </w:r>
    </w:p>
    <w:p>
      <w:pPr>
        <w:ind w:left="1260" w:hanging="503"/>
        <w:spacing w:after="0" w:line="234"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ind w:left="1260" w:hanging="503"/>
        <w:spacing w:after="0" w:line="234"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 and</w:t>
      </w: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1" w:lineRule="exact"/>
        <w:rPr>
          <w:sz w:val="20"/>
          <w:szCs w:val="20"/>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42" w:name="page43"/>
    <w:bookmarkEnd w:id="42"/>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11" w:lineRule="exact"/>
        <w:rPr>
          <w:rFonts w:ascii="Arial" w:cs="Arial" w:eastAsia="Arial" w:hAnsi="Arial"/>
          <w:sz w:val="18"/>
          <w:szCs w:val="18"/>
          <w:color w:val="auto"/>
        </w:rPr>
      </w:pP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ind w:left="1260" w:hanging="503"/>
        <w:spacing w:after="0" w:line="23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 and</w:t>
      </w: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exclusive forum provisions in our bylaws that may limit stockholder ability to obtain a favorable judicial forum.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600"/>
        <w:spacing w:after="0" w:line="324"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6"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ORIC-101, ORIC-533, ORIC-114, ORIC-944 and our other future product candidates, in-licensing of external programs, business planning, establishing and maintaining our intellectual property portfolio, hiring personnel, raising capital and providing general and administrative support for these operations.</w:t>
      </w:r>
    </w:p>
    <w:p>
      <w:pPr>
        <w:spacing w:after="0" w:line="54"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80" w:lineRule="exact"/>
        <w:rPr>
          <w:sz w:val="20"/>
          <w:szCs w:val="20"/>
          <w:color w:val="auto"/>
        </w:rPr>
      </w:pPr>
    </w:p>
    <w:p>
      <w:pPr>
        <w:ind w:right="180" w:firstLine="749"/>
        <w:spacing w:after="0" w:line="241"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27"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$78.7 million for the year ended December 31, 2021, and as of December 31, 2021, we had an accumulated deficit of $245.1 million. In the second quarter of 2021, the U.S. Food and Drug Administration (FDA) cleared an Investigational New Drug Application (IND) for ORIC-533. In the fourth quarter of 2021, we filed a Clinical Trial Application (CTA) in South Korea for ORIC-114, which was cleared in the first quarter of 2022. We also filed and cleared an IND with the FDA for ORIC-944 in the fourth quarter of 2021.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3"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Our business depends entirely on the successful discovery, development and commercialization of product candidates. We have no products approved for commercial sale and do not anticipate generating any revenue from product sales for the next several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3" w:name="page44"/>
    <w:bookmarkEnd w:id="43"/>
    <w:p>
      <w:pPr>
        <w:ind w:right="40"/>
        <w:spacing w:after="0" w:line="261" w:lineRule="auto"/>
        <w:rPr>
          <w:sz w:val="20"/>
          <w:szCs w:val="20"/>
          <w:color w:val="auto"/>
        </w:rPr>
      </w:pPr>
      <w:r>
        <w:rPr>
          <w:rFonts w:ascii="Arial" w:cs="Arial" w:eastAsia="Arial" w:hAnsi="Arial"/>
          <w:sz w:val="18"/>
          <w:szCs w:val="18"/>
          <w:color w:val="auto"/>
        </w:rPr>
        <w:t>years, if ever. Our ability to generate revenue and achieve profitability depends significantly on our ability, or any current or future collaborator’s ability, to achieve several objectives, including:</w:t>
      </w:r>
    </w:p>
    <w:p>
      <w:pPr>
        <w:spacing w:after="0" w:line="49" w:lineRule="exact"/>
        <w:rPr>
          <w:sz w:val="20"/>
          <w:szCs w:val="20"/>
          <w:color w:val="auto"/>
        </w:rPr>
      </w:pPr>
    </w:p>
    <w:p>
      <w:pPr>
        <w:ind w:left="1260" w:right="52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ORIC-533, ORIC-114, ORIC-944 and our other future product candidates;</w:t>
      </w:r>
    </w:p>
    <w:p>
      <w:pPr>
        <w:spacing w:after="0" w:line="61" w:lineRule="exact"/>
        <w:rPr>
          <w:rFonts w:ascii="Arial" w:cs="Arial" w:eastAsia="Arial" w:hAnsi="Arial"/>
          <w:sz w:val="18"/>
          <w:szCs w:val="18"/>
          <w:color w:val="auto"/>
        </w:rPr>
      </w:pPr>
    </w:p>
    <w:p>
      <w:pPr>
        <w:ind w:left="1260" w:right="16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ORIC-533, ORIC-114, ORIC-944 and our other future product candidates;</w:t>
      </w:r>
    </w:p>
    <w:p>
      <w:pPr>
        <w:spacing w:after="0" w:line="61" w:lineRule="exact"/>
        <w:rPr>
          <w:rFonts w:ascii="Arial" w:cs="Arial" w:eastAsia="Arial" w:hAnsi="Arial"/>
          <w:sz w:val="18"/>
          <w:szCs w:val="18"/>
          <w:color w:val="auto"/>
        </w:rPr>
      </w:pPr>
    </w:p>
    <w:p>
      <w:pPr>
        <w:ind w:left="1260" w:right="60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1" w:lineRule="exact"/>
        <w:rPr>
          <w:rFonts w:ascii="Arial" w:cs="Arial" w:eastAsia="Arial" w:hAnsi="Arial"/>
          <w:sz w:val="18"/>
          <w:szCs w:val="18"/>
          <w:color w:val="auto"/>
        </w:rPr>
      </w:pPr>
    </w:p>
    <w:p>
      <w:pPr>
        <w:ind w:left="1260" w:right="38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1" w:lineRule="exact"/>
        <w:rPr>
          <w:rFonts w:ascii="Arial" w:cs="Arial" w:eastAsia="Arial" w:hAnsi="Arial"/>
          <w:sz w:val="18"/>
          <w:szCs w:val="18"/>
          <w:color w:val="auto"/>
        </w:rPr>
      </w:pPr>
    </w:p>
    <w:p>
      <w:pPr>
        <w:ind w:left="1260" w:hanging="503"/>
        <w:spacing w:after="0" w:line="235"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6" w:lineRule="exact"/>
        <w:rPr>
          <w:rFonts w:ascii="Arial" w:cs="Arial" w:eastAsia="Arial" w:hAnsi="Arial"/>
          <w:sz w:val="18"/>
          <w:szCs w:val="18"/>
          <w:color w:val="auto"/>
        </w:rPr>
      </w:pPr>
    </w:p>
    <w:p>
      <w:pPr>
        <w:ind w:left="1260" w:right="14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90" w:lineRule="exact"/>
        <w:rPr>
          <w:rFonts w:ascii="Arial" w:cs="Arial" w:eastAsia="Arial" w:hAnsi="Arial"/>
          <w:sz w:val="18"/>
          <w:szCs w:val="18"/>
          <w:color w:val="auto"/>
        </w:rPr>
      </w:pPr>
    </w:p>
    <w:p>
      <w:pPr>
        <w:ind w:left="1260" w:right="20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90" w:lineRule="exact"/>
        <w:rPr>
          <w:rFonts w:ascii="Arial" w:cs="Arial" w:eastAsia="Arial" w:hAnsi="Arial"/>
          <w:sz w:val="18"/>
          <w:szCs w:val="18"/>
          <w:color w:val="auto"/>
        </w:rPr>
      </w:pPr>
    </w:p>
    <w:p>
      <w:pPr>
        <w:ind w:left="1260" w:right="540" w:hanging="503"/>
        <w:spacing w:after="0" w:line="246"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90" w:lineRule="exact"/>
        <w:rPr>
          <w:sz w:val="20"/>
          <w:szCs w:val="20"/>
          <w:color w:val="auto"/>
        </w:rPr>
      </w:pPr>
    </w:p>
    <w:p>
      <w:pPr>
        <w:ind w:right="160" w:firstLine="749"/>
        <w:spacing w:after="0" w:line="24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76"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right="100" w:firstLine="749"/>
        <w:spacing w:after="0" w:line="270"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product candidate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our product candidates before we receive marketing approval from the FDA. Accordingly, we will need to obtain substantial additional funding in order to continue our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4" w:name="page45"/>
    <w:bookmarkEnd w:id="44"/>
    <w:p>
      <w:pPr>
        <w:ind w:right="20" w:firstLine="749"/>
        <w:spacing w:after="0"/>
        <w:rPr>
          <w:sz w:val="20"/>
          <w:szCs w:val="20"/>
          <w:color w:val="auto"/>
        </w:rPr>
      </w:pPr>
      <w:r>
        <w:rPr>
          <w:rFonts w:ascii="Arial" w:cs="Arial" w:eastAsia="Arial" w:hAnsi="Arial"/>
          <w:sz w:val="18"/>
          <w:szCs w:val="18"/>
          <w:color w:val="auto"/>
        </w:rPr>
        <w:t>As of December 31, 2021, we had $280.4 million in cash, cash equivalents and available-for-sale investments. Based on our current operating plan, we believe that our existing cash, cash equivalents and available-for-sale investments will be sufficient to fund our operations into the second half of 2024. Our estimate as to how long we expect our existing cash, cash equivalents, and available-for-sale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1"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3"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We were substantially dependent on the success of ORIC-101, for which we recently discontinued early stage clinical trials. We are substantially dependent on the success of our other product candidates, ORIC-533, ORIC-114 and ORIC-944. If we are unable to complete development of, obtain approval for and commercialize our product candidates for one or more indications in a timely manner, our business will be harmed.</w:t>
      </w:r>
    </w:p>
    <w:p>
      <w:pPr>
        <w:spacing w:after="0" w:line="39"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Our future success was dependent on our ability to timely and successfully complete clinical trials for ORIC-101. However, we recently discontinued early stage clinical trials for ORIC-101. We will shift the majority of our efforts and financial resources to the research and development of ORIC-533, ORIC-114 and ORIC-944. Our future success is dependent on our ability to timely and successfully complete clinical trials, obtain marketing approval for and successfully commercialize ORIC-533, ORIC-114 and ORIC-944.</w:t>
      </w:r>
    </w:p>
    <w:p>
      <w:pPr>
        <w:spacing w:after="0" w:line="80"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we have initiated a Phase 1b trial as a single agent in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are pursuing a Phase 1b single agent trial which will enroll patients with advanced solid tumors with EGFR or HER2 exon 20 alterations or HER2 amplifications and will allow patients with CNS metastases that are either treated or untreated but asymptomatic.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pursuing a single agent clinical development plan in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04" w:lineRule="exact"/>
        <w:rPr>
          <w:sz w:val="20"/>
          <w:szCs w:val="20"/>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our product candidates;</w:t>
      </w:r>
    </w:p>
    <w:p>
      <w:pPr>
        <w:spacing w:after="0" w:line="103" w:lineRule="exact"/>
        <w:rPr>
          <w:rFonts w:ascii="Arial" w:cs="Arial" w:eastAsia="Arial" w:hAnsi="Arial"/>
          <w:sz w:val="18"/>
          <w:szCs w:val="18"/>
          <w:color w:val="auto"/>
        </w:rPr>
      </w:pPr>
    </w:p>
    <w:p>
      <w:pPr>
        <w:ind w:left="1260" w:right="70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initiation and successful patient enrollment and completion of additional clinical trials of our product candidates on a timely basis;</w:t>
      </w:r>
    </w:p>
    <w:p>
      <w:pPr>
        <w:spacing w:after="0" w:line="115" w:lineRule="exact"/>
        <w:rPr>
          <w:rFonts w:ascii="Arial" w:cs="Arial" w:eastAsia="Arial" w:hAnsi="Arial"/>
          <w:sz w:val="17"/>
          <w:szCs w:val="17"/>
          <w:color w:val="auto"/>
        </w:rPr>
      </w:pPr>
    </w:p>
    <w:p>
      <w:pPr>
        <w:ind w:left="1260" w:right="8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our product candidates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260" w:right="560" w:hanging="503"/>
        <w:spacing w:after="0" w:line="26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receipt of marketing approvals for our product candidates from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260" w:right="200" w:hanging="503"/>
        <w:spacing w:after="0" w:line="26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62" w:lineRule="exact"/>
        <w:rPr>
          <w:rFonts w:ascii="Arial" w:cs="Arial" w:eastAsia="Arial" w:hAnsi="Arial"/>
          <w:sz w:val="18"/>
          <w:szCs w:val="18"/>
          <w:color w:val="auto"/>
        </w:rPr>
      </w:pPr>
    </w:p>
    <w:p>
      <w:pPr>
        <w:ind w:left="1260" w:right="1060" w:hanging="503"/>
        <w:spacing w:after="0" w:line="26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04"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In addition to ORIC-533, ORIC-114 and ORIC-944, our prospects depend in part upon discovering, developing and commercializing additional product candidates, which may fail in development or suffer delays that adversely affect their commercial viability.</w:t>
      </w:r>
    </w:p>
    <w:p>
      <w:pPr>
        <w:spacing w:after="0" w:line="63" w:lineRule="exact"/>
        <w:rPr>
          <w:sz w:val="20"/>
          <w:szCs w:val="20"/>
          <w:color w:val="auto"/>
        </w:rPr>
      </w:pPr>
    </w:p>
    <w:p>
      <w:pPr>
        <w:ind w:right="40" w:firstLine="749"/>
        <w:spacing w:after="0" w:line="279"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04" w:lineRule="exact"/>
        <w:rPr>
          <w:sz w:val="20"/>
          <w:szCs w:val="20"/>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delays in our research programs resulting from factors related to the COVID-19 pandemic;</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04"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74"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Obtaining approval by the FDA, EMA and other comparable foreign regulatory authorities is unpredictable, typically takes many years following the commencement of clinical trials and depends upon numerous factors, including the type, complexity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spacing w:after="0" w:line="253" w:lineRule="auto"/>
        <w:rPr>
          <w:sz w:val="20"/>
          <w:szCs w:val="20"/>
          <w:color w:val="auto"/>
        </w:rPr>
      </w:pPr>
      <w:r>
        <w:rPr>
          <w:rFonts w:ascii="Arial" w:cs="Arial" w:eastAsia="Arial" w:hAnsi="Arial"/>
          <w:sz w:val="17"/>
          <w:szCs w:val="17"/>
          <w:color w:val="auto"/>
        </w:rPr>
        <w:t>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260" w:right="6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rFonts w:ascii="Arial" w:cs="Arial" w:eastAsia="Arial" w:hAnsi="Arial"/>
          <w:sz w:val="18"/>
          <w:szCs w:val="18"/>
          <w:color w:val="auto"/>
        </w:rPr>
      </w:pPr>
    </w:p>
    <w:p>
      <w:pPr>
        <w:ind w:left="1260" w:right="80" w:hanging="503"/>
        <w:spacing w:after="0" w:line="248"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3" w:lineRule="exact"/>
        <w:rPr>
          <w:rFonts w:ascii="Arial" w:cs="Arial" w:eastAsia="Arial" w:hAnsi="Arial"/>
          <w:sz w:val="18"/>
          <w:szCs w:val="18"/>
          <w:color w:val="auto"/>
        </w:rPr>
      </w:pPr>
    </w:p>
    <w:p>
      <w:pPr>
        <w:ind w:left="1260" w:right="76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260" w:right="12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auto"/>
        </w:rPr>
      </w:pPr>
    </w:p>
    <w:p>
      <w:pPr>
        <w:ind w:left="1260" w:right="180" w:hanging="503"/>
        <w:spacing w:after="0" w:line="291"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260" w:right="56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3" w:lineRule="exact"/>
        <w:rPr>
          <w:sz w:val="20"/>
          <w:szCs w:val="20"/>
          <w:color w:val="auto"/>
        </w:rPr>
      </w:pPr>
    </w:p>
    <w:p>
      <w:pPr>
        <w:ind w:right="620" w:firstLine="749"/>
        <w:spacing w:after="0" w:line="324"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3"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3"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49" w:lineRule="exact"/>
        <w:rPr>
          <w:sz w:val="20"/>
          <w:szCs w:val="20"/>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76" w:lineRule="exact"/>
        <w:rPr>
          <w:rFonts w:ascii="Arial" w:cs="Arial" w:eastAsia="Arial" w:hAnsi="Arial"/>
          <w:sz w:val="18"/>
          <w:szCs w:val="18"/>
          <w:color w:val="auto"/>
        </w:rPr>
      </w:pPr>
    </w:p>
    <w:p>
      <w:pPr>
        <w:ind w:left="1260" w:right="60" w:hanging="503"/>
        <w:spacing w:after="0" w:line="235"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53" w:lineRule="exact"/>
        <w:rPr>
          <w:rFonts w:ascii="Arial" w:cs="Arial" w:eastAsia="Arial" w:hAnsi="Arial"/>
          <w:sz w:val="18"/>
          <w:szCs w:val="18"/>
          <w:color w:val="auto"/>
        </w:rPr>
      </w:pPr>
    </w:p>
    <w:p>
      <w:pPr>
        <w:ind w:left="1260" w:right="600" w:hanging="503"/>
        <w:spacing w:after="0" w:line="235"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left="1260" w:right="100" w:hanging="503"/>
        <w:spacing w:after="0" w:line="235"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53" w:lineRule="exact"/>
        <w:rPr>
          <w:rFonts w:ascii="Arial" w:cs="Arial" w:eastAsia="Arial" w:hAnsi="Arial"/>
          <w:sz w:val="18"/>
          <w:szCs w:val="18"/>
          <w:color w:val="auto"/>
        </w:rPr>
      </w:pPr>
    </w:p>
    <w:p>
      <w:pPr>
        <w:ind w:left="1260" w:right="540" w:hanging="503"/>
        <w:spacing w:after="0" w:line="258"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76" w:lineRule="exact"/>
        <w:rPr>
          <w:rFonts w:ascii="Arial" w:cs="Arial" w:eastAsia="Arial" w:hAnsi="Arial"/>
          <w:sz w:val="18"/>
          <w:szCs w:val="18"/>
          <w:color w:val="auto"/>
        </w:rPr>
      </w:pPr>
    </w:p>
    <w:p>
      <w:pPr>
        <w:ind w:left="1260" w:right="460" w:hanging="503"/>
        <w:spacing w:after="0" w:line="235"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53"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90"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67"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For example, in studies of ORIC-101, patients experienced mild adverse events like fatigue and gastrointestinal disturbances, all of which were resolved without treatment. In clinical trials of ORIC-101, treatment-related adverse events were primarily Grade 1 or 2, which all resolved with dose interruption.</w:t>
      </w:r>
    </w:p>
    <w:p>
      <w:pPr>
        <w:spacing w:after="0" w:line="7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55"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8" w:name="page49"/>
    <w:bookmarkEnd w:id="48"/>
    <w:p>
      <w:pPr>
        <w:ind w:right="360"/>
        <w:spacing w:after="0" w:line="291"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9"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recently discontinued our ORIC-101 clinical trials, nor do we know whether ORIC-533, ORIC-114 or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3"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3" w:lineRule="exact"/>
        <w:rPr>
          <w:sz w:val="20"/>
          <w:szCs w:val="20"/>
          <w:color w:val="auto"/>
        </w:rPr>
      </w:pPr>
    </w:p>
    <w:p>
      <w:pPr>
        <w:ind w:right="460" w:firstLine="749"/>
        <w:spacing w:after="0" w:line="261"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63" w:lineRule="exact"/>
        <w:rPr>
          <w:sz w:val="20"/>
          <w:szCs w:val="20"/>
          <w:color w:val="auto"/>
        </w:rPr>
      </w:pPr>
    </w:p>
    <w:p>
      <w:pPr>
        <w:ind w:right="120" w:firstLine="749"/>
        <w:spacing w:after="0" w:line="276"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5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3" w:lineRule="exact"/>
        <w:rPr>
          <w:sz w:val="20"/>
          <w:szCs w:val="20"/>
          <w:color w:val="auto"/>
        </w:rPr>
      </w:pPr>
    </w:p>
    <w:p>
      <w:pPr>
        <w:ind w:right="140" w:firstLine="749"/>
        <w:spacing w:after="0" w:line="276" w:lineRule="auto"/>
        <w:rPr>
          <w:sz w:val="20"/>
          <w:szCs w:val="20"/>
          <w:color w:val="auto"/>
        </w:rPr>
      </w:pPr>
      <w:r>
        <w:rPr>
          <w:rFonts w:ascii="Arial" w:cs="Arial" w:eastAsia="Arial" w:hAnsi="Arial"/>
          <w:sz w:val="16"/>
          <w:szCs w:val="16"/>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right="700"/>
        <w:spacing w:after="0" w:line="261" w:lineRule="auto"/>
        <w:rPr>
          <w:sz w:val="20"/>
          <w:szCs w:val="20"/>
          <w:color w:val="auto"/>
        </w:rPr>
      </w:pPr>
      <w:r>
        <w:rPr>
          <w:rFonts w:ascii="Arial" w:cs="Arial" w:eastAsia="Arial" w:hAnsi="Arial"/>
          <w:sz w:val="18"/>
          <w:szCs w:val="18"/>
          <w:color w:val="auto"/>
        </w:rPr>
        <w:t>product candidate. We may be required to report Voronoi’s adverse events or unexpected side effects to the FDA or comparable foreign regulatory authorities, which could, among other things, order us to cease further development of ORIC-114.</w:t>
      </w:r>
    </w:p>
    <w:p>
      <w:pPr>
        <w:spacing w:after="0" w:line="6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3"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54"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as our clinical trial sites limit their onsite staff or temporarily close as a result of the COVID-19 pandemic. For instance, we were aware of certain ORIC-101 clinical trial sites that had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67"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4" w:lineRule="exact"/>
        <w:rPr>
          <w:sz w:val="20"/>
          <w:szCs w:val="20"/>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jc w:val="both"/>
        <w:ind w:left="1260" w:right="320" w:hanging="503"/>
        <w:spacing w:after="0" w:line="248"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3"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03" w:lineRule="exact"/>
        <w:rPr>
          <w:rFonts w:ascii="Arial" w:cs="Arial" w:eastAsia="Arial" w:hAnsi="Arial"/>
          <w:sz w:val="18"/>
          <w:szCs w:val="18"/>
          <w:color w:val="auto"/>
        </w:rPr>
      </w:pPr>
    </w:p>
    <w:p>
      <w:pPr>
        <w:ind w:left="1260" w:right="480" w:hanging="503"/>
        <w:spacing w:after="0" w:line="261"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3"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15"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were suspended as part of quarantines and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ind w:right="220"/>
        <w:spacing w:after="0" w:line="261" w:lineRule="auto"/>
        <w:rPr>
          <w:sz w:val="20"/>
          <w:szCs w:val="20"/>
          <w:color w:val="auto"/>
        </w:rPr>
      </w:pPr>
      <w:r>
        <w:rPr>
          <w:rFonts w:ascii="Arial" w:cs="Arial" w:eastAsia="Arial" w:hAnsi="Arial"/>
          <w:sz w:val="18"/>
          <w:szCs w:val="18"/>
          <w:color w:val="auto"/>
        </w:rPr>
        <w:t>measures intended to contain this pandemic. Due to the continued COVID-19 pandemic, including the spread of variants, we may experience disruptions that could severely impact our business and clinical trials, including:</w:t>
      </w:r>
    </w:p>
    <w:p>
      <w:pPr>
        <w:spacing w:after="0" w:line="63" w:lineRule="exact"/>
        <w:rPr>
          <w:sz w:val="20"/>
          <w:szCs w:val="20"/>
          <w:color w:val="auto"/>
        </w:rPr>
      </w:pPr>
    </w:p>
    <w:p>
      <w:pPr>
        <w:ind w:left="1260" w:right="26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rFonts w:ascii="Arial" w:cs="Arial" w:eastAsia="Arial" w:hAnsi="Arial"/>
          <w:sz w:val="18"/>
          <w:szCs w:val="18"/>
          <w:color w:val="auto"/>
        </w:rPr>
      </w:pPr>
    </w:p>
    <w:p>
      <w:pPr>
        <w:ind w:left="1260" w:right="34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260" w:hanging="503"/>
        <w:spacing w:after="0" w:line="248"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1260" w:right="36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rFonts w:ascii="Arial" w:cs="Arial" w:eastAsia="Arial" w:hAnsi="Arial"/>
          <w:sz w:val="18"/>
          <w:szCs w:val="18"/>
          <w:color w:val="auto"/>
        </w:rPr>
      </w:pPr>
    </w:p>
    <w:p>
      <w:pPr>
        <w:ind w:left="1260" w:right="260" w:hanging="503"/>
        <w:spacing w:after="0" w:line="291"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38" w:lineRule="exact"/>
        <w:rPr>
          <w:rFonts w:ascii="Arial" w:cs="Arial" w:eastAsia="Arial" w:hAnsi="Arial"/>
          <w:sz w:val="17"/>
          <w:szCs w:val="17"/>
          <w:color w:val="auto"/>
        </w:rPr>
      </w:pPr>
    </w:p>
    <w:p>
      <w:pPr>
        <w:ind w:left="1260" w:right="420" w:hanging="503"/>
        <w:spacing w:after="0" w:line="261"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74"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Our primary operations are located in South San Francisco and San Diego. As a result of county and California stay-at-home orders being lifted, the portion of our employees that were telecommuting are in the process of returning to our physical locations at both sites. As our employees begin to return to work in our physical locations,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81"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which could delay or otherwise impact procurement of materials for certain of our ongoing or planned studies of ORIC-533, ORIC-114 or ORIC-944.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 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spacing w:after="0" w:line="238" w:lineRule="auto"/>
        <w:rPr>
          <w:sz w:val="20"/>
          <w:szCs w:val="20"/>
          <w:color w:val="auto"/>
        </w:rPr>
      </w:pPr>
      <w:r>
        <w:rPr>
          <w:rFonts w:ascii="Arial" w:cs="Arial" w:eastAsia="Arial" w:hAnsi="Arial"/>
          <w:sz w:val="18"/>
          <w:szCs w:val="18"/>
          <w:color w:val="auto"/>
        </w:rPr>
        <w:t>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86"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74"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7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63"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our programs in combination with other therapies, which exposes us to additional risks.</w:t>
      </w:r>
    </w:p>
    <w:p>
      <w:pPr>
        <w:spacing w:after="0" w:line="104"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73" w:lineRule="exact"/>
        <w:rPr>
          <w:sz w:val="20"/>
          <w:szCs w:val="20"/>
          <w:color w:val="auto"/>
        </w:rPr>
      </w:pPr>
    </w:p>
    <w:p>
      <w:pPr>
        <w:ind w:right="280" w:firstLine="749"/>
        <w:spacing w:after="0" w:line="248"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4"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120" w:firstLine="749"/>
        <w:spacing w:after="0" w:line="243"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resources and are focusing our efforts on developing ORIC-533, ORIC-114 and ORIC-944, and advancing our preclinical programs.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we may fail to capitalize on other indications or product candidates that may ultimately have proven to be more profitable.</w:t>
      </w:r>
    </w:p>
    <w:p>
      <w:pPr>
        <w:spacing w:after="0" w:line="99"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We are currently shifting our resources and efforts from developing ORIC-101 to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59"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63"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1" w:lineRule="exact"/>
        <w:rPr>
          <w:sz w:val="20"/>
          <w:szCs w:val="20"/>
          <w:color w:val="auto"/>
        </w:rPr>
      </w:pPr>
    </w:p>
    <w:p>
      <w:pPr>
        <w:ind w:right="20" w:firstLine="749"/>
        <w:spacing w:after="0" w:line="266"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ORIC-533,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Akeso, Symphogen, Innovent, Henlius Biotech and Jacobio Pharmaceuticals. Other companies, such as Arcus Biosciences, Antengene and Merck through its acquisition of Peloton Therapeutics, have small-molecule programs against this target. To our knowledge, only Antengene has an orally available, small molecule CD73 inhibitor in an active clinical trial for patients with cancer. For ORIC-944, we are aware of several companies developing inhibitors against PRC2 via EZH2 inhibition that are currently in clinical trials, including Epizyme, Constellation Pharmaceuticals (now Morphosys), Daiichi Sankyo, Pfizer, Shanghai HaiHe Pharmaceutical and Jiangsu Hengrui Medicine Co. To our knowledge, only Novartis has an allosteric PRC2 inhibitor in a clinical trial for patients with cancer. For ORIC-114, we are aware of two companies with an FDA 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Spectrum Pharmaceuticals, Jiangsu Hengrui Medicine Co., Daiichi Sankyo, Dizal Pharmaceuticals, Cullinan Oncology, Black Diamond Therapeutics, Bayer, Allist Pharmaceuticals and Blueprint Medicines. Additionally, Seattle Genetics has an FDA approved product for the treatment of patients with HER2-positive breast cancer, including patients with brain metastases. We are also aware that Dizal Pharmaceuticals is developing a brain penetrant inhibitor currently in a clinical trial for patients with HER2-positive breast cancer.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right="180"/>
        <w:spacing w:after="0" w:line="243" w:lineRule="auto"/>
        <w:rPr>
          <w:sz w:val="20"/>
          <w:szCs w:val="20"/>
          <w:color w:val="auto"/>
        </w:rPr>
      </w:pPr>
      <w:r>
        <w:rPr>
          <w:rFonts w:ascii="Arial" w:cs="Arial" w:eastAsia="Arial" w:hAnsi="Arial"/>
          <w:sz w:val="18"/>
          <w:szCs w:val="18"/>
          <w:color w:val="auto"/>
        </w:rPr>
        <w:t>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0"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6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74"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4" w:lineRule="exact"/>
        <w:rPr>
          <w:sz w:val="20"/>
          <w:szCs w:val="20"/>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1260" w:right="100" w:hanging="503"/>
        <w:spacing w:after="0" w:line="248"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4" w:name="page55"/>
    <w:bookmarkEnd w:id="54"/>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260" w:right="380" w:hanging="503"/>
        <w:spacing w:after="0" w:line="261"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04" w:lineRule="exact"/>
        <w:rPr>
          <w:sz w:val="20"/>
          <w:szCs w:val="20"/>
          <w:color w:val="auto"/>
        </w:rPr>
      </w:pPr>
    </w:p>
    <w:p>
      <w:pPr>
        <w:ind w:right="100" w:firstLine="749"/>
        <w:spacing w:after="0" w:line="324"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our product candidates we develop, if approved, may be limited to certain smaller patient subsets.</w:t>
      </w:r>
    </w:p>
    <w:p>
      <w:pPr>
        <w:spacing w:after="0" w:line="104"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Our clinical trials for ORIC-101 were with patients who had received one or more prior treatments.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67"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80" w:lineRule="exact"/>
        <w:rPr>
          <w:sz w:val="20"/>
          <w:szCs w:val="20"/>
          <w:color w:val="auto"/>
        </w:rPr>
      </w:pPr>
    </w:p>
    <w:p>
      <w:pPr>
        <w:ind w:right="700" w:firstLine="749"/>
        <w:spacing w:after="0" w:line="261"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0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320"/>
        <w:spacing w:after="0" w:line="261" w:lineRule="auto"/>
        <w:rPr>
          <w:sz w:val="20"/>
          <w:szCs w:val="20"/>
          <w:color w:val="auto"/>
        </w:rPr>
      </w:pPr>
      <w:r>
        <w:rPr>
          <w:rFonts w:ascii="Arial" w:cs="Arial" w:eastAsia="Arial" w:hAnsi="Arial"/>
          <w:sz w:val="18"/>
          <w:szCs w:val="18"/>
          <w:color w:val="auto"/>
        </w:rPr>
        <w:t>coverage and reimbursement are not available or reimbursement is available only to limited levels, we may not successfully commercialize any product candidate for which we obtain marketing approval.</w:t>
      </w:r>
    </w:p>
    <w:p>
      <w:pPr>
        <w:spacing w:after="0" w:line="63"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6"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6"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1"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3"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3" w:lineRule="exact"/>
        <w:rPr>
          <w:sz w:val="20"/>
          <w:szCs w:val="20"/>
          <w:color w:val="auto"/>
        </w:rPr>
      </w:pPr>
    </w:p>
    <w:p>
      <w:pPr>
        <w:ind w:right="140" w:firstLine="749"/>
        <w:spacing w:after="0" w:line="25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right="140"/>
        <w:spacing w:after="0" w:line="261" w:lineRule="auto"/>
        <w:rPr>
          <w:sz w:val="20"/>
          <w:szCs w:val="20"/>
          <w:color w:val="auto"/>
        </w:rPr>
      </w:pPr>
      <w:r>
        <w:rPr>
          <w:rFonts w:ascii="Arial" w:cs="Arial" w:eastAsia="Arial" w:hAnsi="Arial"/>
          <w:sz w:val="18"/>
          <w:szCs w:val="18"/>
          <w:color w:val="auto"/>
        </w:rPr>
        <w:t>a result, we may be unable to obtain sufficient insurance at a reasonable cost to protect us against losses caused by product liability claims that could have an adverse effect on our business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15" w:lineRule="exact"/>
        <w:rPr>
          <w:sz w:val="20"/>
          <w:szCs w:val="20"/>
          <w:color w:val="auto"/>
        </w:rPr>
      </w:pPr>
    </w:p>
    <w:p>
      <w:pPr>
        <w:ind w:right="100" w:firstLine="749"/>
        <w:spacing w:after="0" w:line="276"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3"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3" w:lineRule="exact"/>
        <w:rPr>
          <w:sz w:val="20"/>
          <w:szCs w:val="20"/>
          <w:color w:val="auto"/>
        </w:rPr>
      </w:pPr>
    </w:p>
    <w:p>
      <w:pPr>
        <w:jc w:val="both"/>
        <w:ind w:right="20" w:firstLine="749"/>
        <w:spacing w:after="0" w:line="262"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right="80" w:firstLine="749"/>
        <w:spacing w:after="0" w:line="254" w:lineRule="auto"/>
        <w:rPr>
          <w:sz w:val="20"/>
          <w:szCs w:val="20"/>
          <w:color w:val="auto"/>
        </w:rPr>
      </w:pPr>
      <w:r>
        <w:rPr>
          <w:rFonts w:ascii="Arial" w:cs="Arial" w:eastAsia="Arial" w:hAnsi="Arial"/>
          <w:sz w:val="17"/>
          <w:szCs w:val="17"/>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3"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36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60" w:lineRule="exact"/>
        <w:rPr>
          <w:sz w:val="20"/>
          <w:szCs w:val="20"/>
          <w:color w:val="auto"/>
        </w:rPr>
      </w:pPr>
    </w:p>
    <w:p>
      <w:pPr>
        <w:ind w:right="300" w:firstLine="749"/>
        <w:spacing w:after="0" w:line="262"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38"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64" w:lineRule="exact"/>
        <w:rPr>
          <w:sz w:val="20"/>
          <w:szCs w:val="20"/>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firstLine="749"/>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80" w:lineRule="exact"/>
        <w:rPr>
          <w:sz w:val="20"/>
          <w:szCs w:val="20"/>
          <w:color w:val="auto"/>
        </w:rPr>
      </w:pPr>
    </w:p>
    <w:p>
      <w:pPr>
        <w:ind w:right="560" w:firstLine="749"/>
        <w:spacing w:after="0" w:line="26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2"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6" w:lineRule="exact"/>
        <w:rPr>
          <w:sz w:val="20"/>
          <w:szCs w:val="20"/>
          <w:color w:val="auto"/>
        </w:rPr>
      </w:pPr>
    </w:p>
    <w:p>
      <w:pPr>
        <w:ind w:right="120" w:firstLine="749"/>
        <w:spacing w:after="0" w:line="252" w:lineRule="auto"/>
        <w:rPr>
          <w:sz w:val="20"/>
          <w:szCs w:val="20"/>
          <w:color w:val="auto"/>
        </w:rPr>
      </w:pPr>
      <w:r>
        <w:rPr>
          <w:rFonts w:ascii="Arial" w:cs="Arial" w:eastAsia="Arial" w:hAnsi="Arial"/>
          <w:sz w:val="17"/>
          <w:szCs w:val="17"/>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8" w:lineRule="exact"/>
        <w:rPr>
          <w:sz w:val="20"/>
          <w:szCs w:val="20"/>
          <w:color w:val="auto"/>
        </w:rPr>
      </w:pPr>
    </w:p>
    <w:p>
      <w:pPr>
        <w:ind w:firstLine="749"/>
        <w:spacing w:after="0" w:line="250"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ind w:right="140"/>
        <w:spacing w:after="0" w:line="270" w:lineRule="auto"/>
        <w:rPr>
          <w:sz w:val="20"/>
          <w:szCs w:val="20"/>
          <w:color w:val="auto"/>
        </w:rPr>
      </w:pPr>
      <w:r>
        <w:rPr>
          <w:rFonts w:ascii="Arial" w:cs="Arial" w:eastAsia="Arial" w:hAnsi="Arial"/>
          <w:sz w:val="16"/>
          <w:szCs w:val="16"/>
          <w:color w:val="auto"/>
        </w:rPr>
        <w:t>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63"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6"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8"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29"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67" w:lineRule="exact"/>
        <w:rPr>
          <w:sz w:val="20"/>
          <w:szCs w:val="20"/>
          <w:color w:val="auto"/>
        </w:rPr>
      </w:pPr>
    </w:p>
    <w:p>
      <w:pPr>
        <w:ind w:right="120" w:firstLine="749"/>
        <w:spacing w:after="0" w:line="276"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3"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ind w:right="100"/>
        <w:spacing w:after="0" w:line="259"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60"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04"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1"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7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March 31, 2022, followed by 1% payment adjustment from April 1 to June 30, 2022 and resumption of the 2% adjustment beginning July 1, 2022,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right="300"/>
        <w:spacing w:after="0" w:line="261" w:lineRule="auto"/>
        <w:rPr>
          <w:sz w:val="20"/>
          <w:szCs w:val="20"/>
          <w:color w:val="auto"/>
        </w:rPr>
      </w:pPr>
      <w:r>
        <w:rPr>
          <w:rFonts w:ascii="Arial" w:cs="Arial" w:eastAsia="Arial" w:hAnsi="Arial"/>
          <w:sz w:val="18"/>
          <w:szCs w:val="18"/>
          <w:color w:val="auto"/>
        </w:rPr>
        <w:t>new laws may result in additional reductions in Medicare and other healthcare funding, which could have a material adverse effect on customers for our drugs, if approved, and accordingly, our financial operations.</w:t>
      </w:r>
    </w:p>
    <w:p>
      <w:pPr>
        <w:spacing w:after="0" w:line="63"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67"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60"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6"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52" w:lineRule="exact"/>
        <w:rPr>
          <w:sz w:val="20"/>
          <w:szCs w:val="20"/>
          <w:color w:val="auto"/>
        </w:rPr>
      </w:pPr>
    </w:p>
    <w:p>
      <w:pPr>
        <w:ind w:right="60" w:firstLine="749"/>
        <w:spacing w:after="0" w:line="216"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160"/>
        <w:spacing w:after="0" w:line="276" w:lineRule="auto"/>
        <w:rPr>
          <w:sz w:val="20"/>
          <w:szCs w:val="20"/>
          <w:color w:val="auto"/>
        </w:rPr>
      </w:pPr>
      <w:r>
        <w:rPr>
          <w:rFonts w:ascii="Arial" w:cs="Arial" w:eastAsia="Arial" w:hAnsi="Arial"/>
          <w:sz w:val="16"/>
          <w:szCs w:val="16"/>
          <w:color w:val="auto"/>
        </w:rPr>
        <w:t>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in 2020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54"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Further, the exit from the EU of the United Kingdom (UK),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72"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and in June 2021, Colorado enacted a Colorado Privacy Act that will go into effect on July 1, 2023, both of which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61"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 w:lineRule="exact"/>
        <w:rPr>
          <w:sz w:val="20"/>
          <w:szCs w:val="20"/>
          <w:color w:val="auto"/>
        </w:rPr>
      </w:pPr>
    </w:p>
    <w:p>
      <w:pPr>
        <w:ind w:right="180" w:firstLine="749"/>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spacing w:after="0" w:line="216"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8"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52" w:lineRule="exact"/>
        <w:rPr>
          <w:sz w:val="20"/>
          <w:szCs w:val="20"/>
          <w:color w:val="auto"/>
        </w:rPr>
      </w:pPr>
    </w:p>
    <w:p>
      <w:pPr>
        <w:ind w:left="1260" w:right="60" w:hanging="503"/>
        <w:spacing w:after="0" w:line="219"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4" w:lineRule="exact"/>
        <w:rPr>
          <w:rFonts w:ascii="Arial" w:cs="Arial" w:eastAsia="Arial" w:hAnsi="Arial"/>
          <w:sz w:val="18"/>
          <w:szCs w:val="18"/>
          <w:color w:val="auto"/>
        </w:rPr>
      </w:pPr>
    </w:p>
    <w:p>
      <w:pPr>
        <w:ind w:left="1260" w:right="120" w:hanging="503"/>
        <w:spacing w:after="0" w:line="219"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4" w:lineRule="exact"/>
        <w:rPr>
          <w:rFonts w:ascii="Arial" w:cs="Arial" w:eastAsia="Arial" w:hAnsi="Arial"/>
          <w:sz w:val="18"/>
          <w:szCs w:val="18"/>
          <w:color w:val="auto"/>
        </w:rPr>
      </w:pPr>
    </w:p>
    <w:p>
      <w:pPr>
        <w:ind w:left="1260" w:right="40" w:hanging="503"/>
        <w:spacing w:after="0" w:line="235"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53" w:lineRule="exact"/>
        <w:rPr>
          <w:rFonts w:ascii="Arial" w:cs="Arial" w:eastAsia="Arial" w:hAnsi="Arial"/>
          <w:sz w:val="18"/>
          <w:szCs w:val="18"/>
          <w:color w:val="auto"/>
        </w:rPr>
      </w:pPr>
    </w:p>
    <w:p>
      <w:pPr>
        <w:ind w:left="1260" w:right="340" w:hanging="503"/>
        <w:spacing w:after="0" w:line="249" w:lineRule="auto"/>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59" w:lineRule="exact"/>
        <w:rPr>
          <w:rFonts w:ascii="Arial" w:cs="Arial" w:eastAsia="Arial" w:hAnsi="Arial"/>
          <w:sz w:val="16"/>
          <w:szCs w:val="16"/>
          <w:color w:val="auto"/>
        </w:rPr>
      </w:pPr>
    </w:p>
    <w:p>
      <w:pPr>
        <w:ind w:left="1260" w:right="20" w:hanging="503"/>
        <w:spacing w:after="0" w:line="255" w:lineRule="auto"/>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 and</w:t>
      </w:r>
    </w:p>
    <w:p>
      <w:pPr>
        <w:spacing w:after="0" w:line="71" w:lineRule="exact"/>
        <w:rPr>
          <w:rFonts w:ascii="Arial" w:cs="Arial" w:eastAsia="Arial" w:hAnsi="Arial"/>
          <w:sz w:val="17"/>
          <w:szCs w:val="17"/>
          <w:color w:val="auto"/>
        </w:rPr>
      </w:pPr>
    </w:p>
    <w:p>
      <w:pPr>
        <w:ind w:left="1260" w:right="20" w:hanging="503"/>
        <w:spacing w:after="0" w:line="254" w:lineRule="auto"/>
        <w:tabs>
          <w:tab w:leader="none" w:pos="1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64" w:name="page65"/>
    <w:bookmarkEnd w:id="64"/>
    <w:p>
      <w:pPr>
        <w:ind w:right="180"/>
        <w:spacing w:after="0" w:line="291"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9"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6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67"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83"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8"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81" w:lineRule="exact"/>
        <w:rPr>
          <w:sz w:val="20"/>
          <w:szCs w:val="20"/>
          <w:color w:val="auto"/>
        </w:rPr>
      </w:pPr>
    </w:p>
    <w:p>
      <w:pPr>
        <w:jc w:val="both"/>
        <w:ind w:right="120" w:firstLine="749"/>
        <w:spacing w:after="0" w:line="248"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4"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5" w:name="page66"/>
    <w:bookmarkEnd w:id="65"/>
    <w:p>
      <w:pPr>
        <w:spacing w:after="0" w:line="284" w:lineRule="auto"/>
        <w:rPr>
          <w:sz w:val="20"/>
          <w:szCs w:val="20"/>
          <w:color w:val="auto"/>
        </w:rPr>
      </w:pPr>
      <w:r>
        <w:rPr>
          <w:rFonts w:ascii="Arial" w:cs="Arial" w:eastAsia="Arial" w:hAnsi="Arial"/>
          <w:sz w:val="16"/>
          <w:szCs w:val="16"/>
          <w:color w:val="auto"/>
        </w:rPr>
        <w:t>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47"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3"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3"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4"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w:t>
      </w:r>
    </w:p>
    <w:p>
      <w:pPr>
        <w:spacing w:after="0" w:line="55" w:lineRule="exact"/>
        <w:rPr>
          <w:sz w:val="20"/>
          <w:szCs w:val="20"/>
          <w:color w:val="auto"/>
        </w:rPr>
      </w:pPr>
    </w:p>
    <w:p>
      <w:pPr>
        <w:ind w:right="140" w:firstLine="749"/>
        <w:spacing w:after="0" w:line="259"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6"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3" w:lineRule="exact"/>
        <w:rPr>
          <w:sz w:val="20"/>
          <w:szCs w:val="20"/>
          <w:color w:val="auto"/>
        </w:rPr>
      </w:pPr>
    </w:p>
    <w:p>
      <w:pPr>
        <w:ind w:right="120" w:firstLine="749"/>
        <w:spacing w:after="0" w:line="25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right="120"/>
        <w:spacing w:after="0" w:line="23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7"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67"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80"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2"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0"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we fail to comply with California laws or Nasdaq rules governing the diversity of our board of directors, we could be exposed to financial penalties and suffer reputational harm.</w:t>
      </w:r>
    </w:p>
    <w:p>
      <w:pPr>
        <w:spacing w:after="0" w:line="63"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By December 31, 2021, each public company with a principal executive office in California will be required to have at least two females on its board of directors if such company has at least five directors, and at least three females on its board of directors if such company has at least six directors.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7" w:name="page68"/>
    <w:bookmarkEnd w:id="67"/>
    <w:p>
      <w:pPr>
        <w:ind w:right="60" w:firstLine="794"/>
        <w:spacing w:after="0" w:line="272" w:lineRule="auto"/>
        <w:rPr>
          <w:sz w:val="20"/>
          <w:szCs w:val="20"/>
          <w:color w:val="auto"/>
        </w:rPr>
      </w:pPr>
      <w:r>
        <w:rPr>
          <w:rFonts w:ascii="Arial" w:cs="Arial" w:eastAsia="Arial" w:hAnsi="Arial"/>
          <w:sz w:val="16"/>
          <w:szCs w:val="16"/>
          <w:color w:val="auto"/>
        </w:rPr>
        <w:t>Additionally, in September 2020, Assembly Bill 979 was signed into law. Assembly Bill 979 generally requires that a public company with a principal executive office in California have a minimum number of directors from underrepresented communities, with such minimum number dependent on the size of such board of directors. A director from an underrepresented community means a director who self-identifies as Black, African American, Hispanic, Latino, Asian, Pacific Islander, Native American, Native Hawaiian, Alaska Native, gay, lesbian, bisexual or transgender. By December 31, 2021, each public company with a principal executive office in California will be required to have at least one director from an underrepresented community. By December 31, 2022, a public company with a principal executive office in California will be required to have a minimum of two directors from an underrepresented community if such company has more than four but fewer than nine directors, and a minimum of three directors from an underrepresented community if such company has nine or more directors. These laws do not provide a transition period for newly listed companies.</w:t>
      </w:r>
    </w:p>
    <w:p>
      <w:pPr>
        <w:spacing w:after="0" w:line="60"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73"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Our board of directors currently includes three female directors and two directors from an underrepresented community. Based on the current composition of our board of directors we are in compliance with Senate Bill 826 and Assembly Bill 979. Failure to maintain the required composition of our board of directors may result in a violation of such laws. An initial violation of either law may result in a fine from the California Secretary of State in the amount of $100,000, with each subsequent violation resulting in a fine of $300,000.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or the Nasdaq rule, which may expose us to financial penalties and adversely affect our reputation.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4"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7"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6"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3"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8" w:name="page69"/>
    <w:bookmarkEnd w:id="68"/>
    <w:p>
      <w:pPr>
        <w:ind w:right="220"/>
        <w:spacing w:after="0" w:line="261" w:lineRule="auto"/>
        <w:rPr>
          <w:sz w:val="20"/>
          <w:szCs w:val="20"/>
          <w:color w:val="auto"/>
        </w:rPr>
      </w:pPr>
      <w:r>
        <w:rPr>
          <w:rFonts w:ascii="Arial" w:cs="Arial" w:eastAsia="Arial" w:hAnsi="Arial"/>
          <w:sz w:val="18"/>
          <w:szCs w:val="18"/>
          <w:color w:val="auto"/>
        </w:rPr>
        <w:t>third parties to perform these services for each of the territories in which we may have approval to sell or market our product candidates. We may not be successful in accomplishing these required tasks.</w:t>
      </w:r>
    </w:p>
    <w:p>
      <w:pPr>
        <w:spacing w:after="0" w:line="63"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5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ind w:right="700" w:firstLine="749"/>
        <w:spacing w:after="0" w:line="294" w:lineRule="auto"/>
        <w:rPr>
          <w:sz w:val="20"/>
          <w:szCs w:val="20"/>
          <w:color w:val="auto"/>
        </w:rPr>
      </w:pPr>
      <w:r>
        <w:rPr>
          <w:rFonts w:ascii="Arial" w:cs="Arial" w:eastAsia="Arial" w:hAnsi="Arial"/>
          <w:sz w:val="16"/>
          <w:szCs w:val="16"/>
          <w:color w:val="auto"/>
        </w:rPr>
        <w:t>As of December 31, 2021, we had 78 full-time employees, including 55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39" w:lineRule="exact"/>
        <w:rPr>
          <w:sz w:val="20"/>
          <w:szCs w:val="20"/>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260" w:right="380" w:hanging="503"/>
        <w:spacing w:after="0" w:line="248"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4" w:lineRule="exact"/>
        <w:rPr>
          <w:sz w:val="20"/>
          <w:szCs w:val="20"/>
          <w:color w:val="auto"/>
        </w:rPr>
      </w:pPr>
    </w:p>
    <w:p>
      <w:pPr>
        <w:ind w:right="120" w:firstLine="74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5"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80"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9" w:name="page70"/>
    <w:bookmarkEnd w:id="69"/>
    <w:p>
      <w:pPr>
        <w:ind w:right="40"/>
        <w:spacing w:after="0" w:line="267" w:lineRule="auto"/>
        <w:rPr>
          <w:sz w:val="20"/>
          <w:szCs w:val="20"/>
          <w:color w:val="auto"/>
        </w:rPr>
      </w:pPr>
      <w:r>
        <w:rPr>
          <w:rFonts w:ascii="Arial" w:cs="Arial" w:eastAsia="Arial" w:hAnsi="Arial"/>
          <w:sz w:val="16"/>
          <w:szCs w:val="16"/>
          <w:color w:val="auto"/>
        </w:rPr>
        <w:t>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If any disruption or security breach or incident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6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63"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15"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2021, we had available NOL carryforwards of $198.2 million, of which $156.6 million do not expire. We also have available California NOL carryforwards of approximately $197.3 million as of December 31, 2021, which begin to expire in 2034 and are subject to limitation on use. In addition, we have federal and California research and development credit carryforwards totaling $6.1 million and $3.9 million, respectively. The federal credits begin to expire in 2034 unless previously utilized, while the state credits do not expire.</w:t>
      </w:r>
    </w:p>
    <w:p>
      <w:pPr>
        <w:spacing w:after="0" w:line="80" w:lineRule="exact"/>
        <w:rPr>
          <w:sz w:val="20"/>
          <w:szCs w:val="20"/>
          <w:color w:val="auto"/>
        </w:rPr>
      </w:pPr>
    </w:p>
    <w:p>
      <w:pPr>
        <w:ind w:right="120" w:firstLine="749"/>
        <w:spacing w:after="0" w:line="272"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0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Recent legislation commonly known as the Tax Act, significantly revises the Code. The Tax Act, as amended by the CARES Act, among other things, reduces the corporate tax rate from a top marginal rate of 35% to a flat rate of 21%, limits the tax deduction for interest expense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current administration in the United States and congressional decisions made in the near future may result in increased corporate tax. For example, the current administration has proposed increasing the corporate tax rate, among other changes. If enacted, such legislation may increase the amount of tax we may owe in future taxable years, which may adversely impact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04"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3" w:lineRule="exact"/>
        <w:rPr>
          <w:sz w:val="20"/>
          <w:szCs w:val="20"/>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ind w:left="1260" w:right="180" w:hanging="503"/>
        <w:spacing w:after="0" w:line="261"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04" w:lineRule="exact"/>
        <w:rPr>
          <w:sz w:val="20"/>
          <w:szCs w:val="20"/>
          <w:color w:val="auto"/>
        </w:rPr>
      </w:pPr>
    </w:p>
    <w:p>
      <w:pPr>
        <w:ind w:right="420" w:firstLine="749"/>
        <w:spacing w:after="0" w:line="261"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conflict between Russia and Ukraine</w:t>
      </w:r>
    </w:p>
    <w:p>
      <w:pPr>
        <w:spacing w:after="0" w:line="104" w:lineRule="exact"/>
        <w:rPr>
          <w:sz w:val="20"/>
          <w:szCs w:val="20"/>
          <w:color w:val="auto"/>
        </w:rPr>
      </w:pPr>
    </w:p>
    <w:p>
      <w:pPr>
        <w:ind w:right="80" w:firstLine="675"/>
        <w:spacing w:after="0" w:line="238" w:lineRule="auto"/>
        <w:rPr>
          <w:sz w:val="20"/>
          <w:szCs w:val="20"/>
          <w:color w:val="auto"/>
        </w:rPr>
      </w:pPr>
      <w:r>
        <w:rPr>
          <w:rFonts w:ascii="Arial" w:cs="Arial" w:eastAsia="Arial" w:hAnsi="Arial"/>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us by increasing our costs.</w:t>
      </w:r>
    </w:p>
    <w:p>
      <w:pPr>
        <w:spacing w:after="0" w:line="104"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Recently, inflation has increased throughout the U.S. economy. Inflation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sooner than expected.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right="180" w:firstLine="749"/>
        <w:spacing w:after="0" w:line="241"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1"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1"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1"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Although as of December 31, 2021, we owned three and licensed two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1"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4" w:lineRule="exact"/>
        <w:rPr>
          <w:sz w:val="20"/>
          <w:szCs w:val="20"/>
          <w:color w:val="auto"/>
        </w:rPr>
      </w:pPr>
    </w:p>
    <w:p>
      <w:pPr>
        <w:ind w:left="1260" w:hanging="503"/>
        <w:spacing w:after="0" w:line="261"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ind w:left="1260"/>
        <w:spacing w:after="0"/>
        <w:rPr>
          <w:sz w:val="20"/>
          <w:szCs w:val="20"/>
          <w:color w:val="auto"/>
        </w:rPr>
      </w:pPr>
      <w:r>
        <w:rPr>
          <w:rFonts w:ascii="Arial" w:cs="Arial" w:eastAsia="Arial" w:hAnsi="Arial"/>
          <w:sz w:val="17"/>
          <w:szCs w:val="17"/>
          <w:color w:val="auto"/>
        </w:rPr>
        <w:t>abandonment or lapse of a patent or patent application, and partial or complete loss of patent rights in the relevant jurisdiction;</w:t>
      </w:r>
    </w:p>
    <w:p>
      <w:pPr>
        <w:spacing w:after="0" w:line="115" w:lineRule="exact"/>
        <w:rPr>
          <w:sz w:val="20"/>
          <w:szCs w:val="20"/>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03"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8"/>
          <w:szCs w:val="18"/>
          <w:color w:val="auto"/>
        </w:rPr>
      </w:pPr>
    </w:p>
    <w:p>
      <w:pPr>
        <w:jc w:val="both"/>
        <w:ind w:left="1260" w:right="40" w:hanging="503"/>
        <w:spacing w:after="0" w:line="248"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3" w:lineRule="exact"/>
        <w:rPr>
          <w:rFonts w:ascii="Arial" w:cs="Arial" w:eastAsia="Arial" w:hAnsi="Arial"/>
          <w:sz w:val="18"/>
          <w:szCs w:val="18"/>
          <w:color w:val="auto"/>
        </w:rPr>
      </w:pPr>
    </w:p>
    <w:p>
      <w:pPr>
        <w:jc w:val="both"/>
        <w:ind w:left="1260" w:right="260" w:hanging="503"/>
        <w:spacing w:after="0" w:line="248"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3"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3"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80"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80"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80"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6" w:lineRule="exact"/>
        <w:rPr>
          <w:sz w:val="20"/>
          <w:szCs w:val="20"/>
          <w:color w:val="auto"/>
        </w:rPr>
      </w:pPr>
    </w:p>
    <w:p>
      <w:pPr>
        <w:ind w:right="20" w:firstLine="749"/>
        <w:spacing w:after="0" w:line="27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60"/>
        <w:spacing w:after="0" w:line="248" w:lineRule="auto"/>
        <w:rPr>
          <w:sz w:val="20"/>
          <w:szCs w:val="20"/>
          <w:color w:val="auto"/>
        </w:rPr>
      </w:pPr>
      <w:r>
        <w:rPr>
          <w:rFonts w:ascii="Arial" w:cs="Arial" w:eastAsia="Arial" w:hAnsi="Arial"/>
          <w:sz w:val="18"/>
          <w:szCs w:val="18"/>
          <w:color w:val="auto"/>
        </w:rPr>
        <w:t>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260" w:right="6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260" w:right="78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260" w:right="70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15" w:lineRule="exact"/>
        <w:rPr>
          <w:rFonts w:ascii="Arial" w:cs="Arial" w:eastAsia="Arial" w:hAnsi="Arial"/>
          <w:sz w:val="17"/>
          <w:szCs w:val="17"/>
          <w:color w:val="auto"/>
        </w:rPr>
      </w:pPr>
    </w:p>
    <w:p>
      <w:pPr>
        <w:ind w:left="1260" w:right="460" w:hanging="503"/>
        <w:spacing w:after="0" w:line="291"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03"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04"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4"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6"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that use of our technologies infringes upon these patents. Any claims of patent infringement asserted by third parties would be time consuming and could:</w:t>
      </w:r>
    </w:p>
    <w:p>
      <w:pPr>
        <w:spacing w:after="0" w:line="127" w:lineRule="exact"/>
        <w:rPr>
          <w:sz w:val="20"/>
          <w:szCs w:val="20"/>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1260" w:right="80" w:hanging="503"/>
        <w:spacing w:after="0" w:line="261"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3"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63"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5"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6"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0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7"/>
          <w:szCs w:val="17"/>
          <w:color w:val="auto"/>
        </w:rPr>
        <w:t>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or unenforceable if challenged in court.</w:t>
      </w:r>
    </w:p>
    <w:p>
      <w:pPr>
        <w:spacing w:after="0" w:line="74"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3"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76" w:lineRule="exact"/>
        <w:rPr>
          <w:sz w:val="20"/>
          <w:szCs w:val="20"/>
          <w:color w:val="auto"/>
        </w:rPr>
      </w:pPr>
    </w:p>
    <w:p>
      <w:pPr>
        <w:ind w:right="60" w:firstLine="749"/>
        <w:spacing w:after="0" w:line="294" w:lineRule="auto"/>
        <w:rPr>
          <w:sz w:val="20"/>
          <w:szCs w:val="20"/>
          <w:color w:val="auto"/>
        </w:rPr>
      </w:pPr>
      <w:r>
        <w:rPr>
          <w:rFonts w:ascii="Arial" w:cs="Arial" w:eastAsia="Arial" w:hAnsi="Arial"/>
          <w:sz w:val="16"/>
          <w:szCs w:val="16"/>
          <w:color w:val="auto"/>
        </w:rPr>
        <w:t>No earlier than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39" w:lineRule="exact"/>
        <w:rPr>
          <w:sz w:val="20"/>
          <w:szCs w:val="20"/>
          <w:color w:val="auto"/>
        </w:rPr>
      </w:pPr>
    </w:p>
    <w:p>
      <w:pPr>
        <w:jc w:val="both"/>
        <w:ind w:right="180" w:firstLine="749"/>
        <w:spacing w:after="0" w:line="324"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60" w:firstLine="749"/>
        <w:spacing w:after="0" w:line="272"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60"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4"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right="50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3"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7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3" w:lineRule="exact"/>
        <w:rPr>
          <w:sz w:val="20"/>
          <w:szCs w:val="20"/>
          <w:color w:val="auto"/>
        </w:rPr>
      </w:pPr>
    </w:p>
    <w:p>
      <w:pPr>
        <w:ind w:right="120" w:firstLine="749"/>
        <w:spacing w:after="0" w:line="25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1"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ind w:right="120" w:firstLine="749"/>
        <w:spacing w:after="0"/>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Although as of December 31, 2021, we owned three and licensed two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0"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8" w:name="page79"/>
    <w:bookmarkEnd w:id="78"/>
    <w:p>
      <w:pPr>
        <w:jc w:val="both"/>
        <w:ind w:right="520"/>
        <w:spacing w:after="0" w:line="284" w:lineRule="auto"/>
        <w:rPr>
          <w:sz w:val="20"/>
          <w:szCs w:val="20"/>
          <w:color w:val="auto"/>
        </w:rPr>
      </w:pPr>
      <w:r>
        <w:rPr>
          <w:rFonts w:ascii="Arial" w:cs="Arial" w:eastAsia="Arial" w:hAnsi="Arial"/>
          <w:sz w:val="16"/>
          <w:szCs w:val="16"/>
          <w:color w:val="auto"/>
        </w:rPr>
        <w:t>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47" w:lineRule="exact"/>
        <w:rPr>
          <w:sz w:val="20"/>
          <w:szCs w:val="20"/>
          <w:color w:val="auto"/>
        </w:rPr>
      </w:pPr>
    </w:p>
    <w:p>
      <w:pPr>
        <w:ind w:right="220" w:firstLine="749"/>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1"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ind w:right="120" w:firstLine="749"/>
        <w:spacing w:after="0" w:line="272"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6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December 31, 2021, we had one pending United States trademark application.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ind w:right="20"/>
        <w:spacing w:after="0" w:line="248" w:lineRule="auto"/>
        <w:rPr>
          <w:sz w:val="20"/>
          <w:szCs w:val="20"/>
          <w:color w:val="auto"/>
        </w:rPr>
      </w:pPr>
      <w:r>
        <w:rPr>
          <w:rFonts w:ascii="Arial" w:cs="Arial" w:eastAsia="Arial" w:hAnsi="Arial"/>
          <w:sz w:val="18"/>
          <w:szCs w:val="18"/>
          <w:color w:val="auto"/>
        </w:rPr>
        <w:t>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4"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15"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5"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3"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80"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reduced or eliminated, and our right to develop and commercialize any of our products that are subject of such licensed rights could be adversely affected.</w:t>
      </w:r>
    </w:p>
    <w:p>
      <w:pPr>
        <w:spacing w:after="0" w:line="127"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80"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0" w:lineRule="exact"/>
        <w:rPr>
          <w:sz w:val="20"/>
          <w:szCs w:val="20"/>
          <w:color w:val="auto"/>
        </w:rPr>
      </w:pPr>
    </w:p>
    <w:p>
      <w:pPr>
        <w:ind w:right="74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15"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260" w:right="28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03" w:lineRule="exact"/>
        <w:rPr>
          <w:rFonts w:ascii="Arial" w:cs="Arial" w:eastAsia="Arial" w:hAnsi="Arial"/>
          <w:sz w:val="18"/>
          <w:szCs w:val="18"/>
          <w:color w:val="auto"/>
        </w:rPr>
      </w:pPr>
    </w:p>
    <w:p>
      <w:pPr>
        <w:ind w:left="1260" w:right="52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7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1" w:name="page82"/>
    <w:bookmarkEnd w:id="81"/>
    <w:p>
      <w:pPr>
        <w:ind w:right="680"/>
        <w:spacing w:after="0" w:line="324" w:lineRule="auto"/>
        <w:rPr>
          <w:sz w:val="20"/>
          <w:szCs w:val="20"/>
          <w:color w:val="auto"/>
        </w:rPr>
      </w:pPr>
      <w:r>
        <w:rPr>
          <w:rFonts w:ascii="Arial" w:cs="Arial" w:eastAsia="Arial" w:hAnsi="Arial"/>
          <w:sz w:val="16"/>
          <w:szCs w:val="16"/>
          <w:color w:val="auto"/>
        </w:rPr>
        <w:t>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2"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ind w:right="20" w:firstLine="749"/>
        <w:spacing w:after="0" w:line="267" w:lineRule="auto"/>
        <w:rPr>
          <w:sz w:val="20"/>
          <w:szCs w:val="20"/>
          <w:color w:val="auto"/>
        </w:rPr>
      </w:pPr>
      <w:r>
        <w:rPr>
          <w:rFonts w:ascii="Arial" w:cs="Arial" w:eastAsia="Arial" w:hAnsi="Arial"/>
          <w:sz w:val="16"/>
          <w:szCs w:val="16"/>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8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67"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2" w:name="page83"/>
    <w:bookmarkEnd w:id="82"/>
    <w:p>
      <w:pPr>
        <w:ind w:right="60" w:firstLine="749"/>
        <w:spacing w:after="0" w:line="252"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8" w:lineRule="exact"/>
        <w:rPr>
          <w:sz w:val="20"/>
          <w:szCs w:val="20"/>
          <w:color w:val="auto"/>
        </w:rPr>
      </w:pPr>
    </w:p>
    <w:p>
      <w:pPr>
        <w:jc w:val="both"/>
        <w:ind w:right="280" w:firstLine="749"/>
        <w:spacing w:after="0" w:line="294"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3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4"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73"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2" w:lineRule="exact"/>
        <w:rPr>
          <w:sz w:val="20"/>
          <w:szCs w:val="20"/>
          <w:color w:val="auto"/>
        </w:rPr>
      </w:pPr>
    </w:p>
    <w:p>
      <w:pPr>
        <w:ind w:left="1260" w:right="80" w:hanging="503"/>
        <w:spacing w:after="0" w:line="224"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99" w:lineRule="exact"/>
        <w:rPr>
          <w:rFonts w:ascii="Arial" w:cs="Arial" w:eastAsia="Arial" w:hAnsi="Arial"/>
          <w:sz w:val="16"/>
          <w:szCs w:val="16"/>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76" w:lineRule="exact"/>
        <w:rPr>
          <w:rFonts w:ascii="Arial" w:cs="Arial" w:eastAsia="Arial" w:hAnsi="Arial"/>
          <w:sz w:val="18"/>
          <w:szCs w:val="18"/>
          <w:color w:val="auto"/>
        </w:rPr>
      </w:pPr>
    </w:p>
    <w:p>
      <w:pPr>
        <w:ind w:left="1260" w:right="280" w:hanging="503"/>
        <w:spacing w:after="0" w:line="235"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53" w:lineRule="exact"/>
        <w:rPr>
          <w:rFonts w:ascii="Arial" w:cs="Arial" w:eastAsia="Arial" w:hAnsi="Arial"/>
          <w:sz w:val="18"/>
          <w:szCs w:val="18"/>
          <w:color w:val="auto"/>
        </w:rPr>
      </w:pPr>
    </w:p>
    <w:p>
      <w:pPr>
        <w:ind w:left="1260" w:hanging="503"/>
        <w:spacing w:after="0" w:line="235"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9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ind w:right="140"/>
        <w:spacing w:after="0" w:line="248" w:lineRule="auto"/>
        <w:rPr>
          <w:sz w:val="20"/>
          <w:szCs w:val="20"/>
          <w:color w:val="auto"/>
        </w:rPr>
      </w:pPr>
      <w:r>
        <w:rPr>
          <w:rFonts w:ascii="Arial" w:cs="Arial" w:eastAsia="Arial" w:hAnsi="Arial"/>
          <w:sz w:val="18"/>
          <w:szCs w:val="18"/>
          <w:color w:val="auto"/>
        </w:rPr>
        <w:t>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7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59" w:lineRule="exact"/>
        <w:rPr>
          <w:sz w:val="20"/>
          <w:szCs w:val="20"/>
          <w:color w:val="auto"/>
        </w:rPr>
      </w:pPr>
    </w:p>
    <w:p>
      <w:pPr>
        <w:ind w:right="140" w:firstLine="749"/>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3"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67" w:lineRule="exact"/>
        <w:rPr>
          <w:sz w:val="20"/>
          <w:szCs w:val="20"/>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03"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1260" w:right="60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3" w:lineRule="exact"/>
        <w:rPr>
          <w:sz w:val="20"/>
          <w:szCs w:val="20"/>
          <w:color w:val="auto"/>
        </w:rPr>
      </w:pPr>
    </w:p>
    <w:p>
      <w:pPr>
        <w:ind w:right="40" w:firstLine="749"/>
        <w:spacing w:after="0" w:line="262"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3"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4" w:name="page85"/>
    <w:bookmarkEnd w:id="84"/>
    <w:p>
      <w:pPr>
        <w:ind w:right="140"/>
        <w:spacing w:after="0" w:line="261" w:lineRule="auto"/>
        <w:rPr>
          <w:sz w:val="20"/>
          <w:szCs w:val="20"/>
          <w:color w:val="auto"/>
        </w:rPr>
      </w:pPr>
      <w:r>
        <w:rPr>
          <w:rFonts w:ascii="Arial" w:cs="Arial" w:eastAsia="Arial" w:hAnsi="Arial"/>
          <w:sz w:val="18"/>
          <w:szCs w:val="18"/>
          <w:color w:val="auto"/>
        </w:rPr>
        <w:t>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3"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4" w:lineRule="exact"/>
        <w:rPr>
          <w:sz w:val="20"/>
          <w:szCs w:val="20"/>
          <w:color w:val="auto"/>
        </w:rPr>
      </w:pPr>
    </w:p>
    <w:p>
      <w:pPr>
        <w:ind w:right="100" w:firstLine="749"/>
        <w:spacing w:after="0" w:line="276"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3" w:lineRule="exact"/>
        <w:rPr>
          <w:sz w:val="20"/>
          <w:szCs w:val="20"/>
          <w:color w:val="auto"/>
        </w:rPr>
      </w:pPr>
    </w:p>
    <w:p>
      <w:pPr>
        <w:ind w:right="240" w:firstLine="749"/>
        <w:spacing w:after="0" w:line="262"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4" w:lineRule="exact"/>
        <w:rPr>
          <w:sz w:val="20"/>
          <w:szCs w:val="20"/>
          <w:color w:val="auto"/>
        </w:rPr>
      </w:pPr>
    </w:p>
    <w:p>
      <w:pPr>
        <w:ind w:left="1260" w:right="34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auto"/>
        </w:rPr>
      </w:pPr>
    </w:p>
    <w:p>
      <w:pPr>
        <w:ind w:left="1260" w:right="120" w:hanging="503"/>
        <w:spacing w:after="0" w:line="262"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4" w:lineRule="exact"/>
        <w:rPr>
          <w:rFonts w:ascii="Arial" w:cs="Arial" w:eastAsia="Arial" w:hAnsi="Arial"/>
          <w:sz w:val="17"/>
          <w:szCs w:val="17"/>
          <w:color w:val="auto"/>
        </w:rPr>
      </w:pPr>
    </w:p>
    <w:p>
      <w:pPr>
        <w:ind w:left="1260" w:right="560" w:hanging="503"/>
        <w:spacing w:after="0" w:line="324" w:lineRule="auto"/>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6" w:lineRule="exact"/>
        <w:rPr>
          <w:rFonts w:ascii="Arial" w:cs="Arial" w:eastAsia="Arial" w:hAnsi="Arial"/>
          <w:sz w:val="16"/>
          <w:szCs w:val="16"/>
          <w:color w:val="auto"/>
        </w:rPr>
      </w:pPr>
    </w:p>
    <w:p>
      <w:pPr>
        <w:ind w:left="1260" w:right="220" w:hanging="503"/>
        <w:spacing w:after="0" w:line="291"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260" w:right="240" w:hanging="503"/>
        <w:spacing w:after="0" w:line="248"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260" w:right="52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5" w:name="page86"/>
    <w:bookmarkEnd w:id="85"/>
    <w:p>
      <w:pPr>
        <w:ind w:left="1260" w:hanging="503"/>
        <w:spacing w:after="0" w:line="243"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9" w:lineRule="exact"/>
        <w:rPr>
          <w:rFonts w:ascii="Arial" w:cs="Arial" w:eastAsia="Arial" w:hAnsi="Arial"/>
          <w:sz w:val="18"/>
          <w:szCs w:val="18"/>
          <w:color w:val="auto"/>
        </w:rPr>
      </w:pPr>
    </w:p>
    <w:p>
      <w:pPr>
        <w:ind w:left="1260" w:right="580" w:hanging="503"/>
        <w:spacing w:after="0" w:line="248"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3" w:lineRule="exact"/>
        <w:rPr>
          <w:rFonts w:ascii="Arial" w:cs="Arial" w:eastAsia="Arial" w:hAnsi="Arial"/>
          <w:sz w:val="18"/>
          <w:szCs w:val="18"/>
          <w:color w:val="auto"/>
        </w:rPr>
      </w:pPr>
    </w:p>
    <w:p>
      <w:pPr>
        <w:ind w:left="1260" w:right="68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26" w:lineRule="exact"/>
        <w:rPr>
          <w:rFonts w:ascii="Arial" w:cs="Arial" w:eastAsia="Arial" w:hAnsi="Arial"/>
          <w:sz w:val="16"/>
          <w:szCs w:val="16"/>
          <w:color w:val="auto"/>
        </w:rPr>
      </w:pPr>
    </w:p>
    <w:p>
      <w:pPr>
        <w:ind w:left="1260" w:right="520" w:hanging="503"/>
        <w:spacing w:after="0" w:line="248"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3"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60" w:right="36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04"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88" w:lineRule="exact"/>
        <w:rPr>
          <w:sz w:val="20"/>
          <w:szCs w:val="20"/>
          <w:color w:val="auto"/>
        </w:rPr>
      </w:pPr>
    </w:p>
    <w:p>
      <w:pPr>
        <w:ind w:left="1260" w:right="140" w:hanging="503"/>
        <w:spacing w:after="0" w:line="261"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86" w:name="page87"/>
    <w:bookmarkEnd w:id="86"/>
    <w:p>
      <w:pPr>
        <w:ind w:left="1260" w:hanging="503"/>
        <w:spacing w:after="0"/>
        <w:tabs>
          <w:tab w:leader="none" w:pos="1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military conflict between Russia and Ukraine.</w:t>
      </w:r>
    </w:p>
    <w:p>
      <w:pPr>
        <w:spacing w:after="0" w:line="104"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3" w:lineRule="exact"/>
        <w:rPr>
          <w:sz w:val="20"/>
          <w:szCs w:val="20"/>
          <w:color w:val="auto"/>
        </w:rPr>
      </w:pPr>
    </w:p>
    <w:p>
      <w:pPr>
        <w:ind w:right="40" w:firstLine="749"/>
        <w:spacing w:after="0" w:line="279"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1" w:lineRule="exact"/>
        <w:rPr>
          <w:sz w:val="20"/>
          <w:szCs w:val="20"/>
          <w:color w:val="auto"/>
        </w:rPr>
      </w:pPr>
    </w:p>
    <w:p>
      <w:pPr>
        <w:jc w:val="both"/>
        <w:ind w:right="80" w:firstLine="749"/>
        <w:spacing w:after="0" w:line="243"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80" w:lineRule="exact"/>
        <w:rPr>
          <w:sz w:val="20"/>
          <w:szCs w:val="20"/>
          <w:color w:val="auto"/>
        </w:rPr>
      </w:pPr>
    </w:p>
    <w:p>
      <w:pPr>
        <w:jc w:val="both"/>
        <w:ind w:right="100" w:firstLine="749"/>
        <w:spacing w:after="0" w:line="261"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1260" w:right="100" w:hanging="503"/>
        <w:spacing w:after="0" w:line="261"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03" w:lineRule="exact"/>
        <w:rPr>
          <w:rFonts w:ascii="Arial" w:cs="Arial" w:eastAsia="Arial" w:hAnsi="Arial"/>
          <w:sz w:val="18"/>
          <w:szCs w:val="18"/>
          <w:color w:val="auto"/>
        </w:rPr>
      </w:pPr>
    </w:p>
    <w:p>
      <w:pPr>
        <w:ind w:left="1260" w:hanging="503"/>
        <w:spacing w:after="0" w:line="248"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3"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outcomes of clinical trials for any of our product candidates, or competing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7" w:name="page88"/>
    <w:bookmarkEnd w:id="87"/>
    <w:p>
      <w:pPr>
        <w:ind w:left="1260" w:right="160" w:hanging="503"/>
        <w:spacing w:after="0" w:line="261"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in regulatory review or approval of any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demand for any of our product candidates, if approved, which may fluctuate significantly and be difficult to predict;</w:t>
      </w:r>
    </w:p>
    <w:p>
      <w:pPr>
        <w:spacing w:after="0" w:line="103" w:lineRule="exact"/>
        <w:rPr>
          <w:rFonts w:ascii="Arial" w:cs="Arial" w:eastAsia="Arial" w:hAnsi="Arial"/>
          <w:sz w:val="18"/>
          <w:szCs w:val="18"/>
          <w:color w:val="auto"/>
        </w:rPr>
      </w:pPr>
    </w:p>
    <w:p>
      <w:pPr>
        <w:ind w:left="1260" w:right="300" w:hanging="503"/>
        <w:spacing w:after="0" w:line="261"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8"/>
          <w:szCs w:val="18"/>
          <w:color w:val="auto"/>
        </w:rPr>
      </w:pPr>
    </w:p>
    <w:p>
      <w:pPr>
        <w:ind w:left="1260" w:right="220" w:hanging="503"/>
        <w:spacing w:after="0" w:line="261"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04" w:lineRule="exact"/>
        <w:rPr>
          <w:sz w:val="20"/>
          <w:szCs w:val="20"/>
          <w:color w:val="auto"/>
        </w:rPr>
      </w:pPr>
    </w:p>
    <w:p>
      <w:pPr>
        <w:ind w:right="160" w:firstLine="749"/>
        <w:spacing w:after="0" w:line="276"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As of December 31, 2021, our executive officers, directors, holders of 5% or more of our common stock and their respective affiliates beneficially owned approximately 60%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200" w:firstLine="749"/>
        <w:spacing w:after="0" w:line="29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9" w:lineRule="exact"/>
        <w:rPr>
          <w:sz w:val="20"/>
          <w:szCs w:val="20"/>
          <w:color w:val="auto"/>
        </w:rPr>
      </w:pPr>
    </w:p>
    <w:p>
      <w:pPr>
        <w:ind w:right="140" w:firstLine="749"/>
        <w:spacing w:after="0" w:line="284"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3"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4" w:lineRule="exact"/>
        <w:rPr>
          <w:sz w:val="20"/>
          <w:szCs w:val="20"/>
          <w:color w:val="auto"/>
        </w:rPr>
      </w:pPr>
    </w:p>
    <w:p>
      <w:pPr>
        <w:ind w:left="1260" w:right="320" w:hanging="503"/>
        <w:spacing w:after="0" w:line="248"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Annual Report;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8" w:name="page89"/>
    <w:bookmarkEnd w:id="88"/>
    <w:p>
      <w:pPr>
        <w:ind w:left="1260" w:right="340" w:hanging="503"/>
        <w:spacing w:after="0" w:line="261"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62" w:lineRule="exact"/>
        <w:rPr>
          <w:rFonts w:ascii="Arial" w:cs="Arial" w:eastAsia="Arial" w:hAnsi="Arial"/>
          <w:sz w:val="18"/>
          <w:szCs w:val="18"/>
          <w:color w:val="auto"/>
        </w:rPr>
      </w:pPr>
    </w:p>
    <w:p>
      <w:pPr>
        <w:ind w:left="1260" w:right="200" w:hanging="503"/>
        <w:spacing w:after="0" w:line="248"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260" w:right="280" w:hanging="503"/>
        <w:spacing w:after="0" w:line="261"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Annual Report and our periodic reports and proxy statements; and</w:t>
      </w:r>
    </w:p>
    <w:p>
      <w:pPr>
        <w:spacing w:after="0" w:line="62"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81"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39" w:lineRule="exact"/>
        <w:rPr>
          <w:sz w:val="20"/>
          <w:szCs w:val="20"/>
          <w:color w:val="auto"/>
        </w:rPr>
      </w:pPr>
    </w:p>
    <w:p>
      <w:pPr>
        <w:ind w:right="240" w:firstLine="749"/>
        <w:spacing w:after="0" w:line="324"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4"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6" w:lineRule="exact"/>
        <w:rPr>
          <w:sz w:val="20"/>
          <w:szCs w:val="20"/>
          <w:color w:val="auto"/>
        </w:rPr>
      </w:pPr>
    </w:p>
    <w:p>
      <w:pPr>
        <w:ind w:right="260" w:firstLine="749"/>
        <w:spacing w:after="0" w:line="23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9" w:name="page90"/>
    <w:bookmarkEnd w:id="89"/>
    <w:p>
      <w:pPr>
        <w:ind w:right="20" w:firstLine="749"/>
        <w:spacing w:after="0" w:line="243"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4"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4" w:lineRule="exact"/>
        <w:rPr>
          <w:sz w:val="20"/>
          <w:szCs w:val="20"/>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0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15" w:lineRule="exact"/>
        <w:rPr>
          <w:rFonts w:ascii="Arial" w:cs="Arial" w:eastAsia="Arial" w:hAnsi="Arial"/>
          <w:sz w:val="17"/>
          <w:szCs w:val="17"/>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03" w:lineRule="exact"/>
        <w:rPr>
          <w:rFonts w:ascii="Arial" w:cs="Arial" w:eastAsia="Arial" w:hAnsi="Arial"/>
          <w:sz w:val="18"/>
          <w:szCs w:val="18"/>
          <w:color w:val="auto"/>
        </w:rPr>
      </w:pPr>
    </w:p>
    <w:p>
      <w:pPr>
        <w:ind w:left="1260" w:right="600" w:hanging="503"/>
        <w:spacing w:after="0" w:line="261"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04"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ind w:right="240" w:firstLine="749"/>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4" w:lineRule="exact"/>
        <w:rPr>
          <w:sz w:val="20"/>
          <w:szCs w:val="20"/>
          <w:color w:val="auto"/>
        </w:rPr>
      </w:pPr>
    </w:p>
    <w:p>
      <w:pPr>
        <w:ind w:right="160" w:firstLine="749"/>
        <w:spacing w:after="0" w:line="259"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6" w:lineRule="exact"/>
        <w:rPr>
          <w:sz w:val="20"/>
          <w:szCs w:val="20"/>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03"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88"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1" w:lineRule="exact"/>
        <w:rPr>
          <w:sz w:val="20"/>
          <w:szCs w:val="20"/>
          <w:color w:val="auto"/>
        </w:rPr>
      </w:pPr>
    </w:p>
    <w:p>
      <w:pPr>
        <w:ind w:right="300" w:firstLine="749"/>
        <w:spacing w:after="0" w:line="248"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0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Our corporate headquarters are located in South San Francisco, California, where we lease 33,663 square feet of office, research and laboratory space, under a non-cancelable lease that expires in May 2028 with an option to renew for an additional one-year term. We are also under agreement to lease office space and research and development space in San Diego, California through February 2025. We believe that these existing facilities will be adequate for our near-term needs. If required, we believe that suitable additional or alternative space would be available in the future on commercially reasonable terms.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03"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Common Stock</w:t>
      </w:r>
    </w:p>
    <w:p>
      <w:pPr>
        <w:spacing w:after="0" w:line="108"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Our common stock has been publicly traded on the Nasdaq Global Select Market under the symbol “ORIC.” since April 24, 2020. Prior to that date, there was no public trading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right="300" w:firstLine="749"/>
        <w:spacing w:after="0" w:line="248" w:lineRule="auto"/>
        <w:rPr>
          <w:sz w:val="20"/>
          <w:szCs w:val="20"/>
          <w:color w:val="auto"/>
        </w:rPr>
      </w:pPr>
      <w:r>
        <w:rPr>
          <w:rFonts w:ascii="Arial" w:cs="Arial" w:eastAsia="Arial" w:hAnsi="Arial"/>
          <w:sz w:val="18"/>
          <w:szCs w:val="18"/>
          <w:color w:val="auto"/>
        </w:rPr>
        <w:t>As of December 31, 2021, there were approximately 39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April 24, 2020 (the first day of trading of our common stock with a closing price on that date of $25.77) and its relative performance is tracked through December 31, 2021.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422910</wp:posOffset>
            </wp:positionV>
            <wp:extent cx="4568825" cy="3231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456882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 No offering expenses were paid or are payable, directly or indirectly, to our directors or officers, to persons owning 10% or more of any class of our equity securities or to any of our affiliates.</w:t>
      </w:r>
    </w:p>
    <w:p>
      <w:pPr>
        <w:spacing w:after="0" w:line="180" w:lineRule="exact"/>
        <w:rPr>
          <w:sz w:val="20"/>
          <w:szCs w:val="20"/>
          <w:color w:val="auto"/>
        </w:rPr>
      </w:pPr>
    </w:p>
    <w:p>
      <w:pPr>
        <w:jc w:val="both"/>
        <w:ind w:right="40" w:firstLine="749"/>
        <w:spacing w:after="0" w:line="271"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38"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 No offering expenses were paid or are payable, directly or indirectly, to our directors or officers, to persons owning 10% or more of any class of our equity securities or to any of our affiliates.</w:t>
      </w:r>
    </w:p>
    <w:p>
      <w:pPr>
        <w:spacing w:after="0" w:line="189"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56" w:lineRule="exact"/>
        <w:rPr>
          <w:sz w:val="20"/>
          <w:szCs w:val="20"/>
          <w:color w:val="auto"/>
        </w:rPr>
      </w:pPr>
    </w:p>
    <w:p>
      <w:pPr>
        <w:ind w:right="360" w:firstLine="749"/>
        <w:spacing w:after="0" w:line="243" w:lineRule="auto"/>
        <w:rPr>
          <w:sz w:val="20"/>
          <w:szCs w:val="20"/>
          <w:color w:val="auto"/>
        </w:rPr>
      </w:pPr>
      <w:r>
        <w:rPr>
          <w:rFonts w:ascii="Arial" w:cs="Arial" w:eastAsia="Arial" w:hAnsi="Arial"/>
          <w:sz w:val="18"/>
          <w:szCs w:val="18"/>
          <w:color w:val="auto"/>
        </w:rPr>
        <w:t>On August 3, 2020, we issued 588,235 shares of common stock to Mirati in connection with the Mirati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Mirati in a stock issuance agreement entered into between us and Mirati, dated August 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60"/>
        <w:spacing w:after="0" w:line="261" w:lineRule="auto"/>
        <w:rPr>
          <w:sz w:val="20"/>
          <w:szCs w:val="20"/>
          <w:color w:val="auto"/>
        </w:rPr>
      </w:pPr>
      <w:r>
        <w:rPr>
          <w:rFonts w:ascii="Arial" w:cs="Arial" w:eastAsia="Arial" w:hAnsi="Arial"/>
          <w:sz w:val="18"/>
          <w:szCs w:val="18"/>
          <w:color w:val="auto"/>
        </w:rPr>
        <w:t>2020. During the eighteen-month period following the date of the stock issuance agreement, Mirati is subject to certain transfer restrictions, and the parties agreed to negotiate and enter into a registration rights agreement, with respect to the shares.</w:t>
      </w:r>
    </w:p>
    <w:p>
      <w:pPr>
        <w:spacing w:after="0" w:line="63" w:lineRule="exact"/>
        <w:rPr>
          <w:sz w:val="20"/>
          <w:szCs w:val="20"/>
          <w:color w:val="auto"/>
        </w:rPr>
      </w:pPr>
    </w:p>
    <w:p>
      <w:pPr>
        <w:ind w:right="220" w:firstLine="749"/>
        <w:spacing w:after="0" w:line="259" w:lineRule="auto"/>
        <w:rPr>
          <w:sz w:val="20"/>
          <w:szCs w:val="20"/>
          <w:color w:val="auto"/>
        </w:rPr>
      </w:pPr>
      <w:r>
        <w:rPr>
          <w:rFonts w:ascii="Arial" w:cs="Arial" w:eastAsia="Arial" w:hAnsi="Arial"/>
          <w:sz w:val="17"/>
          <w:szCs w:val="17"/>
          <w:color w:val="auto"/>
        </w:rPr>
        <w:t>On October 19, 2020, we issued 283,259 shares of common stock to Voronoi in connection with the Voronoi License Agreement. No underwriters were involved in the issuance. The shares were issued in a private placement in reliance on Section 4(a)(2) of the Securities Act, for transactions by an issuer not involving any public offering. We relied upon this exemption from registration based in part on representations made by Voronoi in a stock issuance agreement entered into between us and Voronoi, dated October 19, 2020. During the twenty-four month period following the date of the stock issuance agreement, Voronoi is subject to certain transfer and standstill restrictions.</w:t>
      </w:r>
    </w:p>
    <w:p>
      <w:pPr>
        <w:spacing w:after="0" w:line="66"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auto"/>
        </w:rPr>
        <w:t>On May 6, 2021, we entered into an "at the market" (ATM) sales agreement with Jefferies LLC as our sales agent, under which we may offer and sell from time to time up to $150 million of shares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to us from the transaction were $48.1 million. We currently intend to use the net proceeds from the sale of the shares, together with our existing cash, cash equivalents and investments, to fund the continued development of three product candidates, ORIC-533, ORIC-114 and ORIC-944, through data readouts expected in the first half of 2023, and to fund other research and development activities, as well as for working capital and other general corporate purposes.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89" w:lineRule="exact"/>
        <w:rPr>
          <w:sz w:val="20"/>
          <w:szCs w:val="20"/>
          <w:color w:val="auto"/>
        </w:rPr>
      </w:pPr>
    </w:p>
    <w:p>
      <w:pPr>
        <w:ind w:firstLine="749"/>
        <w:spacing w:after="0" w:line="26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196" w:lineRule="exact"/>
        <w:rPr>
          <w:sz w:val="20"/>
          <w:szCs w:val="20"/>
          <w:color w:val="auto"/>
        </w:rPr>
      </w:pPr>
    </w:p>
    <w:p>
      <w:pPr>
        <w:jc w:val="both"/>
        <w:ind w:right="620" w:firstLine="749"/>
        <w:spacing w:after="0" w:line="248" w:lineRule="auto"/>
        <w:rPr>
          <w:sz w:val="20"/>
          <w:szCs w:val="20"/>
          <w:color w:val="auto"/>
        </w:rPr>
      </w:pPr>
      <w:r>
        <w:rPr>
          <w:rFonts w:ascii="Arial" w:cs="Arial" w:eastAsia="Arial" w:hAnsi="Arial"/>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clinical stage product candidates include:</w:t>
      </w:r>
    </w:p>
    <w:p>
      <w:pPr>
        <w:spacing w:after="0" w:line="104" w:lineRule="exact"/>
        <w:rPr>
          <w:sz w:val="20"/>
          <w:szCs w:val="20"/>
          <w:color w:val="auto"/>
        </w:rPr>
      </w:pPr>
    </w:p>
    <w:p>
      <w:pPr>
        <w:ind w:left="1260" w:hanging="503"/>
        <w:spacing w:after="0" w:line="262" w:lineRule="auto"/>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we are enrolling patients in a Phase 1b trial as a single-agent in multiple myeloma and expect to report initial data in the first half of 2023.</w:t>
      </w:r>
    </w:p>
    <w:p>
      <w:pPr>
        <w:spacing w:after="0" w:line="64" w:lineRule="exact"/>
        <w:rPr>
          <w:rFonts w:ascii="Arial" w:cs="Arial" w:eastAsia="Arial" w:hAnsi="Arial"/>
          <w:sz w:val="17"/>
          <w:szCs w:val="17"/>
          <w:color w:val="auto"/>
        </w:rPr>
      </w:pPr>
    </w:p>
    <w:p>
      <w:pPr>
        <w:ind w:left="1260" w:right="20" w:hanging="503"/>
        <w:spacing w:after="0" w:line="255" w:lineRule="auto"/>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Clinical Trial Application (CTA) in South Korea for ORIC-114, which was cleared in the first quarter of 2022. We are pursuing a Phase 1b single agent trial which will enroll patients with advanced solid tumors with EGFR and HER2 exon 20 alterations or HER2 amplifications and will allow patients with CNS metastases that are either treated or untreated but asymptomatic. We expect to report initial Phase 1b data from this trial in the first half of 2023.</w:t>
      </w:r>
    </w:p>
    <w:p>
      <w:pPr>
        <w:spacing w:after="0" w:line="71" w:lineRule="exact"/>
        <w:rPr>
          <w:rFonts w:ascii="Arial" w:cs="Arial" w:eastAsia="Arial" w:hAnsi="Arial"/>
          <w:sz w:val="17"/>
          <w:szCs w:val="17"/>
          <w:color w:val="auto"/>
        </w:rPr>
      </w:pPr>
    </w:p>
    <w:p>
      <w:pPr>
        <w:ind w:left="1260" w:hanging="503"/>
        <w:spacing w:after="0" w:line="284" w:lineRule="auto"/>
        <w:tabs>
          <w:tab w:leader="none" w:pos="1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and we are pursuing a single-agent clinical development plan in prostate cancer and expect to report initial Phase 1b data in the first half of 2023.</w:t>
      </w:r>
    </w:p>
    <w:p>
      <w:pPr>
        <w:spacing w:after="0" w:line="155"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Beyond these clinical stage product candidates, we are developing multiple discovery stage precision medicines targeting other hallmark cancer resistance mechanisms.</w:t>
      </w:r>
    </w:p>
    <w:p>
      <w:pPr>
        <w:spacing w:after="0" w:line="171"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Since our inception in 2014, we have devoted substantially all of our resources to research and development activities, including with respect to our GR antagonist (ORIC-101)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188"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We have incurred significant losses since the commencement of our operations. Our net loss for the year ended December 31, 2021, was $78.7 million and we had an accumulated deficit of $245.1 million as of December 31, 2021.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ORIC-533, ORIC-114,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180"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6" w:name="page97"/>
    <w:bookmarkEnd w:id="96"/>
    <w:p>
      <w:pPr>
        <w:ind w:right="60"/>
        <w:spacing w:after="0" w:line="274" w:lineRule="auto"/>
        <w:rPr>
          <w:sz w:val="20"/>
          <w:szCs w:val="20"/>
          <w:color w:val="auto"/>
        </w:rPr>
      </w:pPr>
      <w:r>
        <w:rPr>
          <w:rFonts w:ascii="Arial" w:cs="Arial" w:eastAsia="Arial" w:hAnsi="Arial"/>
          <w:sz w:val="16"/>
          <w:szCs w:val="16"/>
          <w:color w:val="auto"/>
        </w:rPr>
        <w:t>workforce continues to work from home. Disruptions caused by the COVID-19 pandemic, including the effects of the stay-at-home orders and work-from-home policies, have impacted productivity, have resulted in increased operational expenses, certain adjustments to the operations of our clinical trials, the suspension of enrollment of new patients at certain of our clinical trial sites, and delays in certain supply chain activities and collecting and analyzing data from patients in our clinical trials, and may further disrupt our business and delay our development programs and regulatory timelines, the magnitude of which will depend, in part, on the length and severity of the restrictions and other limitations on our ability to conduct business in the ordinary course. As a result, research and 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55"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189"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As consideration for the license granted under the Voronoi License Agreement, we made a one-time $5.0 million cash payment in November 2020 and issued 283,259 shares of our common stock to Voronoi in October 2020. For a further description of these license agreements and related stock issuances, please refer to the “Business – Our license agreements” and “Item 8 – Notes to Financial Statements” sections in the Annual Report on Form 10-K.</w:t>
      </w:r>
    </w:p>
    <w:p>
      <w:pPr>
        <w:spacing w:after="0" w:line="174"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8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320" w:firstLine="749"/>
        <w:spacing w:after="0" w:line="235"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77" w:lineRule="exact"/>
        <w:rPr>
          <w:sz w:val="20"/>
          <w:szCs w:val="20"/>
          <w:color w:val="auto"/>
        </w:rPr>
      </w:pPr>
    </w:p>
    <w:p>
      <w:pPr>
        <w:ind w:left="1260" w:right="60" w:hanging="503"/>
        <w:spacing w:after="0" w:line="235"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53" w:lineRule="exact"/>
        <w:rPr>
          <w:rFonts w:ascii="Arial" w:cs="Arial" w:eastAsia="Arial" w:hAnsi="Arial"/>
          <w:sz w:val="18"/>
          <w:szCs w:val="18"/>
          <w:color w:val="auto"/>
        </w:rPr>
      </w:pPr>
    </w:p>
    <w:p>
      <w:pPr>
        <w:ind w:left="1260" w:right="420" w:hanging="503"/>
        <w:spacing w:after="0" w:line="235"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53" w:lineRule="exact"/>
        <w:rPr>
          <w:rFonts w:ascii="Arial" w:cs="Arial" w:eastAsia="Arial" w:hAnsi="Arial"/>
          <w:sz w:val="18"/>
          <w:szCs w:val="18"/>
          <w:color w:val="auto"/>
        </w:rPr>
      </w:pPr>
    </w:p>
    <w:p>
      <w:pPr>
        <w:ind w:left="1260" w:right="360" w:hanging="503"/>
        <w:spacing w:after="0" w:line="258" w:lineRule="auto"/>
        <w:tabs>
          <w:tab w:leader="none" w:pos="1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208" w:lineRule="exact"/>
        <w:rPr>
          <w:sz w:val="20"/>
          <w:szCs w:val="20"/>
          <w:color w:val="auto"/>
        </w:rPr>
      </w:pPr>
    </w:p>
    <w:p>
      <w:pPr>
        <w:ind w:right="100" w:firstLine="749"/>
        <w:spacing w:after="0" w:line="21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7" w:name="page98"/>
    <w:bookmarkEnd w:id="97"/>
    <w:p>
      <w:pPr>
        <w:ind w:right="780" w:firstLine="749"/>
        <w:spacing w:after="0" w:line="235"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162" w:lineRule="exact"/>
        <w:rPr>
          <w:sz w:val="20"/>
          <w:szCs w:val="20"/>
          <w:color w:val="auto"/>
        </w:rPr>
      </w:pPr>
    </w:p>
    <w:p>
      <w:pPr>
        <w:ind w:firstLine="749"/>
        <w:spacing w:after="0" w:line="21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163" w:lineRule="exact"/>
        <w:rPr>
          <w:sz w:val="20"/>
          <w:szCs w:val="20"/>
          <w:color w:val="auto"/>
        </w:rPr>
      </w:pPr>
    </w:p>
    <w:p>
      <w:pPr>
        <w:ind w:right="40" w:firstLine="749"/>
        <w:spacing w:after="0" w:line="249"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168"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77" w:lineRule="exact"/>
        <w:rPr>
          <w:sz w:val="20"/>
          <w:szCs w:val="20"/>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03"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90" w:lineRule="exact"/>
        <w:rPr>
          <w:rFonts w:ascii="Arial" w:cs="Arial" w:eastAsia="Arial" w:hAnsi="Arial"/>
          <w:sz w:val="18"/>
          <w:szCs w:val="18"/>
          <w:color w:val="auto"/>
        </w:rPr>
      </w:pPr>
    </w:p>
    <w:p>
      <w:pPr>
        <w:ind w:left="1260" w:right="660" w:hanging="503"/>
        <w:spacing w:after="0" w:line="246" w:lineRule="auto"/>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198"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140" w:firstLine="749"/>
        <w:spacing w:after="0" w:line="228" w:lineRule="auto"/>
        <w:rPr>
          <w:sz w:val="20"/>
          <w:szCs w:val="20"/>
          <w:color w:val="auto"/>
        </w:rPr>
      </w:pPr>
      <w:r>
        <w:rPr>
          <w:rFonts w:ascii="Arial" w:cs="Arial" w:eastAsia="Arial" w:hAnsi="Arial"/>
          <w:sz w:val="18"/>
          <w:szCs w:val="18"/>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foreseeable future as we increase our headcount to support the continued research and development of our programs and the growth of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90" w:lineRule="exact"/>
        <w:rPr>
          <w:sz w:val="20"/>
          <w:szCs w:val="20"/>
          <w:color w:val="auto"/>
        </w:rPr>
      </w:pPr>
    </w:p>
    <w:p>
      <w:pPr>
        <w:ind w:right="340" w:firstLine="749"/>
        <w:spacing w:after="0" w:line="235" w:lineRule="auto"/>
        <w:rPr>
          <w:sz w:val="20"/>
          <w:szCs w:val="20"/>
          <w:color w:val="auto"/>
        </w:rPr>
      </w:pPr>
      <w:r>
        <w:rPr>
          <w:rFonts w:ascii="Arial" w:cs="Arial" w:eastAsia="Arial" w:hAnsi="Arial"/>
          <w:sz w:val="18"/>
          <w:szCs w:val="18"/>
          <w:color w:val="auto"/>
        </w:rPr>
        <w:t>Interest income, net primarily consists of interest income generated from our interest-bearing money market accounts and available-for-sale investments. Other income historically had consisted of rental income from the sub-leasing of a portion of our office space in South San Francisco, California. In August 2020, this sublease expired and we reclaimed the space at that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right="60" w:firstLine="749"/>
        <w:spacing w:after="0" w:line="235" w:lineRule="auto"/>
        <w:rPr>
          <w:sz w:val="20"/>
          <w:szCs w:val="20"/>
          <w:color w:val="auto"/>
        </w:rPr>
      </w:pPr>
      <w:r>
        <w:rPr>
          <w:rFonts w:ascii="Arial" w:cs="Arial" w:eastAsia="Arial" w:hAnsi="Arial"/>
          <w:sz w:val="18"/>
          <w:szCs w:val="18"/>
          <w:i w:val="1"/>
          <w:iCs w:val="1"/>
          <w:color w:val="auto"/>
        </w:rPr>
        <w:t>A discussion of changes in our results of operations for the year ended December 31, 2020, compared to the year ended December 31, 2019, is included in Item 7. Management's Discussion and Analysis of Financial Condition and Results of Operations located in our Annual Report on Form 10-K for the year ended December 31, 2020, as filed with the SEC on March 23, 2021.</w:t>
      </w:r>
    </w:p>
    <w:p>
      <w:pPr>
        <w:spacing w:after="0" w:line="80"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The following table supplements the discussion below and summarizes our results of operations for the years ended December 31, 2021 and 2020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56,858</w:t>
            </w:r>
          </w:p>
        </w:tc>
        <w:tc>
          <w:tcPr>
            <w:tcW w:w="2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35,921</w:t>
            </w:r>
          </w:p>
        </w:tc>
        <w:tc>
          <w:tcPr>
            <w:tcW w:w="1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20,937</w:t>
            </w:r>
          </w:p>
        </w:tc>
        <w:tc>
          <w:tcPr>
            <w:tcW w:w="100" w:type="dxa"/>
            <w:vAlign w:val="bottom"/>
          </w:tcPr>
          <w:p>
            <w:pPr>
              <w:spacing w:after="0"/>
              <w:rPr>
                <w:sz w:val="17"/>
                <w:szCs w:val="17"/>
                <w:color w:val="auto"/>
              </w:rPr>
            </w:pPr>
          </w:p>
        </w:tc>
      </w:tr>
      <w:tr>
        <w:trPr>
          <w:trHeight w:val="203"/>
        </w:trPr>
        <w:tc>
          <w:tcPr>
            <w:tcW w:w="4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13,422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8,591</w:t>
            </w: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3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24,843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(24,843 )</w:t>
            </w:r>
          </w:p>
        </w:tc>
      </w:tr>
      <w:tr>
        <w:trPr>
          <w:trHeight w:val="196"/>
        </w:trPr>
        <w:tc>
          <w:tcPr>
            <w:tcW w:w="43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78,871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74,186</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4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(78,871 )</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(74,186 )</w:t>
            </w:r>
          </w:p>
        </w:tc>
        <w:tc>
          <w:tcPr>
            <w:tcW w:w="300" w:type="dxa"/>
            <w:vAlign w:val="bottom"/>
          </w:tcPr>
          <w:p>
            <w:pPr>
              <w:spacing w:after="0"/>
              <w:rPr>
                <w:sz w:val="17"/>
                <w:szCs w:val="17"/>
                <w:color w:val="auto"/>
              </w:rPr>
            </w:pPr>
          </w:p>
        </w:tc>
        <w:tc>
          <w:tcPr>
            <w:tcW w:w="1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(4,685 )</w:t>
            </w:r>
          </w:p>
        </w:tc>
      </w:tr>
      <w:tr>
        <w:trPr>
          <w:trHeight w:val="203"/>
        </w:trPr>
        <w:tc>
          <w:tcPr>
            <w:tcW w:w="4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Total other income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(327 )</w:t>
            </w:r>
          </w:p>
        </w:tc>
      </w:tr>
      <w:tr>
        <w:trPr>
          <w:trHeight w:val="196"/>
        </w:trPr>
        <w:tc>
          <w:tcPr>
            <w:tcW w:w="43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34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(78,715 )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(73,703 )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(5,012 )</w:t>
            </w:r>
          </w:p>
        </w:tc>
      </w:tr>
      <w:tr>
        <w:trPr>
          <w:trHeight w:val="20"/>
        </w:trPr>
        <w:tc>
          <w:tcPr>
            <w:tcW w:w="4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-681990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-681990</wp:posOffset>
            </wp:positionV>
            <wp:extent cx="603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-681990</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Research and development expenses were $56.9 million for the year ended December 31, 2021, compared to $35.9 million for 2020, an increase of $20.9 million. The increase was primarily driven by an increase in external expenses related to the advancement of ORIC-101, ORIC-533 and our other product candidates of $16.0 million, as well as higher personnel costs, including additional non-cash stock-based compensation of $2.9 million.</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external and internal costs for the years ended December 31, 2021 and 2020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420" w:type="dxa"/>
            <w:vAlign w:val="bottom"/>
          </w:tcPr>
          <w:p>
            <w:pPr>
              <w:spacing w:after="0"/>
              <w:rPr>
                <w:sz w:val="17"/>
                <w:szCs w:val="17"/>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8"/>
                <w:szCs w:val="18"/>
                <w:color w:val="auto"/>
              </w:rPr>
            </w:pPr>
          </w:p>
        </w:tc>
      </w:tr>
      <w:tr>
        <w:trPr>
          <w:trHeight w:val="196"/>
        </w:trPr>
        <w:tc>
          <w:tcPr>
            <w:tcW w:w="442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External costs:</w:t>
            </w:r>
          </w:p>
        </w:tc>
        <w:tc>
          <w:tcPr>
            <w:tcW w:w="8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420" w:type="dxa"/>
            <w:vAlign w:val="bottom"/>
          </w:tcPr>
          <w:p>
            <w:pPr>
              <w:ind w:left="280"/>
              <w:spacing w:after="0" w:line="202" w:lineRule="exact"/>
              <w:rPr>
                <w:sz w:val="20"/>
                <w:szCs w:val="20"/>
                <w:color w:val="auto"/>
              </w:rPr>
            </w:pPr>
            <w:r>
              <w:rPr>
                <w:rFonts w:ascii="Arial" w:cs="Arial" w:eastAsia="Arial" w:hAnsi="Arial"/>
                <w:sz w:val="18"/>
                <w:szCs w:val="18"/>
                <w:color w:val="auto"/>
              </w:rPr>
              <w:t>ORIC-101</w:t>
            </w:r>
          </w:p>
        </w:tc>
        <w:tc>
          <w:tcPr>
            <w:tcW w:w="860" w:type="dxa"/>
            <w:vAlign w:val="bottom"/>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13,135</w:t>
            </w:r>
          </w:p>
        </w:tc>
        <w:tc>
          <w:tcPr>
            <w:tcW w:w="102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8,036</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5,099</w:t>
            </w:r>
          </w:p>
        </w:tc>
        <w:tc>
          <w:tcPr>
            <w:tcW w:w="60" w:type="dxa"/>
            <w:vAlign w:val="bottom"/>
          </w:tcPr>
          <w:p>
            <w:pPr>
              <w:spacing w:after="0"/>
              <w:rPr>
                <w:sz w:val="17"/>
                <w:szCs w:val="17"/>
                <w:color w:val="auto"/>
              </w:rPr>
            </w:pPr>
          </w:p>
        </w:tc>
      </w:tr>
      <w:tr>
        <w:trPr>
          <w:trHeight w:val="203"/>
        </w:trPr>
        <w:tc>
          <w:tcPr>
            <w:tcW w:w="44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ORIC-533</w:t>
            </w: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7,076</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3,596</w:t>
            </w:r>
          </w:p>
        </w:tc>
        <w:tc>
          <w:tcPr>
            <w:tcW w:w="60" w:type="dxa"/>
            <w:vAlign w:val="bottom"/>
            <w:shd w:val="clear" w:color="auto" w:fill="CFF0FC"/>
          </w:tcPr>
          <w:p>
            <w:pPr>
              <w:spacing w:after="0"/>
              <w:rPr>
                <w:sz w:val="17"/>
                <w:szCs w:val="17"/>
                <w:color w:val="auto"/>
              </w:rPr>
            </w:pPr>
          </w:p>
        </w:tc>
      </w:tr>
      <w:tr>
        <w:trPr>
          <w:trHeight w:val="203"/>
        </w:trPr>
        <w:tc>
          <w:tcPr>
            <w:tcW w:w="4420" w:type="dxa"/>
            <w:vAlign w:val="bottom"/>
          </w:tcPr>
          <w:p>
            <w:pPr>
              <w:ind w:left="280"/>
              <w:spacing w:after="0" w:line="202" w:lineRule="exact"/>
              <w:rPr>
                <w:sz w:val="20"/>
                <w:szCs w:val="20"/>
                <w:color w:val="auto"/>
              </w:rPr>
            </w:pPr>
            <w:r>
              <w:rPr>
                <w:rFonts w:ascii="Arial" w:cs="Arial" w:eastAsia="Arial" w:hAnsi="Arial"/>
                <w:sz w:val="18"/>
                <w:szCs w:val="18"/>
                <w:color w:val="auto"/>
              </w:rPr>
              <w:t>Preclinical and other unallocated costs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18,110</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10,807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7,303</w:t>
            </w:r>
          </w:p>
        </w:tc>
        <w:tc>
          <w:tcPr>
            <w:tcW w:w="60" w:type="dxa"/>
            <w:vAlign w:val="bottom"/>
          </w:tcPr>
          <w:p>
            <w:pPr>
              <w:spacing w:after="0"/>
              <w:rPr>
                <w:sz w:val="17"/>
                <w:szCs w:val="17"/>
                <w:color w:val="auto"/>
              </w:rPr>
            </w:pPr>
          </w:p>
        </w:tc>
      </w:tr>
      <w:tr>
        <w:trPr>
          <w:trHeight w:val="196"/>
        </w:trPr>
        <w:tc>
          <w:tcPr>
            <w:tcW w:w="44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external costs</w:t>
            </w:r>
          </w:p>
        </w:tc>
        <w:tc>
          <w:tcPr>
            <w:tcW w:w="8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38,321</w:t>
            </w:r>
          </w:p>
        </w:tc>
        <w:tc>
          <w:tcPr>
            <w:tcW w:w="1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22,323</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15,998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ind w:left="100"/>
              <w:spacing w:after="0" w:line="196" w:lineRule="exact"/>
              <w:rPr>
                <w:sz w:val="20"/>
                <w:szCs w:val="20"/>
                <w:color w:val="auto"/>
              </w:rPr>
            </w:pPr>
            <w:r>
              <w:rPr>
                <w:rFonts w:ascii="Arial" w:cs="Arial" w:eastAsia="Arial" w:hAnsi="Arial"/>
                <w:sz w:val="18"/>
                <w:szCs w:val="18"/>
                <w:color w:val="auto"/>
              </w:rPr>
              <w:t>Internal costs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18,537</w:t>
            </w: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13,598</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4,939</w:t>
            </w:r>
          </w:p>
        </w:tc>
        <w:tc>
          <w:tcPr>
            <w:tcW w:w="60" w:type="dxa"/>
            <w:vAlign w:val="bottom"/>
          </w:tcPr>
          <w:p>
            <w:pPr>
              <w:spacing w:after="0"/>
              <w:rPr>
                <w:sz w:val="17"/>
                <w:szCs w:val="17"/>
                <w:color w:val="auto"/>
              </w:rPr>
            </w:pPr>
          </w:p>
        </w:tc>
      </w:tr>
      <w:tr>
        <w:trPr>
          <w:trHeight w:val="236"/>
        </w:trPr>
        <w:tc>
          <w:tcPr>
            <w:tcW w:w="442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research and development expenses</w:t>
            </w:r>
          </w:p>
        </w:tc>
        <w:tc>
          <w:tcPr>
            <w:tcW w:w="86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56,858</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35,921</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20,937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-296545</wp:posOffset>
            </wp:positionV>
            <wp:extent cx="342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-296545</wp:posOffset>
            </wp:positionV>
            <wp:extent cx="342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-296545</wp:posOffset>
            </wp:positionV>
            <wp:extent cx="431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2" w:right="4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04"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In August 2020, we acquired the rights to certain patents, patent applications and know-how from Mirati under the Mirati License Agreement. As consideration for the asset rights, we issued to Mirati 588,235 shares of our common stock, valued at approximately $13.0 million based upon the closing price of our common stock on the acquisition date.</w:t>
      </w:r>
    </w:p>
    <w:p>
      <w:pPr>
        <w:spacing w:after="0" w:line="182" w:lineRule="exact"/>
        <w:rPr>
          <w:sz w:val="20"/>
          <w:szCs w:val="20"/>
          <w:color w:val="auto"/>
        </w:rPr>
      </w:pPr>
    </w:p>
    <w:p>
      <w:pPr>
        <w:ind w:right="60" w:firstLine="749"/>
        <w:spacing w:after="0" w:line="294" w:lineRule="auto"/>
        <w:rPr>
          <w:sz w:val="20"/>
          <w:szCs w:val="20"/>
          <w:color w:val="auto"/>
        </w:rPr>
      </w:pPr>
      <w:r>
        <w:rPr>
          <w:rFonts w:ascii="Arial" w:cs="Arial" w:eastAsia="Arial" w:hAnsi="Arial"/>
          <w:sz w:val="16"/>
          <w:szCs w:val="16"/>
          <w:color w:val="auto"/>
        </w:rPr>
        <w:t>In October 2020, we also acquired the rights to certain patent applications and know-how from Voronoi under the Voronoi License Agreement. As consideration for the asset rights, we made an up-front cash payment to Voronoi of $5.0 million and issued to Voronoi 283,259 shares of the Company’s common stock, valued at approximately $6.8 million based upon the closing price of our common stock on the acquisition date.</w:t>
      </w:r>
    </w:p>
    <w:p>
      <w:pPr>
        <w:spacing w:after="0" w:line="147"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As the assets licensed from Mirati and Voronoi were in early development at the time they were acquired, we concluded that there was no alternative future use for the assets and recorded the value of the asset rights acquired of $13.0 million and $11.8 million, from Mirati and Voronoi, respectively, to acquired in-process research and development at the closing of transactions, resulting in a total charge of $24.8 million for the year ended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General and administrative expenses were $22.0 million for the year ended December 31, 2021, compared to $13.4 million for 2020, an increase of $8.6 million. This increase was primarily due to higher personnel costs, including additional non-cash stock-based compensation of $4.6 million, and higher costs related to operating as a public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68" w:lineRule="exact"/>
        <w:rPr>
          <w:sz w:val="20"/>
          <w:szCs w:val="20"/>
          <w:color w:val="auto"/>
        </w:rPr>
      </w:pPr>
    </w:p>
    <w:p>
      <w:pPr>
        <w:ind w:right="260" w:firstLine="749"/>
        <w:spacing w:after="0" w:line="235" w:lineRule="auto"/>
        <w:rPr>
          <w:sz w:val="20"/>
          <w:szCs w:val="20"/>
          <w:color w:val="auto"/>
        </w:rPr>
      </w:pPr>
      <w:r>
        <w:rPr>
          <w:rFonts w:ascii="Arial" w:cs="Arial" w:eastAsia="Arial" w:hAnsi="Arial"/>
          <w:sz w:val="18"/>
          <w:szCs w:val="18"/>
          <w:color w:val="auto"/>
        </w:rPr>
        <w:t>On November 17, 2020, we completed our follow-on offering of our common stock. In connection with our follow-on offering, we issued and sold 5,796,000 shares of our common stock at a price to the public of $23.00 per share, resulting in gross proceeds of $133.3 million before deducting underwriting discounts and commissions and other offering expenses.</w:t>
      </w:r>
    </w:p>
    <w:p>
      <w:pPr>
        <w:spacing w:after="0" w:line="80" w:lineRule="exact"/>
        <w:rPr>
          <w:sz w:val="20"/>
          <w:szCs w:val="20"/>
          <w:color w:val="auto"/>
        </w:rPr>
      </w:pPr>
    </w:p>
    <w:p>
      <w:pPr>
        <w:jc w:val="both"/>
        <w:ind w:right="220" w:firstLine="749"/>
        <w:spacing w:after="0" w:line="248" w:lineRule="auto"/>
        <w:rPr>
          <w:sz w:val="20"/>
          <w:szCs w:val="20"/>
          <w:color w:val="auto"/>
        </w:rPr>
      </w:pPr>
      <w:r>
        <w:rPr>
          <w:rFonts w:ascii="Arial" w:cs="Arial" w:eastAsia="Arial" w:hAnsi="Arial"/>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182"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Prior to our IPO, we funded our operations primarily with proceeds from the sale of convertible preferred stock resulting in total net proceeds of approximately $178.1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67" w:lineRule="exact"/>
        <w:rPr>
          <w:sz w:val="20"/>
          <w:szCs w:val="20"/>
          <w:color w:val="auto"/>
        </w:rPr>
      </w:pPr>
    </w:p>
    <w:p>
      <w:pPr>
        <w:ind w:left="1260" w:hanging="503"/>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1260" w:right="300" w:hanging="503"/>
        <w:spacing w:after="0" w:line="261"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0" w:name="page101"/>
    <w:bookmarkEnd w:id="100"/>
    <w:p>
      <w:pPr>
        <w:ind w:left="1260" w:right="440" w:hanging="503"/>
        <w:spacing w:after="0" w:line="261"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12"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We expect our current cash, cash equivalents and available-for-sale investments will be sufficient to fund our current operating plan into the second half of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185" w:lineRule="exact"/>
        <w:rPr>
          <w:sz w:val="20"/>
          <w:szCs w:val="20"/>
          <w:color w:val="auto"/>
        </w:rPr>
      </w:pPr>
    </w:p>
    <w:p>
      <w:pPr>
        <w:ind w:right="40" w:firstLine="749"/>
        <w:spacing w:after="0" w:line="262"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78" w:lineRule="exact"/>
        <w:rPr>
          <w:sz w:val="20"/>
          <w:szCs w:val="20"/>
          <w:color w:val="auto"/>
        </w:rPr>
      </w:pPr>
    </w:p>
    <w:p>
      <w:pPr>
        <w:ind w:left="1260" w:hanging="503"/>
        <w:spacing w:after="0" w:line="261"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1260" w:right="240" w:hanging="503"/>
        <w:spacing w:after="0" w:line="261"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03"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03" w:lineRule="exact"/>
        <w:rPr>
          <w:rFonts w:ascii="Arial" w:cs="Arial" w:eastAsia="Arial" w:hAnsi="Arial"/>
          <w:sz w:val="18"/>
          <w:szCs w:val="18"/>
          <w:color w:val="auto"/>
        </w:rPr>
      </w:pPr>
    </w:p>
    <w:p>
      <w:pPr>
        <w:ind w:left="1260" w:right="320" w:hanging="503"/>
        <w:spacing w:after="0" w:line="261"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198"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Years Ended December 31,</w:t>
            </w:r>
          </w:p>
        </w:tc>
      </w:tr>
      <w:tr>
        <w:trPr>
          <w:trHeight w:val="216"/>
        </w:trPr>
        <w:tc>
          <w:tcPr>
            <w:tcW w:w="58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(59,541</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(45,268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158,435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(215,959 )</w:t>
            </w:r>
          </w:p>
        </w:tc>
      </w:tr>
      <w:tr>
        <w:trPr>
          <w:trHeight w:val="203"/>
        </w:trPr>
        <w:tc>
          <w:tcPr>
            <w:tcW w:w="5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49,134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250,514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tcPr>
          <w:p>
            <w:pPr>
              <w:ind w:left="180"/>
              <w:spacing w:after="0" w:line="182"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148,028</w:t>
            </w:r>
          </w:p>
        </w:tc>
        <w:tc>
          <w:tcPr>
            <w:tcW w:w="220" w:type="dxa"/>
            <w:vAlign w:val="bottom"/>
          </w:tcPr>
          <w:p>
            <w:pPr>
              <w:spacing w:after="0"/>
              <w:rPr>
                <w:sz w:val="17"/>
                <w:szCs w:val="17"/>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(10,713 )</w:t>
            </w: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-159385</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Net cash used in operating activities during the year ended December 31, 2021, of $59.5 million was primarily attributable to our net loss of $78.7 million, offset by non-cash expenses of $15.1 million, which was primarily driven by stock-based compensation.</w:t>
      </w:r>
    </w:p>
    <w:p>
      <w:pPr>
        <w:spacing w:after="0" w:line="63" w:lineRule="exact"/>
        <w:rPr>
          <w:sz w:val="20"/>
          <w:szCs w:val="20"/>
          <w:color w:val="auto"/>
        </w:rPr>
      </w:pPr>
    </w:p>
    <w:p>
      <w:pPr>
        <w:ind w:right="280" w:firstLine="749"/>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2020, of $45.3 million was primarily attributable to our net loss of $73.7 million, offset by non-cash expenses of $26.4 million, which included stock-based compensation of $5.3 million, depreciation of $1.0 million and non-cash stock consideration in acquisitions of $19.8 million, and a net increase in working capital of $2.0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auto"/>
        </w:rPr>
        <w:t>Net cash provided by investing activities during the year ended December 31, 2021, of $158.4 million was primarily attributable to sales and maturities of investments, offset by purchases.</w:t>
      </w:r>
    </w:p>
    <w:p>
      <w:pPr>
        <w:spacing w:after="0" w:line="63"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color w:val="auto"/>
        </w:rPr>
        <w:t>Net cash used in investing activities during the year ended December 31, 2020, of $216.0 million was primarily attributable to purchases of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80" w:firstLine="749"/>
        <w:spacing w:after="0" w:line="246" w:lineRule="auto"/>
        <w:rPr>
          <w:sz w:val="20"/>
          <w:szCs w:val="20"/>
          <w:color w:val="auto"/>
        </w:rPr>
      </w:pPr>
      <w:r>
        <w:rPr>
          <w:rFonts w:ascii="Arial" w:cs="Arial" w:eastAsia="Arial" w:hAnsi="Arial"/>
          <w:sz w:val="18"/>
          <w:szCs w:val="18"/>
          <w:color w:val="auto"/>
        </w:rPr>
        <w:t>Net cash provided by financing activities during the year ended December 31, 2021, of $49.1 million was primarily attributable to net proceeds received in connection with our ATM offering in July 2021.</w:t>
      </w:r>
    </w:p>
    <w:p>
      <w:pPr>
        <w:spacing w:after="0" w:line="62"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Net cash provided by financing activities during the year ended December 31, 2020, of $250.5 million was primarily attributable to net proceeds received from our IPO in April 2020 and net proceeds from our follow-on offering in November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Our contractual obligations and commitments as of December 31, 2021, consist of future payments under our operating leases. See Note 11 to our audited financial statements for detail regarding our operating leases.</w:t>
      </w:r>
    </w:p>
    <w:p>
      <w:pPr>
        <w:spacing w:after="0" w:line="63"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In addition,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Payments due upon cancellation consist only of payments for services provided and expenses incurred, including non-cancelable obligations of our service providers, up to the date of cancellation. 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72" w:lineRule="exact"/>
        <w:rPr>
          <w:sz w:val="20"/>
          <w:szCs w:val="20"/>
          <w:color w:val="auto"/>
        </w:rPr>
      </w:pPr>
    </w:p>
    <w:p>
      <w:pPr>
        <w:ind w:right="360" w:firstLine="749"/>
        <w:spacing w:after="0" w:line="246" w:lineRule="auto"/>
        <w:rPr>
          <w:sz w:val="20"/>
          <w:szCs w:val="20"/>
          <w:color w:val="auto"/>
        </w:rPr>
      </w:pPr>
      <w:r>
        <w:rPr>
          <w:rFonts w:ascii="Arial" w:cs="Arial" w:eastAsia="Arial" w:hAnsi="Arial"/>
          <w:sz w:val="18"/>
          <w:szCs w:val="18"/>
          <w:color w:val="auto"/>
        </w:rPr>
        <w:t>We do not currently have, nor did we have any off-balance sheet arrangements, as defined in the rules and regulations of the SEC, during the periods presented</w:t>
      </w:r>
      <w:r>
        <w:rPr>
          <w:rFonts w:ascii="Arial" w:cs="Arial" w:eastAsia="Arial" w:hAnsi="Arial"/>
          <w:sz w:val="18"/>
          <w:szCs w:val="18"/>
          <w:color w:val="231F20"/>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90" w:lineRule="exact"/>
        <w:rPr>
          <w:sz w:val="20"/>
          <w:szCs w:val="20"/>
          <w:color w:val="auto"/>
        </w:rPr>
      </w:pPr>
    </w:p>
    <w:p>
      <w:pPr>
        <w:ind w:right="80" w:firstLine="749"/>
        <w:spacing w:after="0" w:line="231"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2" w:name="page103"/>
    <w:bookmarkEnd w:id="102"/>
    <w:p>
      <w:pPr>
        <w:spacing w:after="0" w:line="253" w:lineRule="auto"/>
        <w:rPr>
          <w:sz w:val="20"/>
          <w:szCs w:val="20"/>
          <w:color w:val="auto"/>
        </w:rPr>
      </w:pPr>
      <w:r>
        <w:rPr>
          <w:rFonts w:ascii="Arial" w:cs="Arial" w:eastAsia="Arial" w:hAnsi="Arial"/>
          <w:sz w:val="17"/>
          <w:szCs w:val="17"/>
          <w:color w:val="auto"/>
        </w:rPr>
        <w:t>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w:t>
      </w:r>
    </w:p>
    <w:p>
      <w:pPr>
        <w:spacing w:after="0" w:line="178" w:lineRule="exact"/>
        <w:rPr>
          <w:sz w:val="20"/>
          <w:szCs w:val="20"/>
          <w:color w:val="auto"/>
        </w:rPr>
      </w:pPr>
    </w:p>
    <w:p>
      <w:pPr>
        <w:ind w:right="600" w:firstLine="749"/>
        <w:spacing w:after="0" w:line="324" w:lineRule="auto"/>
        <w:rPr>
          <w:sz w:val="20"/>
          <w:szCs w:val="20"/>
          <w:color w:val="auto"/>
        </w:rPr>
      </w:pPr>
      <w:r>
        <w:rPr>
          <w:rFonts w:ascii="Arial" w:cs="Arial" w:eastAsia="Arial" w:hAnsi="Arial"/>
          <w:sz w:val="16"/>
          <w:szCs w:val="16"/>
          <w:color w:val="auto"/>
        </w:rPr>
        <w:t>While our significant accounting policies are described in more detail in the notes to our audited financial statements, we believe that the following accounting policies are those most critical to the judgments and estimates used in the preparation of our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4"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Research and development costs are expensed in the periods in which they are incurred. External costs consist primarily of payments to outside consultants, third-party CROs, CMOs, clinical trial sites and central laboratories in connection with our discovery and preclinical activities, process development, manufacturing and clinical development activities. External costs also include laboratory supplies as well as allocated facilities, depreciation and other expenses.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clinical or preclinical. Internal costs consist primary of employee-related costs including salaries, related benefits and stock-based compensation expense for employees engaged in research and development functions. We do not allocate internal costs by program because these costs are deployed across multiple programs and, as such, are not separately classified.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Stock-based compensation expense represents the grant date fair value of employee, officer, director and non-employee stock option grants, estimated in accordance with the applicable accounting guidance and recognized over the vesting period, which approximates the requisite service period of the awards. We recognize forfeitures as they occur.</w:t>
      </w:r>
    </w:p>
    <w:p>
      <w:pPr>
        <w:spacing w:after="0" w:line="182" w:lineRule="exact"/>
        <w:rPr>
          <w:sz w:val="20"/>
          <w:szCs w:val="20"/>
          <w:color w:val="auto"/>
        </w:rPr>
      </w:pPr>
    </w:p>
    <w:p>
      <w:pPr>
        <w:ind w:right="180" w:firstLine="749"/>
        <w:spacing w:after="0" w:line="294" w:lineRule="auto"/>
        <w:rPr>
          <w:sz w:val="20"/>
          <w:szCs w:val="20"/>
          <w:color w:val="auto"/>
        </w:rPr>
      </w:pPr>
      <w:r>
        <w:rPr>
          <w:rFonts w:ascii="Arial" w:cs="Arial" w:eastAsia="Arial" w:hAnsi="Arial"/>
          <w:sz w:val="16"/>
          <w:szCs w:val="16"/>
          <w:color w:val="auto"/>
        </w:rPr>
        <w:t>The fair value of stock options is estimated using a Black-Scholes-Merton valuation model on the date of grant. The Black-Scholes-Merton option-pricing model requires inputs based on certain highly subjective assumptions. Changes to these assumptions can materially affect the fair value of stock options and ultimately the amount of stock-based compensation expense recognized in our financial statements. These assumptions include:</w:t>
      </w:r>
    </w:p>
    <w:p>
      <w:pPr>
        <w:spacing w:after="0" w:line="147"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—Prior to our IPO, as there had been no public market for our common stock, the fair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was determined by our board of directors primarily based on valuations of our common stock prepared by a third-party valuation firm using the option pricing method (OPM) and a hybrid method of OPM and the probability-weighted expected return method (PWERM) with discounts for lack of marketability and potential liquidation events in periods through August 2019, and PWERM beginning in November 2019. Subsequent to our IPO, the fair value of our common stock is determined based upon the closing market price on the date of grant.</w:t>
      </w:r>
    </w:p>
    <w:p>
      <w:pPr>
        <w:spacing w:after="0" w:line="174"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rate assumption is based on U.S. Treasury instruments with maturities similar to the expected term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spacing w:after="0" w:line="171" w:lineRule="exact"/>
        <w:rPr>
          <w:sz w:val="20"/>
          <w:szCs w:val="20"/>
          <w:color w:val="auto"/>
        </w:rPr>
      </w:pPr>
    </w:p>
    <w:p>
      <w:pPr>
        <w:jc w:val="both"/>
        <w:ind w:right="320" w:firstLine="749"/>
        <w:spacing w:after="0" w:line="24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is computed using historical volatility for a period equal to the expected term. Given the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the Company's stock has been traded, expected volatility is based on the Company's historical volatility and the historical volatility of a group of similar companies that are publicly traded.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03" w:name="page104"/>
    <w:bookmarkEnd w:id="103"/>
    <w:p>
      <w:pPr>
        <w:ind w:firstLine="749"/>
        <w:spacing w:after="0" w:line="248"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length of time the stock-based awards are expected to be outstanding. We have opted to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for estimating the expected term of options, whereby the expected term equals the arithmetic average of the vesting term and the original contractual term of the option, which is generally 10 years.</w:t>
      </w:r>
    </w:p>
    <w:p>
      <w:pPr>
        <w:spacing w:after="0" w:line="182" w:lineRule="exact"/>
        <w:rPr>
          <w:sz w:val="20"/>
          <w:szCs w:val="20"/>
          <w:color w:val="auto"/>
        </w:rPr>
      </w:pPr>
    </w:p>
    <w:p>
      <w:pPr>
        <w:ind w:right="640" w:firstLine="749"/>
        <w:spacing w:after="0" w:line="26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—To date, we have not issued any dividends and do not expect to issue dividends over the life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have estimated the dividend yield to be zero.</w:t>
      </w:r>
    </w:p>
    <w:p>
      <w:pPr>
        <w:spacing w:after="0" w:line="171"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The assumptions underlying these valuations represent our best estimates, which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540" w:firstLine="749"/>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176"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December 31, 2021, we had cash equivalents and available-for-sale investments of $280.4 million, consisting of interest-bearing money market funds, certificates of deposit and securities issued by the U.S. Treasury. Due to the nature of our cash equivalents and available-for-sale investments, an immediate 100 basis point change in interest rates would not have a material effect on their fair market value.</w:t>
      </w:r>
    </w:p>
    <w:p>
      <w:pPr>
        <w:spacing w:after="0" w:line="171"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34"/>
        </w:trPr>
        <w:tc>
          <w:tcPr>
            <w:tcW w:w="1058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80" w:type="dxa"/>
            <w:vAlign w:val="bottom"/>
            <w:gridSpan w:val="3"/>
          </w:tcPr>
          <w:p>
            <w:pPr>
              <w:ind w:left="320"/>
              <w:spacing w:after="0"/>
              <w:rPr>
                <w:sz w:val="20"/>
                <w:szCs w:val="20"/>
                <w:color w:val="auto"/>
              </w:rPr>
            </w:pPr>
            <w:r>
              <w:rPr>
                <w:rFonts w:ascii="Arial" w:cs="Arial" w:eastAsia="Arial" w:hAnsi="Arial"/>
                <w:sz w:val="18"/>
                <w:szCs w:val="18"/>
                <w:b w:val="1"/>
                <w:bCs w:val="1"/>
                <w:color w:val="auto"/>
              </w:rPr>
              <w:t>INDEX TO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80" w:type="dxa"/>
            <w:vAlign w:val="bottom"/>
            <w:gridSpan w:val="7"/>
            <w:vMerge w:val="restart"/>
          </w:tcPr>
          <w:p>
            <w:pPr>
              <w:ind w:left="20"/>
              <w:spacing w:after="0"/>
              <w:rPr>
                <w:rFonts w:ascii="Arial" w:cs="Arial" w:eastAsia="Arial" w:hAnsi="Arial"/>
                <w:sz w:val="18"/>
                <w:szCs w:val="18"/>
                <w:color w:val="0563C1"/>
              </w:rPr>
            </w:pPr>
            <w:hyperlink w:anchor="page106">
              <w:r>
                <w:rPr>
                  <w:rFonts w:ascii="Arial" w:cs="Arial" w:eastAsia="Arial" w:hAnsi="Arial"/>
                  <w:sz w:val="18"/>
                  <w:szCs w:val="18"/>
                  <w:color w:val="0563C1"/>
                </w:rPr>
                <w:t>Report of Independent Registered Public Accounting Firm</w:t>
              </w:r>
            </w:hyperlink>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169"/>
        </w:trPr>
        <w:tc>
          <w:tcPr>
            <w:tcW w:w="10580" w:type="dxa"/>
            <w:vAlign w:val="bottom"/>
            <w:gridSpan w:val="7"/>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4240" w:type="dxa"/>
            <w:vAlign w:val="bottom"/>
            <w:tcBorders>
              <w:top w:val="single" w:sz="8" w:color="0563C1"/>
            </w:tcBorders>
            <w:gridSpan w:val="5"/>
          </w:tcPr>
          <w:p>
            <w:pPr>
              <w:ind w:left="20"/>
              <w:spacing w:after="0" w:line="182" w:lineRule="exact"/>
              <w:rPr>
                <w:rFonts w:ascii="Arial" w:cs="Arial" w:eastAsia="Arial" w:hAnsi="Arial"/>
                <w:sz w:val="18"/>
                <w:szCs w:val="18"/>
                <w:color w:val="0563C1"/>
              </w:rPr>
            </w:pPr>
            <w:hyperlink w:anchor="page107">
              <w:r>
                <w:rPr>
                  <w:rFonts w:ascii="Arial" w:cs="Arial" w:eastAsia="Arial" w:hAnsi="Arial"/>
                  <w:sz w:val="18"/>
                  <w:szCs w:val="18"/>
                  <w:color w:val="0563C1"/>
                </w:rPr>
                <w:t>Balance Sheets</w:t>
              </w:r>
            </w:hyperlink>
          </w:p>
        </w:tc>
        <w:tc>
          <w:tcPr>
            <w:tcW w:w="13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120" w:type="dxa"/>
            <w:vAlign w:val="bottom"/>
            <w:tcBorders>
              <w:top w:val="single" w:sz="8" w:color="0563C1"/>
            </w:tcBorders>
          </w:tcPr>
          <w:p>
            <w:pPr>
              <w:ind w:left="20"/>
              <w:spacing w:after="0" w:line="182" w:lineRule="exact"/>
              <w:rPr>
                <w:rFonts w:ascii="Arial" w:cs="Arial" w:eastAsia="Arial" w:hAnsi="Arial"/>
                <w:sz w:val="18"/>
                <w:szCs w:val="18"/>
                <w:color w:val="0563C1"/>
                <w:w w:val="97"/>
              </w:rPr>
            </w:pPr>
            <w:hyperlink w:anchor="page108">
              <w:r>
                <w:rPr>
                  <w:rFonts w:ascii="Arial" w:cs="Arial" w:eastAsia="Arial" w:hAnsi="Arial"/>
                  <w:sz w:val="18"/>
                  <w:szCs w:val="18"/>
                  <w:color w:val="0563C1"/>
                  <w:w w:val="97"/>
                </w:rPr>
                <w:t>Statements of</w:t>
              </w:r>
            </w:hyperlink>
          </w:p>
        </w:tc>
        <w:tc>
          <w:tcPr>
            <w:tcW w:w="9460" w:type="dxa"/>
            <w:vAlign w:val="bottom"/>
            <w:gridSpan w:val="6"/>
          </w:tcPr>
          <w:p>
            <w:pPr>
              <w:spacing w:after="0" w:line="182" w:lineRule="exact"/>
              <w:rPr>
                <w:rFonts w:ascii="Arial" w:cs="Arial" w:eastAsia="Arial" w:hAnsi="Arial"/>
                <w:sz w:val="18"/>
                <w:szCs w:val="18"/>
                <w:color w:val="0563C1"/>
              </w:rPr>
            </w:pPr>
            <w:hyperlink w:anchor="page108">
              <w:r>
                <w:rPr>
                  <w:rFonts w:ascii="Arial" w:cs="Arial" w:eastAsia="Arial" w:hAnsi="Arial"/>
                  <w:sz w:val="18"/>
                  <w:szCs w:val="18"/>
                  <w:color w:val="0563C1"/>
                </w:rPr>
                <w:t>Operations and Comprehensive Loss</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900" w:type="dxa"/>
            <w:vAlign w:val="bottom"/>
            <w:tcBorders>
              <w:left w:val="single" w:sz="8" w:color="0000EE"/>
            </w:tcBorders>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183"/>
        </w:trPr>
        <w:tc>
          <w:tcPr>
            <w:tcW w:w="10580" w:type="dxa"/>
            <w:vAlign w:val="bottom"/>
            <w:gridSpan w:val="7"/>
          </w:tcPr>
          <w:p>
            <w:pPr>
              <w:ind w:left="20"/>
              <w:spacing w:after="0" w:line="182" w:lineRule="exact"/>
              <w:rPr>
                <w:rFonts w:ascii="Arial" w:cs="Arial" w:eastAsia="Arial" w:hAnsi="Arial"/>
                <w:sz w:val="18"/>
                <w:szCs w:val="18"/>
                <w:color w:val="0563C1"/>
              </w:rPr>
            </w:pPr>
            <w:hyperlink w:anchor="page109">
              <w:r>
                <w:rPr>
                  <w:rFonts w:ascii="Arial" w:cs="Arial" w:eastAsia="Arial" w:hAnsi="Arial"/>
                  <w:sz w:val="18"/>
                  <w:szCs w:val="18"/>
                  <w:color w:val="0563C1"/>
                </w:rPr>
                <w:t>Statements of Convertible Preferred Stock and Stockholders’ Equity (Deficit)</w:t>
              </w:r>
            </w:hyperlink>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tcBorders>
              <w:top w:val="single" w:sz="8" w:color="0563C1"/>
              <w:bottom w:val="single" w:sz="8" w:color="0563C1"/>
            </w:tcBorders>
            <w:gridSpan w:val="2"/>
          </w:tcPr>
          <w:p>
            <w:pPr>
              <w:ind w:left="20"/>
              <w:spacing w:after="0" w:line="182" w:lineRule="exact"/>
              <w:rPr>
                <w:rFonts w:ascii="Arial" w:cs="Arial" w:eastAsia="Arial" w:hAnsi="Arial"/>
                <w:sz w:val="18"/>
                <w:szCs w:val="18"/>
                <w:color w:val="0563C1"/>
                <w:w w:val="88"/>
              </w:rPr>
            </w:pPr>
            <w:hyperlink w:anchor="page110">
              <w:r>
                <w:rPr>
                  <w:rFonts w:ascii="Arial" w:cs="Arial" w:eastAsia="Arial" w:hAnsi="Arial"/>
                  <w:sz w:val="18"/>
                  <w:szCs w:val="18"/>
                  <w:color w:val="0563C1"/>
                  <w:w w:val="88"/>
                </w:rPr>
                <w:t>Statements of Cash Flows</w:t>
              </w:r>
            </w:hyperlink>
          </w:p>
        </w:tc>
        <w:tc>
          <w:tcPr>
            <w:tcW w:w="3700" w:type="dxa"/>
            <w:vAlign w:val="bottom"/>
            <w:tcBorders>
              <w:top w:val="single" w:sz="8" w:color="0563C1"/>
            </w:tcBorders>
            <w:gridSpan w:val="4"/>
          </w:tcPr>
          <w:p>
            <w:pPr>
              <w:spacing w:after="0"/>
              <w:rPr>
                <w:sz w:val="15"/>
                <w:szCs w:val="15"/>
                <w:color w:val="auto"/>
              </w:rPr>
            </w:pPr>
          </w:p>
        </w:tc>
        <w:tc>
          <w:tcPr>
            <w:tcW w:w="49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2180" w:type="dxa"/>
            <w:vAlign w:val="bottom"/>
            <w:tcBorders>
              <w:bottom w:val="single" w:sz="8" w:color="0563C1"/>
            </w:tcBorders>
            <w:gridSpan w:val="3"/>
          </w:tcPr>
          <w:p>
            <w:pPr>
              <w:ind w:left="20"/>
              <w:spacing w:after="0" w:line="182" w:lineRule="exact"/>
              <w:rPr>
                <w:rFonts w:ascii="Arial" w:cs="Arial" w:eastAsia="Arial" w:hAnsi="Arial"/>
                <w:sz w:val="18"/>
                <w:szCs w:val="18"/>
                <w:color w:val="0563C1"/>
                <w:w w:val="89"/>
              </w:rPr>
            </w:pPr>
            <w:hyperlink w:anchor="page111">
              <w:r>
                <w:rPr>
                  <w:rFonts w:ascii="Arial" w:cs="Arial" w:eastAsia="Arial" w:hAnsi="Arial"/>
                  <w:sz w:val="18"/>
                  <w:szCs w:val="18"/>
                  <w:color w:val="0563C1"/>
                  <w:w w:val="89"/>
                </w:rPr>
                <w:t>Notes to Financial Statements</w:t>
              </w:r>
            </w:hyperlink>
          </w:p>
        </w:tc>
        <w:tc>
          <w:tcPr>
            <w:tcW w:w="8400" w:type="dxa"/>
            <w:vAlign w:val="bottom"/>
            <w:gridSpan w:val="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ORIC Pharmaceuticals,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spacing w:after="0" w:line="230" w:lineRule="exact"/>
        <w:rPr>
          <w:sz w:val="20"/>
          <w:szCs w:val="20"/>
          <w:color w:val="auto"/>
        </w:rPr>
      </w:pPr>
      <w:r>
        <w:rPr>
          <w:rFonts w:ascii="Arial" w:cs="Arial" w:eastAsia="Arial" w:hAnsi="Arial"/>
          <w:sz w:val="16"/>
          <w:szCs w:val="16"/>
          <w:color w:val="auto"/>
        </w:rPr>
        <w:t>We have audited the accompanying balance sheets of ORIC Pharmaceuticals, Inc. (the Company) as of December 31, 2021 and 2020, the related statements of operations and comprehensive loss, convertible preferred stock and stockholders’ equity (deficit),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and the related notes (collectively, the financial statements). In our opinion, the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in conformity with U.S. generally accepted accounting principles.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5360"/>
              <w:spacing w:after="0" w:line="183" w:lineRule="exact"/>
              <w:rPr>
                <w:sz w:val="20"/>
                <w:szCs w:val="20"/>
                <w:color w:val="auto"/>
              </w:rPr>
            </w:pPr>
            <w:r>
              <w:rPr>
                <w:rFonts w:ascii="Arial" w:cs="Arial" w:eastAsia="Arial" w:hAnsi="Arial"/>
                <w:sz w:val="16"/>
                <w:szCs w:val="16"/>
                <w:b w:val="1"/>
                <w:bCs w:val="1"/>
                <w:color w:val="auto"/>
              </w:rPr>
              <w:t>Assets</w:t>
            </w:r>
          </w:p>
        </w:tc>
        <w:tc>
          <w:tcPr>
            <w:tcW w:w="1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80" w:type="dxa"/>
            <w:vAlign w:val="bottom"/>
            <w:shd w:val="clear" w:color="auto" w:fill="CFF0FC"/>
          </w:tcPr>
          <w:p>
            <w:pPr>
              <w:jc w:val="right"/>
              <w:ind w:right="1072"/>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226,006</w:t>
            </w:r>
          </w:p>
        </w:tc>
        <w:tc>
          <w:tcPr>
            <w:tcW w:w="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Arial" w:cs="Arial" w:eastAsia="Arial" w:hAnsi="Arial"/>
                <w:sz w:val="16"/>
                <w:szCs w:val="16"/>
                <w:color w:val="auto"/>
              </w:rPr>
              <w:t>Short-term investments, available-for-sale</w:t>
            </w:r>
          </w:p>
        </w:tc>
        <w:tc>
          <w:tcPr>
            <w:tcW w:w="1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10,973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215,154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3,543</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240,522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296,697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Arial" w:cs="Arial" w:eastAsia="Arial" w:hAnsi="Arial"/>
                <w:sz w:val="16"/>
                <w:szCs w:val="16"/>
                <w:color w:val="auto"/>
              </w:rPr>
              <w:t>Investments, available-for-sale</w:t>
            </w:r>
          </w:p>
        </w:tc>
        <w:tc>
          <w:tcPr>
            <w:tcW w:w="1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43,386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1280" w:type="dxa"/>
            <w:vAlign w:val="bottom"/>
            <w:tcBorders>
              <w:bottom w:val="single" w:sz="8" w:color="auto"/>
            </w:tcBorders>
            <w:shd w:val="clear" w:color="auto" w:fill="CFF0FC"/>
          </w:tcPr>
          <w:p>
            <w:pPr>
              <w:jc w:val="right"/>
              <w:ind w:right="1072"/>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298,642</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298,997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4340"/>
              <w:spacing w:after="0"/>
              <w:rPr>
                <w:sz w:val="20"/>
                <w:szCs w:val="20"/>
                <w:color w:val="auto"/>
              </w:rPr>
            </w:pPr>
            <w:r>
              <w:rPr>
                <w:rFonts w:ascii="Arial" w:cs="Arial" w:eastAsia="Arial" w:hAnsi="Arial"/>
                <w:sz w:val="16"/>
                <w:szCs w:val="16"/>
                <w:b w:val="1"/>
                <w:bCs w:val="1"/>
                <w:color w:val="auto"/>
                <w:w w:val="97"/>
              </w:rPr>
              <w:t>Liabilities and Stockholders' Equity</w:t>
            </w:r>
          </w:p>
        </w:tc>
        <w:tc>
          <w:tcPr>
            <w:tcW w:w="1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280" w:type="dxa"/>
            <w:vAlign w:val="bottom"/>
          </w:tcPr>
          <w:p>
            <w:pPr>
              <w:jc w:val="right"/>
              <w:ind w:right="1072"/>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1,886</w:t>
            </w:r>
          </w:p>
        </w:tc>
        <w:tc>
          <w:tcPr>
            <w:tcW w:w="80" w:type="dxa"/>
            <w:vAlign w:val="bottom"/>
          </w:tcPr>
          <w:p>
            <w:pPr>
              <w:spacing w:after="0"/>
              <w:rPr>
                <w:sz w:val="17"/>
                <w:szCs w:val="17"/>
                <w:color w:val="auto"/>
              </w:rPr>
            </w:pPr>
          </w:p>
        </w:tc>
        <w:tc>
          <w:tcPr>
            <w:tcW w:w="68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13,265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8,245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9,002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1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25,666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11)</w:t>
            </w:r>
          </w:p>
        </w:tc>
        <w:tc>
          <w:tcPr>
            <w:tcW w:w="1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3"/>
              </w:rPr>
              <w:t>Preferred stock, $0.0001 par value; 200,000,000 shares authorized; no shares issued and outstanding</w:t>
            </w:r>
          </w:p>
        </w:tc>
        <w:tc>
          <w:tcPr>
            <w:tcW w:w="128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6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at December 31, 2021 and 2020</w:t>
            </w:r>
          </w:p>
        </w:tc>
        <w:tc>
          <w:tcPr>
            <w:tcW w:w="128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980" w:type="dxa"/>
            <w:vAlign w:val="bottom"/>
          </w:tcPr>
          <w:p>
            <w:pPr>
              <w:ind w:left="200"/>
              <w:spacing w:after="0" w:line="152" w:lineRule="exact"/>
              <w:rPr>
                <w:sz w:val="20"/>
                <w:szCs w:val="20"/>
                <w:color w:val="auto"/>
              </w:rPr>
            </w:pPr>
            <w:r>
              <w:rPr>
                <w:rFonts w:ascii="Arial" w:cs="Arial" w:eastAsia="Arial" w:hAnsi="Arial"/>
                <w:sz w:val="16"/>
                <w:szCs w:val="16"/>
                <w:color w:val="auto"/>
              </w:rPr>
              <w:t>Common stock, $0.0001 par value; 1,000,000,000 shares authorized; 39,430,120 and</w:t>
            </w:r>
          </w:p>
        </w:tc>
        <w:tc>
          <w:tcPr>
            <w:tcW w:w="1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980" w:type="dxa"/>
            <w:vAlign w:val="bottom"/>
          </w:tcPr>
          <w:p>
            <w:pPr>
              <w:ind w:left="200"/>
              <w:spacing w:after="0"/>
              <w:rPr>
                <w:sz w:val="20"/>
                <w:szCs w:val="20"/>
                <w:color w:val="auto"/>
              </w:rPr>
            </w:pPr>
            <w:r>
              <w:rPr>
                <w:rFonts w:ascii="Arial" w:cs="Arial" w:eastAsia="Arial" w:hAnsi="Arial"/>
                <w:sz w:val="16"/>
                <w:szCs w:val="16"/>
                <w:color w:val="auto"/>
              </w:rPr>
              <w:t>36,672,415 shares issued and outstanding at December 31, 2021 and 2020, respectively</w:t>
            </w:r>
          </w:p>
        </w:tc>
        <w:tc>
          <w:tcPr>
            <w:tcW w:w="1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518,183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456,196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2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(245,108 )</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(166,393 )</w:t>
            </w:r>
          </w:p>
        </w:tc>
        <w:tc>
          <w:tcPr>
            <w:tcW w:w="0" w:type="dxa"/>
            <w:vAlign w:val="bottom"/>
          </w:tcPr>
          <w:p>
            <w:pPr>
              <w:spacing w:after="0"/>
              <w:rPr>
                <w:sz w:val="1"/>
                <w:szCs w:val="1"/>
                <w:color w:val="auto"/>
              </w:rPr>
            </w:pPr>
          </w:p>
        </w:tc>
      </w:tr>
      <w:tr>
        <w:trPr>
          <w:trHeight w:val="203"/>
        </w:trPr>
        <w:tc>
          <w:tcPr>
            <w:tcW w:w="6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12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(103 )</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96"/>
        </w:trPr>
        <w:tc>
          <w:tcPr>
            <w:tcW w:w="69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1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272,976</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289,776</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1280" w:type="dxa"/>
            <w:vAlign w:val="bottom"/>
            <w:tcBorders>
              <w:bottom w:val="single" w:sz="8" w:color="auto"/>
            </w:tcBorders>
            <w:shd w:val="clear" w:color="auto" w:fill="CFF0FC"/>
          </w:tcPr>
          <w:p>
            <w:pPr>
              <w:jc w:val="right"/>
              <w:ind w:right="1072"/>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298,642</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298,997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-3562350</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-3562350</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-2785110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-2767965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-2785110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-2767965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-2019300</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-2019300</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-296545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6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56,858</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35,921</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22,844</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13,422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5,725</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7"/>
                <w:szCs w:val="17"/>
                <w:color w:val="auto"/>
              </w:rPr>
            </w:pP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24,843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67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78,871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74,186</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(78,871 )</w:t>
            </w:r>
          </w:p>
        </w:tc>
        <w:tc>
          <w:tcPr>
            <w:tcW w:w="30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(74,186 )</w:t>
            </w: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(28,569 )</w:t>
            </w:r>
          </w:p>
        </w:tc>
      </w:tr>
      <w:tr>
        <w:trPr>
          <w:trHeight w:val="203"/>
        </w:trPr>
        <w:tc>
          <w:tcPr>
            <w:tcW w:w="6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1,397</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w:t>
            </w:r>
          </w:p>
        </w:tc>
        <w:tc>
          <w:tcPr>
            <w:tcW w:w="100" w:type="dxa"/>
            <w:vAlign w:val="bottom"/>
          </w:tcPr>
          <w:p>
            <w:pPr>
              <w:spacing w:after="0"/>
              <w:rPr>
                <w:sz w:val="17"/>
                <w:szCs w:val="17"/>
                <w:color w:val="auto"/>
              </w:rPr>
            </w:pPr>
          </w:p>
        </w:tc>
      </w:tr>
      <w:tr>
        <w:trPr>
          <w:trHeight w:val="196"/>
        </w:trPr>
        <w:tc>
          <w:tcPr>
            <w:tcW w:w="67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(78,715 )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(73,703 )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(26,883 )</w:t>
            </w:r>
          </w:p>
        </w:tc>
      </w:tr>
      <w:tr>
        <w:trPr>
          <w:trHeight w:val="20"/>
        </w:trPr>
        <w:tc>
          <w:tcPr>
            <w:tcW w:w="6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32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(72 )</w:t>
            </w:r>
          </w:p>
        </w:tc>
        <w:tc>
          <w:tcPr>
            <w:tcW w:w="30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(31 )</w:t>
            </w:r>
          </w:p>
        </w:tc>
        <w:tc>
          <w:tcPr>
            <w:tcW w:w="24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36"/>
        </w:trPr>
        <w:tc>
          <w:tcPr>
            <w:tcW w:w="6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(78,787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(73,734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674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(2.07 )</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(3.36 )</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(14.15 )</w:t>
            </w:r>
          </w:p>
        </w:tc>
      </w:tr>
      <w:tr>
        <w:trPr>
          <w:trHeight w:val="20"/>
        </w:trPr>
        <w:tc>
          <w:tcPr>
            <w:tcW w:w="6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shares outstanding, 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37,954,280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21,942,476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1,899,348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-1676400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-1676400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-1676400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-887730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-887730</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-887730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-334010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-316230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-334010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-316230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Convertible</w:t>
            </w: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15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780" w:type="dxa"/>
            <w:vAlign w:val="bottom"/>
            <w:gridSpan w:val="4"/>
            <w:vMerge w:val="restart"/>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277"/>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0"/>
                <w:szCs w:val="10"/>
                <w:color w:val="auto"/>
              </w:rPr>
            </w:pPr>
          </w:p>
        </w:tc>
        <w:tc>
          <w:tcPr>
            <w:tcW w:w="880" w:type="dxa"/>
            <w:vAlign w:val="bottom"/>
            <w:gridSpan w:val="2"/>
          </w:tcPr>
          <w:p>
            <w:pPr>
              <w:jc w:val="center"/>
              <w:ind w:right="318"/>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960" w:type="dxa"/>
            <w:vAlign w:val="bottom"/>
            <w:tcBorders>
              <w:right w:val="single" w:sz="8" w:color="auto"/>
            </w:tcBorders>
            <w:gridSpan w:val="5"/>
          </w:tcPr>
          <w:p>
            <w:pPr>
              <w:jc w:val="right"/>
              <w:ind w:right="660"/>
              <w:spacing w:after="0"/>
              <w:rPr>
                <w:sz w:val="20"/>
                <w:szCs w:val="20"/>
                <w:color w:val="auto"/>
              </w:rPr>
            </w:pPr>
            <w:r>
              <w:rPr>
                <w:rFonts w:ascii="Arial" w:cs="Arial" w:eastAsia="Arial" w:hAnsi="Arial"/>
                <w:sz w:val="13"/>
                <w:szCs w:val="13"/>
                <w:b w:val="1"/>
                <w:bCs w:val="1"/>
                <w:color w:val="auto"/>
              </w:rPr>
              <w:t>Preferred Stock</w:t>
            </w:r>
          </w:p>
        </w:tc>
        <w:tc>
          <w:tcPr>
            <w:tcW w:w="17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Borders>
              <w:right w:val="single" w:sz="8" w:color="auto"/>
            </w:tcBorders>
          </w:tcPr>
          <w:p>
            <w:pPr>
              <w:spacing w:after="0"/>
              <w:rPr>
                <w:sz w:val="12"/>
                <w:szCs w:val="12"/>
                <w:color w:val="auto"/>
              </w:rPr>
            </w:pPr>
          </w:p>
        </w:tc>
        <w:tc>
          <w:tcPr>
            <w:tcW w:w="7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080" w:type="dxa"/>
            <w:vAlign w:val="bottom"/>
            <w:gridSpan w:val="2"/>
          </w:tcPr>
          <w:p>
            <w:pPr>
              <w:jc w:val="right"/>
              <w:ind w:right="437"/>
              <w:spacing w:after="0" w:line="142"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2"/>
                <w:szCs w:val="12"/>
                <w:color w:val="auto"/>
              </w:rPr>
            </w:pPr>
          </w:p>
        </w:tc>
        <w:tc>
          <w:tcPr>
            <w:tcW w:w="880" w:type="dxa"/>
            <w:vAlign w:val="bottom"/>
            <w:gridSpan w:val="2"/>
          </w:tcPr>
          <w:p>
            <w:pPr>
              <w:jc w:val="center"/>
              <w:ind w:right="298"/>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42" w:lineRule="exact"/>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2018</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13,789,770</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107,266</w:t>
            </w:r>
          </w:p>
        </w:tc>
        <w:tc>
          <w:tcPr>
            <w:tcW w:w="200" w:type="dxa"/>
            <w:vAlign w:val="bottom"/>
            <w:tcBorders>
              <w:right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1,802,134</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1,381</w:t>
            </w:r>
          </w:p>
        </w:tc>
        <w:tc>
          <w:tcPr>
            <w:tcW w:w="1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(65,807</w:t>
            </w:r>
          </w:p>
        </w:tc>
        <w:tc>
          <w:tcPr>
            <w:tcW w:w="18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(64,426</w:t>
            </w:r>
          </w:p>
        </w:tc>
        <w:tc>
          <w:tcPr>
            <w:tcW w:w="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line="108" w:lineRule="exact"/>
              <w:rPr>
                <w:sz w:val="20"/>
                <w:szCs w:val="20"/>
                <w:color w:val="auto"/>
              </w:rPr>
            </w:pPr>
            <w:r>
              <w:rPr>
                <w:rFonts w:ascii="Arial" w:cs="Arial" w:eastAsia="Arial" w:hAnsi="Arial"/>
                <w:sz w:val="12"/>
                <w:szCs w:val="12"/>
                <w:color w:val="auto"/>
              </w:rPr>
              <w:t>Issuance of Series C and D preferred stock</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5,488,836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70,792</w:t>
            </w:r>
          </w:p>
        </w:tc>
        <w:tc>
          <w:tcPr>
            <w:tcW w:w="200" w:type="dxa"/>
            <w:vAlign w:val="bottom"/>
            <w:tcBorders>
              <w:right w:val="single" w:sz="8" w:color="auto"/>
            </w:tcBorders>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108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8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840" w:type="dxa"/>
            <w:vAlign w:val="bottom"/>
          </w:tcPr>
          <w:p>
            <w:pPr>
              <w:ind w:left="220"/>
              <w:spacing w:after="0"/>
              <w:rPr>
                <w:sz w:val="20"/>
                <w:szCs w:val="20"/>
                <w:color w:val="auto"/>
              </w:rPr>
            </w:pPr>
            <w:r>
              <w:rPr>
                <w:rFonts w:ascii="Arial" w:cs="Arial" w:eastAsia="Arial" w:hAnsi="Arial"/>
                <w:sz w:val="13"/>
                <w:szCs w:val="13"/>
                <w:color w:val="auto"/>
              </w:rPr>
              <w:t>net of issuance costs of $135</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Exercise of common stock options</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182,088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1,094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(26,883 )</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(26,883 )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19,278,606</w:t>
            </w: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178,058</w:t>
            </w:r>
          </w:p>
        </w:tc>
        <w:tc>
          <w:tcPr>
            <w:tcW w:w="200" w:type="dxa"/>
            <w:vAlign w:val="bottom"/>
            <w:tcBorders>
              <w:right w:val="single" w:sz="8" w:color="auto"/>
            </w:tcBorders>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1,984,222</w:t>
            </w:r>
          </w:p>
        </w:tc>
        <w:tc>
          <w:tcPr>
            <w:tcW w:w="2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2,606</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(92,690 )</w:t>
            </w:r>
          </w:p>
        </w:tc>
        <w:tc>
          <w:tcPr>
            <w:tcW w:w="16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38"/>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(90,084 )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ind w:left="160"/>
              <w:spacing w:after="0" w:line="142" w:lineRule="exact"/>
              <w:rPr>
                <w:sz w:val="20"/>
                <w:szCs w:val="20"/>
                <w:color w:val="auto"/>
              </w:rPr>
            </w:pPr>
            <w:r>
              <w:rPr>
                <w:rFonts w:ascii="Arial" w:cs="Arial" w:eastAsia="Arial" w:hAnsi="Arial"/>
                <w:sz w:val="13"/>
                <w:szCs w:val="13"/>
                <w:color w:val="auto"/>
              </w:rPr>
              <w:t>Initial public offering of common stock</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8,625,000</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137,999</w:t>
            </w:r>
          </w:p>
        </w:tc>
        <w:tc>
          <w:tcPr>
            <w:tcW w:w="1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138,000</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line="108" w:lineRule="exact"/>
              <w:rPr>
                <w:sz w:val="20"/>
                <w:szCs w:val="20"/>
                <w:color w:val="auto"/>
              </w:rPr>
            </w:pPr>
            <w:r>
              <w:rPr>
                <w:rFonts w:ascii="Arial" w:cs="Arial" w:eastAsia="Arial" w:hAnsi="Arial"/>
                <w:sz w:val="12"/>
                <w:szCs w:val="12"/>
                <w:color w:val="auto"/>
              </w:rPr>
              <w:t>Issuance costs associated with initial public</w:t>
            </w: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160"/>
              <w:spacing w:after="0" w:line="122" w:lineRule="exact"/>
              <w:rPr>
                <w:sz w:val="20"/>
                <w:szCs w:val="20"/>
                <w:color w:val="auto"/>
              </w:rPr>
            </w:pPr>
            <w:r>
              <w:rPr>
                <w:rFonts w:ascii="Arial" w:cs="Arial" w:eastAsia="Arial" w:hAnsi="Arial"/>
                <w:sz w:val="13"/>
                <w:szCs w:val="13"/>
                <w:color w:val="auto"/>
              </w:rPr>
              <w:t>offering</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(12,790 )</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(12,790 )</w:t>
            </w:r>
          </w:p>
        </w:tc>
        <w:tc>
          <w:tcPr>
            <w:tcW w:w="0" w:type="dxa"/>
            <w:vAlign w:val="bottom"/>
          </w:tcPr>
          <w:p>
            <w:pPr>
              <w:spacing w:after="0"/>
              <w:rPr>
                <w:sz w:val="1"/>
                <w:szCs w:val="1"/>
                <w:color w:val="auto"/>
              </w:rPr>
            </w:pPr>
          </w:p>
        </w:tc>
      </w:tr>
      <w:tr>
        <w:trPr>
          <w:trHeight w:val="161"/>
        </w:trPr>
        <w:tc>
          <w:tcPr>
            <w:tcW w:w="2840" w:type="dxa"/>
            <w:vAlign w:val="bottom"/>
          </w:tcPr>
          <w:p>
            <w:pPr>
              <w:ind w:left="220"/>
              <w:spacing w:after="0"/>
              <w:rPr>
                <w:sz w:val="20"/>
                <w:szCs w:val="20"/>
                <w:color w:val="auto"/>
              </w:rPr>
            </w:pPr>
            <w:r>
              <w:rPr>
                <w:rFonts w:ascii="Arial" w:cs="Arial" w:eastAsia="Arial" w:hAnsi="Arial"/>
                <w:sz w:val="13"/>
                <w:szCs w:val="13"/>
                <w:color w:val="auto"/>
              </w:rPr>
              <w:t>of common stock</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Conversion to common stock</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(19,278,606 )</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(178,058 )</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19,278,606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178,058</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rPr>
              <w:t>Public offering of common stock</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5,796,000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133,307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133,308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line="108" w:lineRule="exact"/>
              <w:rPr>
                <w:sz w:val="20"/>
                <w:szCs w:val="20"/>
                <w:color w:val="auto"/>
              </w:rPr>
            </w:pPr>
            <w:r>
              <w:rPr>
                <w:rFonts w:ascii="Arial" w:cs="Arial" w:eastAsia="Arial" w:hAnsi="Arial"/>
                <w:sz w:val="12"/>
                <w:szCs w:val="12"/>
                <w:color w:val="auto"/>
              </w:rPr>
              <w:t>Issuance costs associated with public offering of</w:t>
            </w: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8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(8,546 )</w:t>
            </w:r>
          </w:p>
        </w:tc>
        <w:tc>
          <w:tcPr>
            <w:tcW w:w="120" w:type="dxa"/>
            <w:vAlign w:val="bottom"/>
            <w:shd w:val="clear" w:color="auto" w:fill="CFF0FC"/>
          </w:tcPr>
          <w:p>
            <w:pPr>
              <w:spacing w:after="0"/>
              <w:rPr>
                <w:sz w:val="9"/>
                <w:szCs w:val="9"/>
                <w:color w:val="auto"/>
              </w:rPr>
            </w:pPr>
          </w:p>
        </w:tc>
        <w:tc>
          <w:tcPr>
            <w:tcW w:w="108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(8,546 )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common stock</w:t>
            </w: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840" w:type="dxa"/>
            <w:vAlign w:val="bottom"/>
          </w:tcPr>
          <w:p>
            <w:pPr>
              <w:ind w:left="160"/>
              <w:spacing w:after="0" w:line="108" w:lineRule="exact"/>
              <w:rPr>
                <w:sz w:val="20"/>
                <w:szCs w:val="20"/>
                <w:color w:val="auto"/>
              </w:rPr>
            </w:pPr>
            <w:r>
              <w:rPr>
                <w:rFonts w:ascii="Arial" w:cs="Arial" w:eastAsia="Arial" w:hAnsi="Arial"/>
                <w:sz w:val="12"/>
                <w:szCs w:val="12"/>
                <w:color w:val="auto"/>
              </w:rPr>
              <w:t>Issuance of common stock related to acquired-in-</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8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871,494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19,843</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8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19,843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840" w:type="dxa"/>
            <w:vAlign w:val="bottom"/>
          </w:tcPr>
          <w:p>
            <w:pPr>
              <w:ind w:left="220"/>
              <w:spacing w:after="0"/>
              <w:rPr>
                <w:sz w:val="20"/>
                <w:szCs w:val="20"/>
                <w:color w:val="auto"/>
              </w:rPr>
            </w:pPr>
            <w:r>
              <w:rPr>
                <w:rFonts w:ascii="Arial" w:cs="Arial" w:eastAsia="Arial" w:hAnsi="Arial"/>
                <w:sz w:val="13"/>
                <w:szCs w:val="13"/>
                <w:color w:val="auto"/>
              </w:rPr>
              <w:t>process research and development</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Exercise of common stock options</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117,093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5,278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4"/>
              </w:rPr>
              <w:t>Unrealized loss on available-for-sale investments</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(31 )</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57"/>
              <w:spacing w:after="0"/>
              <w:rPr>
                <w:sz w:val="20"/>
                <w:szCs w:val="20"/>
                <w:color w:val="auto"/>
              </w:rPr>
            </w:pPr>
            <w:r>
              <w:rPr>
                <w:rFonts w:ascii="Arial" w:cs="Arial" w:eastAsia="Arial" w:hAnsi="Arial"/>
                <w:sz w:val="13"/>
                <w:szCs w:val="13"/>
                <w:color w:val="auto"/>
              </w:rPr>
              <w:t>(73,703 )</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(73,703 )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right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36,672,415</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456,196</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(166,393</w:t>
            </w:r>
          </w:p>
        </w:tc>
        <w:tc>
          <w:tcPr>
            <w:tcW w:w="180" w:type="dxa"/>
            <w:vAlign w:val="bottom"/>
            <w:tcBorders>
              <w:bottom w:val="single" w:sz="8" w:color="CFF0FC"/>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289,776</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160"/>
              <w:spacing w:after="0" w:line="142" w:lineRule="exact"/>
              <w:rPr>
                <w:sz w:val="20"/>
                <w:szCs w:val="20"/>
                <w:color w:val="auto"/>
              </w:rPr>
            </w:pPr>
            <w:r>
              <w:rPr>
                <w:rFonts w:ascii="Arial" w:cs="Arial" w:eastAsia="Arial" w:hAnsi="Arial"/>
                <w:sz w:val="13"/>
                <w:szCs w:val="13"/>
                <w:color w:val="auto"/>
              </w:rPr>
              <w:t>Issuance of common stock</w:t>
            </w:r>
          </w:p>
        </w:tc>
        <w:tc>
          <w:tcPr>
            <w:tcW w:w="106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2,597,402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50,000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50,000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40" w:type="dxa"/>
            <w:vAlign w:val="bottom"/>
            <w:shd w:val="clear" w:color="auto" w:fill="CFF0FC"/>
          </w:tcPr>
          <w:p>
            <w:pPr>
              <w:ind w:left="160"/>
              <w:spacing w:after="0" w:line="108" w:lineRule="exact"/>
              <w:rPr>
                <w:sz w:val="20"/>
                <w:szCs w:val="20"/>
                <w:color w:val="auto"/>
              </w:rPr>
            </w:pPr>
            <w:r>
              <w:rPr>
                <w:rFonts w:ascii="Arial" w:cs="Arial" w:eastAsia="Arial" w:hAnsi="Arial"/>
                <w:sz w:val="12"/>
                <w:szCs w:val="12"/>
                <w:color w:val="auto"/>
              </w:rPr>
              <w:t>Issuance costs associated with offering of</w:t>
            </w: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780" w:type="dxa"/>
            <w:vAlign w:val="bottom"/>
            <w:tcBorders>
              <w:right w:val="single" w:sz="8" w:color="auto"/>
            </w:tcBorders>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(1,852 )</w:t>
            </w:r>
          </w:p>
        </w:tc>
        <w:tc>
          <w:tcPr>
            <w:tcW w:w="120" w:type="dxa"/>
            <w:vAlign w:val="bottom"/>
            <w:shd w:val="clear" w:color="auto" w:fill="CFF0FC"/>
          </w:tcPr>
          <w:p>
            <w:pPr>
              <w:spacing w:after="0"/>
              <w:rPr>
                <w:sz w:val="9"/>
                <w:szCs w:val="9"/>
                <w:color w:val="auto"/>
              </w:rPr>
            </w:pPr>
          </w:p>
        </w:tc>
        <w:tc>
          <w:tcPr>
            <w:tcW w:w="108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(1,852 )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common stock</w:t>
            </w: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rPr>
              <w:t>Exercise of common stock options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160,303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160"/>
              <w:spacing w:after="0"/>
              <w:rPr>
                <w:sz w:val="20"/>
                <w:szCs w:val="20"/>
                <w:color w:val="auto"/>
              </w:rPr>
            </w:pPr>
            <w:r>
              <w:rPr>
                <w:rFonts w:ascii="Arial" w:cs="Arial" w:eastAsia="Arial" w:hAnsi="Arial"/>
                <w:sz w:val="13"/>
                <w:szCs w:val="13"/>
                <w:color w:val="auto"/>
                <w:w w:val="94"/>
              </w:rPr>
              <w:t>Unrealized loss on available-for-sale investments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78"/>
              <w:spacing w:after="0"/>
              <w:rPr>
                <w:sz w:val="20"/>
                <w:szCs w:val="20"/>
                <w:color w:val="auto"/>
              </w:rPr>
            </w:pPr>
            <w:r>
              <w:rPr>
                <w:rFonts w:ascii="Arial" w:cs="Arial" w:eastAsia="Arial" w:hAnsi="Arial"/>
                <w:sz w:val="13"/>
                <w:szCs w:val="13"/>
                <w:color w:val="auto"/>
              </w:rPr>
              <w:t>(72 )</w:t>
            </w:r>
          </w:p>
        </w:tc>
        <w:tc>
          <w:tcPr>
            <w:tcW w:w="1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(78,715 )</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(78,715 )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2021</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39,430,120</w:t>
            </w:r>
          </w:p>
        </w:tc>
        <w:tc>
          <w:tcPr>
            <w:tcW w:w="2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518,183</w:t>
            </w: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(245,108 )</w:t>
            </w:r>
          </w:p>
        </w:tc>
        <w:tc>
          <w:tcPr>
            <w:tcW w:w="16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78"/>
              <w:spacing w:after="0" w:line="142" w:lineRule="exact"/>
              <w:rPr>
                <w:sz w:val="20"/>
                <w:szCs w:val="20"/>
                <w:color w:val="auto"/>
              </w:rPr>
            </w:pPr>
            <w:r>
              <w:rPr>
                <w:rFonts w:ascii="Arial" w:cs="Arial" w:eastAsia="Arial" w:hAnsi="Arial"/>
                <w:sz w:val="13"/>
                <w:szCs w:val="13"/>
                <w:color w:val="auto"/>
              </w:rPr>
              <w:t>(103 )</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272,976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-2242185</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-2242185</wp:posOffset>
            </wp:positionV>
            <wp:extent cx="431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-2242185</wp:posOffset>
            </wp:positionV>
            <wp:extent cx="342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-2242185</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-2242185</wp:posOffset>
            </wp:positionV>
            <wp:extent cx="342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-2242185</wp:posOffset>
            </wp:positionV>
            <wp:extent cx="342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-2242185</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-2242185</wp:posOffset>
            </wp:positionV>
            <wp:extent cx="342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-776605</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-776605</wp:posOffset>
            </wp:positionV>
            <wp:extent cx="431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-776605</wp:posOffset>
            </wp:positionV>
            <wp:extent cx="342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-776605</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-776605</wp:posOffset>
            </wp:positionV>
            <wp:extent cx="342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-776605</wp:posOffset>
            </wp:positionV>
            <wp:extent cx="342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-776605</wp:posOffset>
            </wp:positionV>
            <wp:extent cx="342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-776605</wp:posOffset>
            </wp:positionV>
            <wp:extent cx="342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-125095</wp:posOffset>
            </wp:positionV>
            <wp:extent cx="431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-125095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-125095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-125095</wp:posOffset>
            </wp:positionV>
            <wp:extent cx="342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wp:posOffset>
            </wp:positionV>
            <wp:extent cx="342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-125095</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-125095</wp:posOffset>
            </wp:positionV>
            <wp:extent cx="342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196"/>
        </w:trPr>
        <w:tc>
          <w:tcPr>
            <w:tcW w:w="6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(78,715 )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(73,703 )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(26,883 )</w:t>
            </w: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1,028</w:t>
            </w:r>
          </w:p>
        </w:tc>
        <w:tc>
          <w:tcPr>
            <w:tcW w:w="80" w:type="dxa"/>
            <w:vAlign w:val="bottom"/>
          </w:tcPr>
          <w:p>
            <w:pPr>
              <w:spacing w:after="0"/>
              <w:rPr>
                <w:sz w:val="17"/>
                <w:szCs w:val="17"/>
                <w:color w:val="auto"/>
              </w:rPr>
            </w:pPr>
          </w:p>
        </w:tc>
      </w:tr>
      <w:tr>
        <w:trPr>
          <w:trHeight w:val="203"/>
        </w:trPr>
        <w:tc>
          <w:tcPr>
            <w:tcW w:w="6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12,853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1,094</w:t>
            </w: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line="202" w:lineRule="exact"/>
              <w:rPr>
                <w:sz w:val="20"/>
                <w:szCs w:val="20"/>
                <w:color w:val="auto"/>
              </w:rPr>
            </w:pPr>
            <w:r>
              <w:rPr>
                <w:rFonts w:ascii="Arial" w:cs="Arial" w:eastAsia="Arial" w:hAnsi="Arial"/>
                <w:sz w:val="18"/>
                <w:szCs w:val="18"/>
                <w:color w:val="auto"/>
              </w:rPr>
              <w:t>Non-cash stock consideration, acquisition</w:t>
            </w:r>
          </w:p>
        </w:tc>
        <w:tc>
          <w:tcPr>
            <w:tcW w:w="3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19,843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on fixed asset disposals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discount on investments, net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1,349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1,142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(2,258 )</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80" w:type="dxa"/>
            <w:vAlign w:val="bottom"/>
          </w:tcPr>
          <w:p>
            <w:pPr>
              <w:spacing w:after="0"/>
              <w:rPr>
                <w:sz w:val="17"/>
                <w:szCs w:val="17"/>
                <w:color w:val="auto"/>
              </w:rPr>
            </w:pPr>
          </w:p>
        </w:tc>
      </w:tr>
      <w:tr>
        <w:trPr>
          <w:trHeight w:val="203"/>
        </w:trPr>
        <w:tc>
          <w:tcPr>
            <w:tcW w:w="67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and accrued other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4,303</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720" w:type="dxa"/>
            <w:vAlign w:val="bottom"/>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(59,541 )</w:t>
            </w: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(45,268 )</w:t>
            </w:r>
          </w:p>
        </w:tc>
        <w:tc>
          <w:tcPr>
            <w:tcW w:w="28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(23,533 )</w:t>
            </w:r>
          </w:p>
        </w:tc>
      </w:tr>
      <w:tr>
        <w:trPr>
          <w:trHeight w:val="196"/>
        </w:trPr>
        <w:tc>
          <w:tcPr>
            <w:tcW w:w="67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(939 )</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(667 )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(768 )</w:t>
            </w: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(69,626 )</w:t>
            </w: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(225,485 )</w:t>
            </w: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229,000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notes receivable</w:t>
            </w:r>
          </w:p>
        </w:tc>
        <w:tc>
          <w:tcPr>
            <w:tcW w:w="3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72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158,435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(215,959</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271,308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Issuance costs associated with financings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(1,852 )</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(21,237 )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(99 )</w:t>
            </w: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preferred stock, net of issuance costs</w:t>
            </w:r>
          </w:p>
        </w:tc>
        <w:tc>
          <w:tcPr>
            <w:tcW w:w="3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70,792</w:t>
            </w:r>
          </w:p>
        </w:tc>
        <w:tc>
          <w:tcPr>
            <w:tcW w:w="80" w:type="dxa"/>
            <w:vAlign w:val="bottom"/>
          </w:tcPr>
          <w:p>
            <w:pPr>
              <w:spacing w:after="0"/>
              <w:rPr>
                <w:sz w:val="17"/>
                <w:szCs w:val="17"/>
                <w:color w:val="auto"/>
              </w:rPr>
            </w:pP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986</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2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7"/>
                <w:szCs w:val="17"/>
                <w:color w:val="auto"/>
              </w:rPr>
            </w:pPr>
          </w:p>
        </w:tc>
      </w:tr>
      <w:tr>
        <w:trPr>
          <w:trHeight w:val="183"/>
        </w:trPr>
        <w:tc>
          <w:tcPr>
            <w:tcW w:w="6720" w:type="dxa"/>
            <w:vAlign w:val="bottom"/>
          </w:tcPr>
          <w:p>
            <w:pPr>
              <w:ind w:left="74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49,134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250,514</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70,824</w:t>
            </w:r>
          </w:p>
        </w:tc>
        <w:tc>
          <w:tcPr>
            <w:tcW w:w="80" w:type="dxa"/>
            <w:vAlign w:val="bottom"/>
          </w:tcPr>
          <w:p>
            <w:pPr>
              <w:spacing w:after="0"/>
              <w:rPr>
                <w:sz w:val="15"/>
                <w:szCs w:val="15"/>
                <w:color w:val="auto"/>
              </w:rPr>
            </w:pPr>
          </w:p>
        </w:tc>
      </w:tr>
      <w:tr>
        <w:trPr>
          <w:trHeight w:val="196"/>
        </w:trPr>
        <w:tc>
          <w:tcPr>
            <w:tcW w:w="6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148,028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(10,713 )</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46,523</w:t>
            </w:r>
          </w:p>
        </w:tc>
        <w:tc>
          <w:tcPr>
            <w:tcW w:w="8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78,446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89,159</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42,636</w:t>
            </w:r>
          </w:p>
        </w:tc>
        <w:tc>
          <w:tcPr>
            <w:tcW w:w="8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226,474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78,446</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89,159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Amounts accrued for purchase of property and equipment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Conversion of preferred stock to common stock</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178,058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0"/>
              <w:spacing w:after="0"/>
              <w:rPr>
                <w:sz w:val="20"/>
                <w:szCs w:val="20"/>
                <w:color w:val="auto"/>
              </w:rPr>
            </w:pPr>
            <w:r>
              <w:rPr>
                <w:rFonts w:ascii="Arial" w:cs="Arial" w:eastAsia="Arial" w:hAnsi="Arial"/>
                <w:sz w:val="18"/>
                <w:szCs w:val="18"/>
                <w:color w:val="auto"/>
              </w:rPr>
              <w:t>Unpaid deferred financing costs</w:t>
            </w:r>
          </w:p>
        </w:tc>
        <w:tc>
          <w:tcPr>
            <w:tcW w:w="3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-3305810</wp:posOffset>
            </wp:positionV>
            <wp:extent cx="603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-3305810</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-3305810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-2251710</wp:posOffset>
            </wp:positionV>
            <wp:extent cx="603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-2251710</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-2251710</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-1487170</wp:posOffset>
            </wp:positionV>
            <wp:extent cx="85725"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-1487170</wp:posOffset>
            </wp:positionV>
            <wp:extent cx="76835"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-1487170</wp:posOffset>
            </wp:positionV>
            <wp:extent cx="76835"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-685800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-668655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-685800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-668655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-685800</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-668655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ind w:left="4200"/>
        <w:spacing w:after="0"/>
        <w:rPr>
          <w:sz w:val="20"/>
          <w:szCs w:val="20"/>
          <w:color w:val="auto"/>
        </w:rPr>
      </w:pPr>
      <w:r>
        <w:rPr>
          <w:rFonts w:ascii="Arial" w:cs="Arial" w:eastAsia="Arial" w:hAnsi="Arial"/>
          <w:sz w:val="18"/>
          <w:szCs w:val="18"/>
          <w:b w:val="1"/>
          <w:bCs w:val="1"/>
          <w:color w:val="auto"/>
        </w:rPr>
        <w:t>ORIC PHARMACEUTICALS, INC.</w:t>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FINANCIAL STATEMENTS</w:t>
      </w:r>
    </w:p>
    <w:p>
      <w:pPr>
        <w:spacing w:after="0" w:line="192"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08" w:lineRule="exact"/>
        <w:rPr>
          <w:sz w:val="20"/>
          <w:szCs w:val="20"/>
          <w:color w:val="auto"/>
        </w:rPr>
      </w:pPr>
    </w:p>
    <w:p>
      <w:pPr>
        <w:jc w:val="both"/>
        <w:ind w:right="280" w:firstLine="749"/>
        <w:spacing w:after="0" w:line="270"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164"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189"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auto"/>
        </w:rPr>
        <w:t>As of December 31, 2021, the Company had an accumulated deficit of $245.1 million. Through December 31, 2021, all of the Company’s financial support has been provided by proceeds from the issuance of common stock and convertible preferred stock.</w:t>
      </w:r>
    </w:p>
    <w:p>
      <w:pPr>
        <w:spacing w:after="0" w:line="171"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04" w:lineRule="exact"/>
        <w:rPr>
          <w:sz w:val="20"/>
          <w:szCs w:val="20"/>
          <w:color w:val="auto"/>
        </w:rPr>
      </w:pPr>
    </w:p>
    <w:p>
      <w:pPr>
        <w:ind w:right="180" w:firstLine="749"/>
        <w:spacing w:after="0" w:line="276" w:lineRule="auto"/>
        <w:rPr>
          <w:sz w:val="20"/>
          <w:szCs w:val="20"/>
          <w:color w:val="auto"/>
        </w:rPr>
      </w:pPr>
      <w:r>
        <w:rPr>
          <w:rFonts w:ascii="Arial" w:cs="Arial" w:eastAsia="Arial" w:hAnsi="Arial"/>
          <w:sz w:val="16"/>
          <w:szCs w:val="16"/>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90" w:lineRule="exact"/>
        <w:rPr>
          <w:sz w:val="20"/>
          <w:szCs w:val="20"/>
          <w:color w:val="auto"/>
        </w:rPr>
      </w:pPr>
    </w:p>
    <w:p>
      <w:pPr>
        <w:ind w:firstLine="749"/>
        <w:spacing w:after="0" w:line="231" w:lineRule="auto"/>
        <w:rPr>
          <w:sz w:val="20"/>
          <w:szCs w:val="20"/>
          <w:color w:val="auto"/>
        </w:rPr>
      </w:pPr>
      <w:r>
        <w:rPr>
          <w:rFonts w:ascii="Arial" w:cs="Arial" w:eastAsia="Arial" w:hAnsi="Arial"/>
          <w:sz w:val="18"/>
          <w:szCs w:val="18"/>
          <w:color w:val="auto"/>
        </w:rPr>
        <w:t>On November 17, 2020, the Company completed a secondary public offering selling 5,796,000 shares of common stock, which includes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29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April 28, 2020, the Company completed an initial public offering (IPO) selling 8,625,000 shares of common stock, which included the full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by the underwriters of their option to purchase up to 1,125,000 additional shares, at a price of $16.00 per share resulting in gross proceeds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$138.0 million. After deducting underwriting discounts and commissions and other offering expenses related to the IPO of $12.8 million, the net proceeds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from the transaction were $125.2 million. In connection with the IPO, all shares of convertible preferred stock outstanding at the time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IPO converted into 19,278,606 shares of common stock.</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1" w:name="page112"/>
    <w:bookmarkEnd w:id="111"/>
    <w:p>
      <w:pPr>
        <w:ind w:left="180" w:hanging="172"/>
        <w:spacing w:after="0"/>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 and Summary of Significant Accounting Policies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749"/>
        <w:spacing w:after="0" w:line="231"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The accompanying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year ended December 31, 2021, are not necessarily indicative of future results.</w:t>
      </w:r>
    </w:p>
    <w:p>
      <w:pPr>
        <w:spacing w:after="0" w:line="81" w:lineRule="exact"/>
        <w:rPr>
          <w:sz w:val="20"/>
          <w:szCs w:val="20"/>
          <w:color w:val="auto"/>
        </w:rPr>
      </w:pPr>
    </w:p>
    <w:p>
      <w:pPr>
        <w:ind w:right="100" w:firstLine="749"/>
        <w:spacing w:after="0" w:line="270" w:lineRule="auto"/>
        <w:rPr>
          <w:sz w:val="20"/>
          <w:szCs w:val="20"/>
          <w:color w:val="auto"/>
        </w:rPr>
      </w:pPr>
      <w:r>
        <w:rPr>
          <w:rFonts w:ascii="Arial" w:cs="Arial" w:eastAsia="Arial" w:hAnsi="Arial"/>
          <w:sz w:val="16"/>
          <w:szCs w:val="16"/>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A portion of the Company’s workforce continues to work from home. Disruptions caused by the COVID-19 pandemic, including the effects of the stay-at-home orders and work-from-home policies, have impacted productivity, have resulted in increased operational expenses, certain adjustments to the operations of the Company’s clinical trials, the temporary suspension of enrollment of new patients at certain of the Company’s clinical trial sites, and delays in certain supply chain activities and collecting and analyzing data from patients in the Company’s clinical trials, and may further disrupt the business and delay the development programs and regulatory timelines, the magnitude of which will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749"/>
        <w:spacing w:after="0" w:line="261"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and assumptions that impact the reported amounts of assets, liabilities, expenses, and the disclosure of contingent assets and liabilities in the Company’s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80" w:firstLine="749"/>
        <w:spacing w:after="0" w:line="266"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cash equivalents and investments that are recorded on its balance sheets. The Company mitigates its risk by investing in high-grade instruments and limiting the concentration in any one issuer, which limits its exposure.</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90" w:lineRule="exact"/>
        <w:rPr>
          <w:sz w:val="20"/>
          <w:szCs w:val="20"/>
          <w:color w:val="auto"/>
        </w:rPr>
      </w:pPr>
    </w:p>
    <w:p>
      <w:pPr>
        <w:jc w:val="both"/>
        <w:ind w:right="220" w:firstLine="749"/>
        <w:spacing w:after="0" w:line="235" w:lineRule="auto"/>
        <w:rPr>
          <w:sz w:val="20"/>
          <w:szCs w:val="20"/>
          <w:color w:val="auto"/>
        </w:rPr>
      </w:pPr>
      <w:r>
        <w:rPr>
          <w:rFonts w:ascii="Arial" w:cs="Arial" w:eastAsia="Arial" w:hAnsi="Arial"/>
          <w:sz w:val="18"/>
          <w:szCs w:val="18"/>
          <w:color w:val="auto"/>
        </w:rPr>
        <w:t>The Company considers all highly liquid investments with maturities of 90 days or less at the time of purchase that are readily convertible into cash as cash equivalents. These investments may include money market funds, securities issued by U.S. Government agencies, corporate debt securities and commercial paper.</w:t>
      </w:r>
    </w:p>
    <w:p>
      <w:pPr>
        <w:spacing w:after="0" w:line="80"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Cash that is restricted and not available for general operations is considered restricted cash. The Company's restricted cash is in connection to property leases and restrictions will be removed at the respective lease expiration.</w:t>
      </w:r>
    </w:p>
    <w:p>
      <w:pPr>
        <w:spacing w:after="0" w:line="63" w:lineRule="exact"/>
        <w:rPr>
          <w:sz w:val="20"/>
          <w:szCs w:val="20"/>
          <w:color w:val="auto"/>
        </w:rPr>
      </w:pPr>
    </w:p>
    <w:p>
      <w:pPr>
        <w:ind w:right="560" w:firstLine="749"/>
        <w:spacing w:after="0" w:line="25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balance sheet to the total of the amount presented in the statement of cash flows,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196"/>
        </w:trPr>
        <w:tc>
          <w:tcPr>
            <w:tcW w:w="6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226,006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78,446</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89,159</w:t>
            </w:r>
          </w:p>
        </w:tc>
        <w:tc>
          <w:tcPr>
            <w:tcW w:w="6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included in other assets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w w:val="91"/>
              </w:rPr>
              <w:t>Total cash, cash equivalents and restricted cash presented in the statement of cash flows</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226,474</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78,446</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89,159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6720" w:type="dxa"/>
            <w:vAlign w:val="bottom"/>
          </w:tcPr>
          <w:p>
            <w:pPr>
              <w:jc w:val="right"/>
              <w:ind w:right="87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6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-496570</wp:posOffset>
            </wp:positionV>
            <wp:extent cx="43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-479425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342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-496570</wp:posOffset>
            </wp:positionV>
            <wp:extent cx="342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-479425</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2" w:name="page113"/>
    <w:bookmarkEnd w:id="112"/>
    <w:p>
      <w:pPr>
        <w:ind w:left="76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749"/>
        <w:spacing w:after="0" w:line="224" w:lineRule="auto"/>
        <w:rPr>
          <w:sz w:val="20"/>
          <w:szCs w:val="20"/>
          <w:color w:val="auto"/>
        </w:rPr>
      </w:pPr>
      <w:r>
        <w:rPr>
          <w:rFonts w:ascii="Arial" w:cs="Arial" w:eastAsia="Arial" w:hAnsi="Arial"/>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statements of operations, whereas if the decline in fair value is not due to credit-related factors, the loss is recorded in other comprehensive income (loss).</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Property and equipment, which consist of lab equipment, leasehold improvements, computer hardware and software, and furniture and fixtures, are stated at historical cost less accumulated depreciation. Depreciation is recognized on a straight-line basis over the estimated useful lives of the related assets, which are generally three to seven years. Leasehold improvements are amortized using the straight-line method over the shorter of the lease term or the estimate useful life of the asset.</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Impairment of Property and Equipment</w:t>
      </w:r>
    </w:p>
    <w:p>
      <w:pPr>
        <w:spacing w:after="0" w:line="104"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ended December 31, 2021, 2020 and 2019.</w:t>
      </w:r>
    </w:p>
    <w:p>
      <w:pPr>
        <w:spacing w:after="0" w:line="2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The Company determines if an arrangement is or contains a lease at inception. For leases with a term greater than one year, lease right-of-use assets and lease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 Leases are classified as finance or operating, with classification affecting the pattern and classification of expense recognition in the statement of operations.</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 and Accrued Research and Development Expenses</w:t>
      </w:r>
    </w:p>
    <w:p>
      <w:pPr>
        <w:spacing w:after="0" w:line="90" w:lineRule="exact"/>
        <w:rPr>
          <w:sz w:val="20"/>
          <w:szCs w:val="20"/>
          <w:color w:val="auto"/>
        </w:rPr>
      </w:pPr>
    </w:p>
    <w:p>
      <w:pPr>
        <w:ind w:right="120" w:firstLine="749"/>
        <w:spacing w:after="0" w:line="231" w:lineRule="auto"/>
        <w:rPr>
          <w:sz w:val="20"/>
          <w:szCs w:val="20"/>
          <w:color w:val="auto"/>
        </w:rPr>
      </w:pPr>
      <w:r>
        <w:rPr>
          <w:rFonts w:ascii="Arial" w:cs="Arial" w:eastAsia="Arial" w:hAnsi="Arial"/>
          <w:sz w:val="18"/>
          <w:szCs w:val="18"/>
          <w:color w:val="auto"/>
        </w:rPr>
        <w:t>The Company is required to estimate its expenses resulting from its obligations under contracts with vendors, consultants, contract research organizations (CRO), and contract manufacturing organizations (CMO) in connection with conducting research and development activities. The financial terms of these contracts vary from contract to contract and may result in payment flows that do not match the periods over which materials or services are provided under such contracts.</w:t>
      </w:r>
    </w:p>
    <w:p>
      <w:pPr>
        <w:spacing w:after="0" w:line="175" w:lineRule="exact"/>
        <w:rPr>
          <w:sz w:val="20"/>
          <w:szCs w:val="20"/>
          <w:color w:val="auto"/>
        </w:rPr>
      </w:pPr>
    </w:p>
    <w:p>
      <w:pPr>
        <w:ind w:right="120" w:firstLine="749"/>
        <w:spacing w:after="0" w:line="256" w:lineRule="auto"/>
        <w:rPr>
          <w:sz w:val="20"/>
          <w:szCs w:val="20"/>
          <w:color w:val="auto"/>
        </w:rPr>
      </w:pPr>
      <w:r>
        <w:rPr>
          <w:rFonts w:ascii="Arial" w:cs="Arial" w:eastAsia="Arial" w:hAnsi="Arial"/>
          <w:sz w:val="16"/>
          <w:szCs w:val="16"/>
          <w:color w:val="auto"/>
        </w:rPr>
        <w:t>Research and development costs are expensed in the period in which they are incurred. External costs consist primarily of payments to outside consultants, third-party CROs, CMOs, clinical trial sites and central laboratories in connection with the Company’s discovery and preclinical activities, process development, clinical manufacturing and clinical development activities. External expenses are recognized based on an evaluation of the progress to completion of specific tasks using information provided to the Company by its service providers or its estimate of the level of service that has been performed at each reporting date. The Company tracks external costs by program, clinical or preclinical. Internal costs consist primarily of employee-related costs, laboratory supplies, facilities, depreciation and costs related to compliance with regulatory requirements. The Company does not track internal costs by program because these costs are deployed across multiple programs and, as such, are not separately classified.</w:t>
      </w:r>
    </w:p>
    <w:p>
      <w:pPr>
        <w:spacing w:after="0" w:line="165" w:lineRule="exact"/>
        <w:rPr>
          <w:sz w:val="20"/>
          <w:szCs w:val="20"/>
          <w:color w:val="auto"/>
        </w:rPr>
      </w:pPr>
    </w:p>
    <w:p>
      <w:pPr>
        <w:ind w:right="40" w:firstLine="749"/>
        <w:spacing w:after="0" w:line="231" w:lineRule="auto"/>
        <w:rPr>
          <w:sz w:val="20"/>
          <w:szCs w:val="20"/>
          <w:color w:val="auto"/>
        </w:rPr>
      </w:pPr>
      <w:r>
        <w:rPr>
          <w:rFonts w:ascii="Arial" w:cs="Arial" w:eastAsia="Arial" w:hAnsi="Arial"/>
          <w:sz w:val="18"/>
          <w:szCs w:val="18"/>
          <w:color w:val="auto"/>
        </w:rPr>
        <w:t>The Company makes estimates of accrued expenses as of each balance sheet date based on facts and circumstances known at that time. The Company periodically confirms the accuracy of its estimates with the service providers and makes adjustments if necessary. The significant estimates in its accrued research and development expenses include the costs incurred for services performed by vendors in connection with research and development activities for which the Company has not yet been invoiced.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8" w:right="379" w:bottom="1440" w:gutter="0" w:footer="0" w:header="0"/>
        </w:sectPr>
      </w:pPr>
    </w:p>
    <w:bookmarkStart w:id="113" w:name="page114"/>
    <w:bookmarkEnd w:id="113"/>
    <w:p>
      <w:pPr>
        <w:ind w:left="7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60" w:firstLine="749"/>
        <w:spacing w:after="0" w:line="228"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78" w:lineRule="exact"/>
        <w:rPr>
          <w:sz w:val="20"/>
          <w:szCs w:val="20"/>
          <w:color w:val="auto"/>
        </w:rPr>
      </w:pPr>
    </w:p>
    <w:p>
      <w:pPr>
        <w:ind w:firstLine="749"/>
        <w:spacing w:after="0" w:line="228" w:lineRule="auto"/>
        <w:rPr>
          <w:sz w:val="20"/>
          <w:szCs w:val="20"/>
          <w:color w:val="auto"/>
        </w:rPr>
      </w:pPr>
      <w:r>
        <w:rPr>
          <w:rFonts w:ascii="Arial" w:cs="Arial" w:eastAsia="Arial" w:hAnsi="Arial"/>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91" w:lineRule="exact"/>
        <w:rPr>
          <w:sz w:val="20"/>
          <w:szCs w:val="20"/>
          <w:color w:val="auto"/>
        </w:rPr>
      </w:pPr>
    </w:p>
    <w:p>
      <w:pPr>
        <w:jc w:val="both"/>
        <w:ind w:right="180" w:firstLine="749"/>
        <w:spacing w:after="0" w:line="248" w:lineRule="auto"/>
        <w:rPr>
          <w:sz w:val="20"/>
          <w:szCs w:val="20"/>
          <w:color w:val="auto"/>
        </w:rPr>
      </w:pPr>
      <w:r>
        <w:rPr>
          <w:rFonts w:ascii="Arial" w:cs="Arial" w:eastAsia="Arial" w:hAnsi="Arial"/>
          <w:sz w:val="18"/>
          <w:szCs w:val="18"/>
          <w:color w:val="auto"/>
        </w:rPr>
        <w:t>As of December 31, 2021 and 2020, the Company maintained valuation allowances against its deferred tax assets as the Company concluded it had not met the “more likely than not” to be realized threshold. Changes in the valuation allowance when they are recognized in the provision for income taxes would result in a change in the estimated annual effective tax rate.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2"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Stock-based compensation expense represents the grant date fair value of employee, officer, director and non-employee stock option grants, estimated in accordance with the applicable accounting guidance and recognized over the vesting period, which approximates the requisite service period of the awards. The Company recognizes forfeitures as they occur.</w:t>
      </w:r>
    </w:p>
    <w:p>
      <w:pPr>
        <w:spacing w:after="0" w:line="182"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The fair value of stock options is estimated using a Black-Scholes 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 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License Fees</w:t>
      </w:r>
    </w:p>
    <w:p>
      <w:pPr>
        <w:spacing w:after="0" w:line="104"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Acquisitions of technology licenses are charged to acquired in-process research and development expense or capitalized based upon the asset achieving technological feasibility in accordance with management’s assessment regarding the ultimate recoverability of the amounts paid and the potential for alternative future use.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right="380" w:firstLine="749"/>
        <w:spacing w:after="0" w:line="270" w:lineRule="auto"/>
        <w:rPr>
          <w:sz w:val="20"/>
          <w:szCs w:val="20"/>
          <w:color w:val="auto"/>
        </w:rPr>
      </w:pPr>
      <w:r>
        <w:rPr>
          <w:rFonts w:ascii="Arial" w:cs="Arial" w:eastAsia="Arial" w:hAnsi="Arial"/>
          <w:sz w:val="17"/>
          <w:szCs w:val="17"/>
          <w:color w:val="auto"/>
        </w:rPr>
        <w:t>The Company capitalizes costs that are directly associated with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Comprehensive Gain (Loss)</w:t>
      </w:r>
    </w:p>
    <w:p>
      <w:pPr>
        <w:spacing w:after="0" w:line="104" w:lineRule="exact"/>
        <w:rPr>
          <w:sz w:val="20"/>
          <w:szCs w:val="20"/>
          <w:color w:val="auto"/>
        </w:rPr>
      </w:pPr>
    </w:p>
    <w:p>
      <w:pPr>
        <w:ind w:right="120" w:firstLine="749"/>
        <w:spacing w:after="0" w:line="270" w:lineRule="auto"/>
        <w:rPr>
          <w:sz w:val="20"/>
          <w:szCs w:val="20"/>
          <w:color w:val="auto"/>
        </w:rPr>
      </w:pPr>
      <w:r>
        <w:rPr>
          <w:rFonts w:ascii="Arial" w:cs="Arial" w:eastAsia="Arial" w:hAnsi="Arial"/>
          <w:sz w:val="17"/>
          <w:szCs w:val="17"/>
          <w:color w:val="auto"/>
        </w:rPr>
        <w:t>Other comprehensive gain (loss) is defined as the change in equity during a period from transactions and other events and circumstances from non-owner sources, including unrealized gains and losses on investments and foreign currency gains and losses. The unrealized gains (losses) on available for sale investments represent the only component of other comprehensive loss that is excluded from the reported net loss.</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of potentially dilutive securities. Diluted net loss per share is computed by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4" w:name="page115"/>
    <w:bookmarkEnd w:id="114"/>
    <w:p>
      <w:pPr>
        <w:ind w:right="60"/>
        <w:spacing w:after="0" w:line="324" w:lineRule="auto"/>
        <w:rPr>
          <w:sz w:val="20"/>
          <w:szCs w:val="20"/>
          <w:color w:val="auto"/>
        </w:rPr>
      </w:pPr>
      <w:r>
        <w:rPr>
          <w:rFonts w:ascii="Arial" w:cs="Arial" w:eastAsia="Arial" w:hAnsi="Arial"/>
          <w:sz w:val="16"/>
          <w:szCs w:val="16"/>
          <w:color w:val="auto"/>
        </w:rPr>
        <w:t>dividing the net loss by the weighted-average number of common shares and potentially dilutive securities outstanding for the period. As the Company has reported a net loss for all periods presented, diluted net loss per common share is the same as basic net loss per common share for those periods.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(78,715 )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(73,703 )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(26,883 )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80"/>
              <w:spacing w:after="0" w:line="162" w:lineRule="exact"/>
              <w:rPr>
                <w:sz w:val="20"/>
                <w:szCs w:val="20"/>
                <w:color w:val="auto"/>
              </w:rPr>
            </w:pPr>
            <w:r>
              <w:rPr>
                <w:rFonts w:ascii="Arial" w:cs="Arial" w:eastAsia="Arial" w:hAnsi="Arial"/>
                <w:sz w:val="18"/>
                <w:szCs w:val="18"/>
                <w:color w:val="auto"/>
              </w:rPr>
              <w:t>Weighted average shares outstanding used in computing</w:t>
            </w: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37,954,280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21,942,476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7"/>
              </w:rPr>
              <w:t>1,899,348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320"/>
              <w:spacing w:after="0" w:line="15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(2.07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(3.36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(14.15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40" w:type="dxa"/>
            <w:vAlign w:val="bottom"/>
          </w:tcPr>
          <w:p>
            <w:pPr>
              <w:spacing w:after="0"/>
              <w:rPr>
                <w:sz w:val="18"/>
                <w:szCs w:val="18"/>
                <w:color w:val="auto"/>
              </w:rPr>
            </w:pPr>
          </w:p>
        </w:tc>
        <w:tc>
          <w:tcPr>
            <w:tcW w:w="12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5,268,320</w:t>
            </w:r>
          </w:p>
        </w:tc>
        <w:tc>
          <w:tcPr>
            <w:tcW w:w="20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3,996,174</w:t>
            </w:r>
          </w:p>
        </w:tc>
        <w:tc>
          <w:tcPr>
            <w:tcW w:w="1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2,683,441</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19,278,606</w:t>
            </w:r>
          </w:p>
        </w:tc>
        <w:tc>
          <w:tcPr>
            <w:tcW w:w="60" w:type="dxa"/>
            <w:vAlign w:val="bottom"/>
          </w:tcPr>
          <w:p>
            <w:pPr>
              <w:spacing w:after="0"/>
              <w:rPr>
                <w:sz w:val="17"/>
                <w:szCs w:val="17"/>
                <w:color w:val="auto"/>
              </w:rPr>
            </w:pPr>
          </w:p>
        </w:tc>
      </w:tr>
      <w:tr>
        <w:trPr>
          <w:trHeight w:val="236"/>
        </w:trPr>
        <w:tc>
          <w:tcPr>
            <w:tcW w:w="50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5,268,320</w:t>
            </w:r>
          </w:p>
        </w:tc>
        <w:tc>
          <w:tcPr>
            <w:tcW w:w="2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3,996,174</w:t>
            </w: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21,962,047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-25400</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7" w:lineRule="exact"/>
        <w:rPr>
          <w:sz w:val="20"/>
          <w:szCs w:val="20"/>
          <w:color w:val="auto"/>
        </w:rPr>
      </w:pPr>
    </w:p>
    <w:p>
      <w:pPr>
        <w:ind w:right="280" w:firstLine="749"/>
        <w:spacing w:after="0" w:line="22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 codifications (ASC) or other standard setting bodies and adopted by the Company as of the specified effective date, unless otherwise discussed below.</w:t>
      </w:r>
    </w:p>
    <w:p>
      <w:pPr>
        <w:spacing w:after="0" w:line="68"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 xml:space="preserve">In February 2016, the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(ASC 842), which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the lease is effectively a financed purchase by the lessee. A lessee is also required to record a right-of-use asset and a lease liability for all leases with a term greater than 12 months regardless of their classification. ASC 842 provides a lessee with an option to not account for leases with a term of 12 months or less as leases in the scope of the new standard. ASC 842 supersedes the previous leases standard, ASC 840 Leases. ASC 842 requires a modified retrospective transition approach for leases existing at, or entered into after, the beginning of the earliest comparative period presented in the financial statements. In July 2018, the FASB issued supplemental adoption guidance and clarification to ASC 842 within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ASU No. 2018-11 provides another transition method in addition to the existing modified retrospective transition method by allowing entities to initially apply the new leasing standard at the adoption date and recognize a cumulative-effect adjustment to the opening balance of accumulated deficit in the period of adoption. On January 1, 2021, the Company early adopted ASC 842 using the modified retrospective approach. Accordingly, prior period financial information and disclosures have not been adjusted and continue to be reported in accordance with the Company’s historical accounting under the previous lease standard. In addition, the Company elected the package of practical expedients available for existing contracts, which allowed it to carry forward historical assessments of lease identification, lease classification, and initial direct costs. As a result of adopting ASC 842, the Company recognized right-of-use assets and lease liabilities of $1.7 million and $2.5 million, respectively, on January 1, 2021, which are related to our facility operating leases. The difference between the right-of-use assets and lease liabilities is primarily attributed to the elimination of deferred rent and unamortized lease incentives. There was no adjustment to the opening balance of accumulated deficit as a result of the adoption of ASC 842.</w:t>
      </w:r>
    </w:p>
    <w:p>
      <w:pPr>
        <w:spacing w:after="0" w:line="73"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In June 2016, the FASB issued ASU No. 2016-13, Financial Instruments—Credit Losses (Topic 326) (ASC 326): Measurement of Credit Losses on Financial Instruments, which introduced the expected credit losses methodology for the measurement of credit losses on financial assets measured at amortized cost basis, replacing the previous incurred loss methodology. The amendments in Update 2016-13 added Topic 326, Financial Instruments— Credit Losses, and made several consequential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5" w:name="page116"/>
    <w:bookmarkEnd w:id="115"/>
    <w:p>
      <w:pPr>
        <w:ind w:right="140"/>
        <w:spacing w:after="0" w:line="257" w:lineRule="auto"/>
        <w:rPr>
          <w:sz w:val="20"/>
          <w:szCs w:val="20"/>
          <w:color w:val="auto"/>
        </w:rPr>
      </w:pPr>
      <w:r>
        <w:rPr>
          <w:rFonts w:ascii="Arial" w:cs="Arial" w:eastAsia="Arial" w:hAnsi="Arial"/>
          <w:sz w:val="17"/>
          <w:szCs w:val="17"/>
          <w:color w:val="auto"/>
        </w:rPr>
        <w:t>amendments to the Codification. Update 2016-13 also modified the accounting for available-for-sale debt securities, which must be individually assessed for credit losses when fair value is less than the amortized cost basis, in accordance with Subtopic 326-30, Financial Instruments— Credit Losses— Available-for-Sale Debt Securities. The guidance is effective for public business entities for annual periods beginning after December 15, 2019, including interim periods within those years. For all other entities, the standard is effective for annual periods beginning after December 15, 2022 and interim periods, therein. Early adoption is permitted. The Company early adopted the new standard in the first quarter of 2021, using the modified retrospective approach. The adoption did not have a material impact on its financial statements.</w:t>
      </w:r>
    </w:p>
    <w:p>
      <w:pPr>
        <w:spacing w:after="0" w:line="2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820" w:firstLine="749"/>
        <w:spacing w:after="0" w:line="235" w:lineRule="auto"/>
        <w:rPr>
          <w:sz w:val="20"/>
          <w:szCs w:val="20"/>
          <w:color w:val="auto"/>
        </w:rPr>
      </w:pPr>
      <w:r>
        <w:rPr>
          <w:rFonts w:ascii="Arial" w:cs="Arial" w:eastAsia="Arial" w:hAnsi="Arial"/>
          <w:sz w:val="18"/>
          <w:szCs w:val="18"/>
          <w:color w:val="auto"/>
        </w:rPr>
        <w:t>There are no recently issued accounting pronouncements that would materially impact the Company's financial statements and related disclosures.</w:t>
      </w:r>
    </w:p>
    <w:p>
      <w:pPr>
        <w:spacing w:after="0" w:line="279"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0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On October 19, 2020, the Company entered into a license and collaboration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18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189"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Under the Voronoi License Agreement, Voronoi will be responsible for certain research and development costs up to a predetermined threshold. Upon achievement of the predetermined threshold, Voronoi has the option to opt-out of participation in and funding of future development activities. If Voronoi decides not to exercise the opt-out provision, the parties will share certain future research and development costs equally in the Republic of Korea.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w:t>
      </w:r>
    </w:p>
    <w:p>
      <w:pPr>
        <w:spacing w:after="0" w:line="168"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175"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6" w:name="page117"/>
    <w:bookmarkEnd w:id="116"/>
    <w:p>
      <w:pPr>
        <w:ind w:right="60" w:firstLine="749"/>
        <w:spacing w:after="0" w:line="241"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specific identifiable asset related to EGFR and HER2. Further, as the asset was in early development at the time the license was acquired, the Company concluded that there was no alternative future use for the asset and recorded a charge to acquired in-process research and development expense of $11.8 million at the closing of the transaction in October 2020, which consisted of the $5.0 million cash payment plus the $6.8 million value assigned to the shares issued in connection with Voronoi License Agreement.</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04"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175" w:lineRule="exact"/>
        <w:rPr>
          <w:sz w:val="20"/>
          <w:szCs w:val="20"/>
          <w:color w:val="auto"/>
        </w:rPr>
      </w:pPr>
    </w:p>
    <w:p>
      <w:pPr>
        <w:ind w:right="120" w:firstLine="749"/>
        <w:spacing w:after="0" w:line="255" w:lineRule="auto"/>
        <w:rPr>
          <w:sz w:val="20"/>
          <w:szCs w:val="20"/>
          <w:color w:val="auto"/>
        </w:rPr>
      </w:pPr>
      <w:r>
        <w:rPr>
          <w:rFonts w:ascii="Arial" w:cs="Arial" w:eastAsia="Arial" w:hAnsi="Arial"/>
          <w:sz w:val="17"/>
          <w:szCs w:val="17"/>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180"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194"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single identifiable asset. Further, as the asset was in early development at the time the license was acquired, the Company concluded that there was no alternative future use for the asset and recorded a charge to acquired in-process research and development at the closing of the transaction in August 2020 for the full $13.0 million value assigned to the shares issued in connection with Mirati License Agreement.</w:t>
      </w:r>
    </w:p>
    <w:p>
      <w:pPr>
        <w:spacing w:after="0" w:line="292"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5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 equipment</w:t>
            </w:r>
          </w:p>
        </w:tc>
        <w:tc>
          <w:tcPr>
            <w:tcW w:w="760" w:type="dxa"/>
            <w:vAlign w:val="bottom"/>
            <w:shd w:val="clear" w:color="auto" w:fill="CFF0FC"/>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5,305</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4,396</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1,710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1,710</w:t>
            </w:r>
          </w:p>
        </w:tc>
        <w:tc>
          <w:tcPr>
            <w:tcW w:w="100" w:type="dxa"/>
            <w:vAlign w:val="bottom"/>
          </w:tcPr>
          <w:p>
            <w:pPr>
              <w:spacing w:after="0"/>
              <w:rPr>
                <w:sz w:val="17"/>
                <w:szCs w:val="17"/>
                <w:color w:val="auto"/>
              </w:rPr>
            </w:pP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hardware and software</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r>
      <w:tr>
        <w:trPr>
          <w:trHeight w:val="196"/>
        </w:trPr>
        <w:tc>
          <w:tcPr>
            <w:tcW w:w="51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and equipment, gross</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7,402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6,466</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76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6"/>
              </w:rPr>
              <w:t>(4,989 )</w:t>
            </w:r>
          </w:p>
        </w:tc>
        <w:tc>
          <w:tcPr>
            <w:tcW w:w="3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(4,485 )</w:t>
            </w:r>
          </w:p>
        </w:tc>
      </w:tr>
      <w:tr>
        <w:trPr>
          <w:trHeight w:val="236"/>
        </w:trPr>
        <w:tc>
          <w:tcPr>
            <w:tcW w:w="51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and equipment, net</w:t>
            </w:r>
          </w:p>
        </w:tc>
        <w:tc>
          <w:tcPr>
            <w:tcW w:w="760" w:type="dxa"/>
            <w:vAlign w:val="bottom"/>
            <w:tcBorders>
              <w:top w:val="single" w:sz="8" w:color="auto"/>
              <w:bottom w:val="single" w:sz="8" w:color="auto"/>
            </w:tcBorders>
            <w:shd w:val="clear" w:color="auto" w:fill="CFF0FC"/>
          </w:tcPr>
          <w:p>
            <w:pPr>
              <w:jc w:val="right"/>
              <w:ind w:right="57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2,413</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Depreciation expense was $0.9 million for the year ended December 31, 2021 and $1.0 million for the years ended December 31, 2020 and 2019.</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7" w:name="page118"/>
    <w:bookmarkEnd w:id="117"/>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5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clinical and manufacturing costs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5,678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3,072</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4,798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3,723</w:t>
            </w:r>
          </w:p>
        </w:tc>
        <w:tc>
          <w:tcPr>
            <w:tcW w:w="6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 - short-term</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863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6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Deferred rent - short-term</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ind w:left="180"/>
              <w:spacing w:after="0" w:line="196" w:lineRule="exact"/>
              <w:rPr>
                <w:sz w:val="20"/>
                <w:szCs w:val="20"/>
                <w:color w:val="auto"/>
              </w:rPr>
            </w:pPr>
            <w:r>
              <w:rPr>
                <w:rFonts w:ascii="Arial" w:cs="Arial" w:eastAsia="Arial" w:hAnsi="Arial"/>
                <w:sz w:val="18"/>
                <w:szCs w:val="18"/>
                <w:color w:val="auto"/>
              </w:rPr>
              <w:t>Total accrued liabilities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13,265</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8,245</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-159385</wp:posOffset>
            </wp:positionV>
            <wp:extent cx="431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Available-for-Sale</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available-for-sale investments consisted of the following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4"/>
                <w:szCs w:val="14"/>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060" w:type="dxa"/>
            <w:vAlign w:val="bottom"/>
          </w:tcPr>
          <w:p>
            <w:pPr>
              <w:jc w:val="right"/>
              <w:ind w:right="25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3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5"/>
                <w:szCs w:val="15"/>
                <w:color w:val="auto"/>
              </w:rPr>
            </w:pP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1460" w:type="dxa"/>
            <w:vAlign w:val="bottom"/>
            <w:tcBorders>
              <w:top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color w:val="auto"/>
              </w:rPr>
              <w:t>Short-term</w:t>
            </w:r>
          </w:p>
        </w:tc>
        <w:tc>
          <w:tcPr>
            <w:tcW w:w="2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60" w:type="dxa"/>
            <w:vAlign w:val="bottom"/>
            <w:tcBorders>
              <w:right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10,014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3"/>
          </w:tcPr>
          <w:p>
            <w:pPr>
              <w:ind w:left="360"/>
              <w:spacing w:after="0" w:line="196" w:lineRule="exact"/>
              <w:rPr>
                <w:sz w:val="20"/>
                <w:szCs w:val="20"/>
                <w:color w:val="auto"/>
              </w:rPr>
            </w:pPr>
            <w:r>
              <w:rPr>
                <w:rFonts w:ascii="Arial" w:cs="Arial" w:eastAsia="Arial" w:hAnsi="Arial"/>
                <w:sz w:val="18"/>
                <w:szCs w:val="18"/>
                <w:color w:val="auto"/>
                <w:w w:val="96"/>
              </w:rPr>
              <w:t>Short-term investments, available-for-sale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10,975</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(2 )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2"/>
              </w:rPr>
              <w:t>Long-term</w:t>
            </w:r>
          </w:p>
        </w:tc>
        <w:tc>
          <w:tcPr>
            <w:tcW w:w="28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42,517</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(98 )</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42,419</w:t>
            </w:r>
          </w:p>
        </w:tc>
        <w:tc>
          <w:tcPr>
            <w:tcW w:w="0" w:type="dxa"/>
            <w:vAlign w:val="bottom"/>
          </w:tcPr>
          <w:p>
            <w:pPr>
              <w:spacing w:after="0"/>
              <w:rPr>
                <w:sz w:val="1"/>
                <w:szCs w:val="1"/>
                <w:color w:val="auto"/>
              </w:rPr>
            </w:pPr>
          </w:p>
        </w:tc>
      </w:tr>
      <w:tr>
        <w:trPr>
          <w:trHeight w:val="203"/>
        </w:trPr>
        <w:tc>
          <w:tcPr>
            <w:tcW w:w="36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FF0FC"/>
            </w:tcBorders>
            <w:gridSpan w:val="3"/>
            <w:shd w:val="clear" w:color="auto" w:fill="CFF0FC"/>
          </w:tcPr>
          <w:p>
            <w:pPr>
              <w:ind w:left="360"/>
              <w:spacing w:after="0" w:line="196" w:lineRule="exact"/>
              <w:rPr>
                <w:sz w:val="20"/>
                <w:szCs w:val="20"/>
                <w:color w:val="auto"/>
              </w:rPr>
            </w:pPr>
            <w:r>
              <w:rPr>
                <w:rFonts w:ascii="Arial" w:cs="Arial" w:eastAsia="Arial" w:hAnsi="Arial"/>
                <w:sz w:val="18"/>
                <w:szCs w:val="18"/>
                <w:color w:val="auto"/>
              </w:rPr>
              <w:t>Investments, available-for-sale</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43,487</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43,386</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60" w:type="dxa"/>
            <w:vAlign w:val="bottom"/>
            <w:tcBorders>
              <w:right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215,185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(31 )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215,154</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FF0FC"/>
            </w:tcBorders>
            <w:gridSpan w:val="3"/>
            <w:shd w:val="clear" w:color="auto" w:fill="CFF0FC"/>
          </w:tcPr>
          <w:p>
            <w:pPr>
              <w:ind w:left="360"/>
              <w:spacing w:after="0" w:line="196" w:lineRule="exact"/>
              <w:rPr>
                <w:sz w:val="20"/>
                <w:szCs w:val="20"/>
                <w:color w:val="auto"/>
              </w:rPr>
            </w:pPr>
            <w:r>
              <w:rPr>
                <w:rFonts w:ascii="Arial" w:cs="Arial" w:eastAsia="Arial" w:hAnsi="Arial"/>
                <w:sz w:val="18"/>
                <w:szCs w:val="18"/>
                <w:color w:val="auto"/>
                <w:w w:val="96"/>
              </w:rPr>
              <w:t>Short-term investments, available-for-sale</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215,185</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-1384935</wp:posOffset>
            </wp:positionV>
            <wp:extent cx="431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-1384935</wp:posOffset>
            </wp:positionV>
            <wp:extent cx="3429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-1384935</wp:posOffset>
            </wp:positionV>
            <wp:extent cx="603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-1384935</wp:posOffset>
            </wp:positionV>
            <wp:extent cx="3429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-573405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-556895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-573405</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-556895</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-573405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-556895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-573405</wp:posOffset>
            </wp:positionV>
            <wp:extent cx="34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-556895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Company has determined that there were no material declines in fair value of its investments due to credit-related factors as of December 31, 2021 and December 31, 2020. Credit loss is limited due to the nature of the investments.</w:t>
      </w:r>
    </w:p>
    <w:p>
      <w:pPr>
        <w:spacing w:after="0" w:line="27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0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23" w:lineRule="exact"/>
        <w:rPr>
          <w:sz w:val="20"/>
          <w:szCs w:val="20"/>
          <w:color w:val="auto"/>
        </w:rPr>
      </w:pPr>
    </w:p>
    <w:p>
      <w:pPr>
        <w:ind w:right="80" w:firstLine="749"/>
        <w:spacing w:after="0" w:line="284"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8" w:name="page119"/>
    <w:bookmarkEnd w:id="118"/>
    <w:p>
      <w:pPr>
        <w:ind w:left="7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Fair Value Measurements</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1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318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b w:val="1"/>
                <w:bCs w:val="1"/>
                <w:color w:val="auto"/>
              </w:rPr>
              <w:t>December 31, 2021</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7"/>
        </w:trPr>
        <w:tc>
          <w:tcPr>
            <w:tcW w:w="1460" w:type="dxa"/>
            <w:vAlign w:val="bottom"/>
            <w:shd w:val="clear" w:color="auto" w:fill="000000"/>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202"/>
        </w:trPr>
        <w:tc>
          <w:tcPr>
            <w:tcW w:w="3180" w:type="dxa"/>
            <w:vAlign w:val="bottom"/>
            <w:gridSpan w:val="2"/>
          </w:tcPr>
          <w:p>
            <w:pPr>
              <w:ind w:left="180"/>
              <w:spacing w:after="0" w:line="202" w:lineRule="exact"/>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23"/>
                <w:szCs w:val="23"/>
                <w:color w:val="auto"/>
                <w:vertAlign w:val="superscript"/>
              </w:rPr>
              <w:t>(1)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226,006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226,006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56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226,006</w:t>
            </w:r>
          </w:p>
        </w:tc>
        <w:tc>
          <w:tcPr>
            <w:tcW w:w="60" w:type="dxa"/>
            <w:vAlign w:val="bottom"/>
          </w:tcPr>
          <w:p>
            <w:pPr>
              <w:spacing w:after="0"/>
              <w:rPr>
                <w:sz w:val="17"/>
                <w:szCs w:val="17"/>
                <w:color w:val="auto"/>
              </w:rPr>
            </w:pPr>
          </w:p>
        </w:tc>
      </w:tr>
      <w:tr>
        <w:trPr>
          <w:trHeight w:val="203"/>
        </w:trPr>
        <w:tc>
          <w:tcPr>
            <w:tcW w:w="31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52,432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52,432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52,432</w:t>
            </w:r>
          </w:p>
        </w:tc>
        <w:tc>
          <w:tcPr>
            <w:tcW w:w="60" w:type="dxa"/>
            <w:vAlign w:val="bottom"/>
            <w:shd w:val="clear" w:color="auto" w:fill="CFF0FC"/>
          </w:tcPr>
          <w:p>
            <w:pPr>
              <w:spacing w:after="0"/>
              <w:rPr>
                <w:sz w:val="17"/>
                <w:szCs w:val="17"/>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1,927</w:t>
            </w:r>
          </w:p>
        </w:tc>
        <w:tc>
          <w:tcPr>
            <w:tcW w:w="60" w:type="dxa"/>
            <w:vAlign w:val="bottom"/>
          </w:tcPr>
          <w:p>
            <w:pPr>
              <w:spacing w:after="0"/>
              <w:rPr>
                <w:sz w:val="17"/>
                <w:szCs w:val="17"/>
                <w:color w:val="auto"/>
              </w:rPr>
            </w:pPr>
          </w:p>
        </w:tc>
      </w:tr>
      <w:tr>
        <w:trPr>
          <w:trHeight w:val="236"/>
        </w:trPr>
        <w:tc>
          <w:tcPr>
            <w:tcW w:w="3180" w:type="dxa"/>
            <w:vAlign w:val="bottom"/>
            <w:tcBorders>
              <w:bottom w:val="single" w:sz="8" w:color="CFF0FC"/>
            </w:tcBorders>
            <w:gridSpan w:val="2"/>
            <w:shd w:val="clear" w:color="auto" w:fill="CFF0FC"/>
          </w:tcPr>
          <w:p>
            <w:pPr>
              <w:ind w:left="36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280,365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280,365</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280,365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56"/>
        </w:trPr>
        <w:tc>
          <w:tcPr>
            <w:tcW w:w="318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7"/>
        </w:trPr>
        <w:tc>
          <w:tcPr>
            <w:tcW w:w="1460" w:type="dxa"/>
            <w:vAlign w:val="bottom"/>
            <w:shd w:val="clear" w:color="auto" w:fill="000000"/>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1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7"/>
                <w:szCs w:val="17"/>
                <w:color w:val="auto"/>
              </w:rPr>
              <w:t xml:space="preserve">Money market funds </w:t>
            </w:r>
            <w:r>
              <w:rPr>
                <w:rFonts w:ascii="Arial" w:cs="Arial" w:eastAsia="Arial" w:hAnsi="Arial"/>
                <w:sz w:val="23"/>
                <w:szCs w:val="23"/>
                <w:color w:val="auto"/>
                <w:vertAlign w:val="superscript"/>
              </w:rPr>
              <w:t>(1)</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78,446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78,446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78,446</w:t>
            </w:r>
          </w:p>
        </w:tc>
        <w:tc>
          <w:tcPr>
            <w:tcW w:w="60" w:type="dxa"/>
            <w:vAlign w:val="bottom"/>
            <w:shd w:val="clear" w:color="auto" w:fill="CFF0FC"/>
          </w:tcPr>
          <w:p>
            <w:pPr>
              <w:spacing w:after="0"/>
              <w:rPr>
                <w:sz w:val="17"/>
                <w:szCs w:val="17"/>
                <w:color w:val="auto"/>
              </w:rPr>
            </w:pPr>
          </w:p>
        </w:tc>
      </w:tr>
      <w:tr>
        <w:trPr>
          <w:trHeight w:val="203"/>
        </w:trPr>
        <w:tc>
          <w:tcPr>
            <w:tcW w:w="31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215,154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215,154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215,154</w:t>
            </w:r>
          </w:p>
        </w:tc>
        <w:tc>
          <w:tcPr>
            <w:tcW w:w="60" w:type="dxa"/>
            <w:vAlign w:val="bottom"/>
          </w:tcPr>
          <w:p>
            <w:pPr>
              <w:spacing w:after="0"/>
              <w:rPr>
                <w:sz w:val="17"/>
                <w:szCs w:val="17"/>
                <w:color w:val="auto"/>
              </w:rPr>
            </w:pPr>
          </w:p>
        </w:tc>
      </w:tr>
      <w:tr>
        <w:trPr>
          <w:trHeight w:val="236"/>
        </w:trPr>
        <w:tc>
          <w:tcPr>
            <w:tcW w:w="3180" w:type="dxa"/>
            <w:vAlign w:val="bottom"/>
            <w:tcBorders>
              <w:bottom w:val="single" w:sz="8" w:color="CFF0FC"/>
            </w:tcBorders>
            <w:gridSpan w:val="2"/>
            <w:shd w:val="clear" w:color="auto" w:fill="CFF0FC"/>
          </w:tcPr>
          <w:p>
            <w:pPr>
              <w:ind w:left="36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293,600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293,600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293,600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-573405</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-556895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-573405</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-556895</wp:posOffset>
            </wp:positionV>
            <wp:extent cx="431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-573405</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-556895</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-573405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-556895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-573405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-556895</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-25400</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342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34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85725</wp:posOffset>
            </wp:positionV>
            <wp:extent cx="12344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 Included in cash and cash equivalents in accompanying balance sheets.</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316"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Convertible Preferred Stock</w:t>
      </w:r>
    </w:p>
    <w:p>
      <w:pPr>
        <w:spacing w:after="0" w:line="108" w:lineRule="exact"/>
        <w:rPr>
          <w:sz w:val="20"/>
          <w:szCs w:val="20"/>
          <w:color w:val="auto"/>
        </w:rPr>
      </w:pPr>
    </w:p>
    <w:p>
      <w:pPr>
        <w:ind w:right="260" w:firstLine="749"/>
        <w:spacing w:after="0" w:line="294" w:lineRule="auto"/>
        <w:rPr>
          <w:sz w:val="20"/>
          <w:szCs w:val="20"/>
          <w:color w:val="auto"/>
        </w:rPr>
      </w:pPr>
      <w:r>
        <w:rPr>
          <w:rFonts w:ascii="Arial" w:cs="Arial" w:eastAsia="Arial" w:hAnsi="Arial"/>
          <w:sz w:val="16"/>
          <w:szCs w:val="16"/>
          <w:color w:val="auto"/>
        </w:rPr>
        <w:t>Prior to its conversion to common stock in connection with the Company’s IPO in April 2020, the Company’s convertible preferred stock was classified as temporary equity on the Company’s balance sheets in accordance with authoritative guidance. Convertible preferred stock authorized and issued and its principal terms as of December 31, 2019, consisted of the following (in thousands, except share and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83"/>
              </w:rPr>
              <w:t>Issue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4"/>
              </w:rPr>
              <w:t>Dividend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60" w:type="dxa"/>
            <w:vAlign w:val="bottom"/>
          </w:tcPr>
          <w:p>
            <w:pPr>
              <w:spacing w:after="0"/>
              <w:rPr>
                <w:sz w:val="12"/>
                <w:szCs w:val="12"/>
                <w:color w:val="auto"/>
              </w:rPr>
            </w:pPr>
          </w:p>
        </w:tc>
        <w:tc>
          <w:tcPr>
            <w:tcW w:w="13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 Period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Price per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Annual Rate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Authorized</w:t>
            </w:r>
          </w:p>
        </w:tc>
        <w:tc>
          <w:tcPr>
            <w:tcW w:w="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per Share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Preference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3,862,500</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3,862,500</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2014 - 2015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Series B</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6,750,000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6,749,999</w:t>
            </w:r>
          </w:p>
        </w:tc>
        <w:tc>
          <w:tcPr>
            <w:tcW w:w="164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89"/>
              </w:rPr>
              <w:t>2015 - 2016</w:t>
            </w: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0.64</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C</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4,448,788</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4,448,780</w:t>
            </w:r>
          </w:p>
        </w:tc>
        <w:tc>
          <w:tcPr>
            <w:tcW w:w="164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w w:val="89"/>
              </w:rPr>
              <w:t>2018 - 2019</w:t>
            </w:r>
          </w:p>
        </w:tc>
        <w:tc>
          <w:tcPr>
            <w:tcW w:w="3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12.00</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0.96</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53,385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Series 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5,287,500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4,217,327</w:t>
            </w:r>
          </w:p>
        </w:tc>
        <w:tc>
          <w:tcPr>
            <w:tcW w:w="164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89"/>
              </w:rPr>
              <w:t>2019</w:t>
            </w:r>
          </w:p>
        </w:tc>
        <w:tc>
          <w:tcPr>
            <w:tcW w:w="3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13.20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20,348,788</w:t>
            </w:r>
          </w:p>
        </w:tc>
        <w:tc>
          <w:tcPr>
            <w:tcW w:w="2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19,278,606</w:t>
            </w:r>
          </w:p>
        </w:tc>
        <w:tc>
          <w:tcPr>
            <w:tcW w:w="2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-24765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-8255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5"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In connection with the Company’s IPO in April 2020, all outstanding shares of the convertible preferred stock converted into 19,278,606 shares of common stock and the related carrying value was reclassified to common stock and additional paid-in capital. There were no shares of convertible preferred stock outstanding as of the closing of the IPO.</w:t>
      </w:r>
    </w:p>
    <w:p>
      <w:pPr>
        <w:spacing w:after="0" w:line="286" w:lineRule="exact"/>
        <w:rPr>
          <w:sz w:val="20"/>
          <w:szCs w:val="20"/>
          <w:color w:val="auto"/>
        </w:rPr>
      </w:pPr>
    </w:p>
    <w:p>
      <w:pPr>
        <w:ind w:left="760" w:right="6820" w:hanging="752"/>
        <w:spacing w:after="0" w:line="362" w:lineRule="auto"/>
        <w:tabs>
          <w:tab w:leader="none" w:pos="19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Equity Incentive Plans and Stock-Based Compensation </w:t>
      </w:r>
      <w:r>
        <w:rPr>
          <w:rFonts w:ascii="Arial" w:cs="Arial" w:eastAsia="Arial" w:hAnsi="Arial"/>
          <w:sz w:val="18"/>
          <w:szCs w:val="18"/>
          <w:b w:val="1"/>
          <w:bCs w:val="1"/>
          <w:i w:val="1"/>
          <w:iCs w:val="1"/>
          <w:color w:val="auto"/>
        </w:rPr>
        <w:t>Equity Incentive Plans</w:t>
      </w:r>
    </w:p>
    <w:p>
      <w:pPr>
        <w:spacing w:after="0" w:line="1" w:lineRule="exact"/>
        <w:rPr>
          <w:sz w:val="20"/>
          <w:szCs w:val="20"/>
          <w:color w:val="auto"/>
        </w:rPr>
      </w:pPr>
    </w:p>
    <w:p>
      <w:pPr>
        <w:ind w:right="40" w:firstLine="749"/>
        <w:spacing w:after="0" w:line="262" w:lineRule="auto"/>
        <w:rPr>
          <w:sz w:val="20"/>
          <w:szCs w:val="20"/>
          <w:color w:val="auto"/>
        </w:rPr>
      </w:pPr>
      <w:r>
        <w:rPr>
          <w:rFonts w:ascii="Arial" w:cs="Arial" w:eastAsia="Arial" w:hAnsi="Arial"/>
          <w:sz w:val="17"/>
          <w:szCs w:val="17"/>
          <w:color w:val="auto"/>
        </w:rPr>
        <w:t>In February 2020, the Company’s Board of Directors adopted, and its stockholders approved, the 2020 Equity Incentive Plan (the 2020 Plan), which became effective in April 2020 in connection with the Company’s IPO. The 2020 Plan provides for the grants of stock options and other equity-based awards to employees, non-employee directors, and consultants of the Company. Upon adoption of the 2020 Plan, the Company restricted the grant of future equity awards under its 2014 Equity Incentive Plan, as amended and restated (the 2014 Plan).</w:t>
      </w:r>
    </w:p>
    <w:p>
      <w:pPr>
        <w:spacing w:after="0" w:line="17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Stock options granted under the 2020 Plan and the 2014 Plan become exercisable at various dates as determined by the Company’s Board of Directors or its authorized committee and will expire no more than ten years from their date of grant. Stock options generally vest over a four-year term. The exercise price of each option is determined by the Company’s Board of Directors, although generally options have an exercise price equal to the fair market value of the Company’s stock on the date of the option grant. In the case of incentive stock options,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at the date of grant and for a term not to exceed five years.</w:t>
      </w:r>
    </w:p>
    <w:p>
      <w:pPr>
        <w:spacing w:after="0" w:line="180"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As of December 31, 2021, there were 1,831,539 shares available for future issuance under the 2020 Plan. The 2020 Plan share reserve will be increased by the number of shares under the 2014 Plan that are repurchased, forfeited, expired or cancelled after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9" w:name="page120"/>
    <w:bookmarkEnd w:id="119"/>
    <w:p>
      <w:pPr>
        <w:ind w:right="100"/>
        <w:spacing w:after="0" w:line="262" w:lineRule="auto"/>
        <w:rPr>
          <w:sz w:val="20"/>
          <w:szCs w:val="20"/>
          <w:color w:val="auto"/>
        </w:rPr>
      </w:pPr>
      <w:r>
        <w:rPr>
          <w:rFonts w:ascii="Arial" w:cs="Arial" w:eastAsia="Arial" w:hAnsi="Arial"/>
          <w:sz w:val="17"/>
          <w:szCs w:val="17"/>
          <w:color w:val="auto"/>
        </w:rPr>
        <w:t>the effective date of the 2020 Plan up to the limit under the 2020 Plan. In addition, the number of shares of the Company’s common stock available for issuance under the 2020 Plan will automatically increase on the first day of each fiscal year, beginning with the Company’s 2021 fiscal year, in an amount equal to the lessor of (1) 2,656,500 shares, (2) 5% of the outstanding shares of the Company’s common stock on the last day of the immediately preceding fiscal year, or (3) such other amount as determined by the Company’s Board of Directors.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option activity for the year ended December 31, 2021:</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3,996,174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9.03</w:t>
            </w:r>
          </w:p>
        </w:tc>
        <w:tc>
          <w:tcPr>
            <w:tcW w:w="1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1,694,692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26.55</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(160,303 )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6.26</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Forfeited and cancelled</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(262,243 )</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21.02</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5,268,320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14.16</w:t>
            </w:r>
          </w:p>
        </w:tc>
        <w:tc>
          <w:tcPr>
            <w:tcW w:w="1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line="196" w:lineRule="exact"/>
              <w:rPr>
                <w:sz w:val="20"/>
                <w:szCs w:val="20"/>
                <w:color w:val="auto"/>
              </w:rPr>
            </w:pPr>
            <w:r>
              <w:rPr>
                <w:rFonts w:ascii="Arial" w:cs="Arial" w:eastAsia="Arial" w:hAnsi="Arial"/>
                <w:sz w:val="18"/>
                <w:szCs w:val="18"/>
                <w:color w:val="auto"/>
              </w:rPr>
              <w:t>Exercisable at December 31, 2021</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2,317,374</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-142240</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-142240</wp:posOffset>
            </wp:positionV>
            <wp:extent cx="5143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-142240</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The total intrinsic value of options exercised was $2.2 million, $2.7 million and $0.1 million for the years ended December 31, 2021, 2020 and 2019, respectively.</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In February 2020, the Company’s Board of Directors adopted, and its stockholders approved, the 2020 Employee Stock Purchase Plan (ESPP). The first offering period began in December 2021 and the first purchase under the ESPP will be in 2022. A total of 290,000 shares of common stock were reserved for future issuance under the ESPP. Further, the number of shares of common stock available for issuance under the ESPP will automatically increase on the first day of each fiscal year following the fiscal year in which the first offering period under the ESPP commences in an amount equal to the lessor of (1) 500,000 shares, (2) 1% of the outstanding shares of the Company’s common stock on the last day of the immediately preceding fiscal year, or</w:t>
      </w:r>
    </w:p>
    <w:p>
      <w:pPr>
        <w:spacing w:after="0" w:line="1" w:lineRule="exact"/>
        <w:rPr>
          <w:sz w:val="20"/>
          <w:szCs w:val="20"/>
          <w:color w:val="auto"/>
        </w:rPr>
      </w:pPr>
    </w:p>
    <w:p>
      <w:pPr>
        <w:ind w:right="60" w:firstLine="8"/>
        <w:spacing w:after="0" w:line="243"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amount as determined by the Company’s Board of Directors. As of December 31, 2021, no shares had been issued pursuant to the ESPP and the associated compensation expense was immaterial for the year ended December 31, 2021.</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Stock option awards and ESPP grants are valued using the Black-Scholes Merton option pricing model on the date of grant. This option pricing model involves a number of estimates, including the expected lives of the stock options, the Company’s anticipated stock volatility and interest rates. Stock-based compensation expense is recognized over the vesting period. Forfeitures are recognized as they occur.</w:t>
      </w:r>
    </w:p>
    <w:p>
      <w:pPr>
        <w:spacing w:after="0" w:line="16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fair value of stock option awards to employees, executives, directors, and other service providers was estimated at the date of grant using the Black-Scholes Merton option pricing model with the following assumptions.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3140" w:type="dxa"/>
            <w:vAlign w:val="bottom"/>
          </w:tcPr>
          <w:p>
            <w:pPr>
              <w:spacing w:after="0"/>
              <w:rPr>
                <w:sz w:val="15"/>
                <w:szCs w:val="15"/>
                <w:color w:val="auto"/>
              </w:rPr>
            </w:pPr>
          </w:p>
        </w:tc>
        <w:tc>
          <w:tcPr>
            <w:tcW w:w="14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94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12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5"/>
                <w:szCs w:val="15"/>
                <w:color w:val="auto"/>
              </w:rPr>
            </w:pPr>
          </w:p>
        </w:tc>
      </w:tr>
      <w:tr>
        <w:trPr>
          <w:trHeight w:val="196"/>
        </w:trPr>
        <w:tc>
          <w:tcPr>
            <w:tcW w:w="3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price</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$13.36</w:t>
            </w:r>
          </w:p>
        </w:tc>
        <w:tc>
          <w:tcPr>
            <w:tcW w:w="7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 $35.67</w:t>
            </w:r>
          </w:p>
        </w:tc>
        <w:tc>
          <w:tcPr>
            <w:tcW w:w="1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$16.00</w:t>
            </w:r>
          </w:p>
        </w:tc>
        <w:tc>
          <w:tcPr>
            <w:tcW w:w="8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$35.92</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w:t>
            </w:r>
          </w:p>
        </w:tc>
        <w:tc>
          <w:tcPr>
            <w:tcW w:w="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$9.16</w:t>
            </w:r>
          </w:p>
        </w:tc>
        <w:tc>
          <w:tcPr>
            <w:tcW w:w="60" w:type="dxa"/>
            <w:vAlign w:val="bottom"/>
            <w:shd w:val="clear" w:color="auto" w:fill="CFF0FC"/>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700" w:type="dxa"/>
            <w:vAlign w:val="bottom"/>
          </w:tcPr>
          <w:p>
            <w:pPr>
              <w:ind w:left="20"/>
              <w:spacing w:after="0" w:line="202" w:lineRule="exact"/>
              <w:rPr>
                <w:sz w:val="20"/>
                <w:szCs w:val="20"/>
                <w:color w:val="auto"/>
              </w:rPr>
            </w:pPr>
            <w:r>
              <w:rPr>
                <w:rFonts w:ascii="Arial" w:cs="Arial" w:eastAsia="Arial" w:hAnsi="Arial"/>
                <w:sz w:val="18"/>
                <w:szCs w:val="18"/>
                <w:color w:val="auto"/>
              </w:rPr>
              <w:t>- 1.34%</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3.17%</w:t>
            </w:r>
          </w:p>
        </w:tc>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- 5.59%</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620" w:type="dxa"/>
            <w:vAlign w:val="bottom"/>
          </w:tcPr>
          <w:p>
            <w:pPr>
              <w:ind w:left="20"/>
              <w:spacing w:after="0" w:line="202" w:lineRule="exact"/>
              <w:rPr>
                <w:sz w:val="20"/>
                <w:szCs w:val="20"/>
                <w:color w:val="auto"/>
              </w:rPr>
            </w:pPr>
            <w:r>
              <w:rPr>
                <w:rFonts w:ascii="Arial" w:cs="Arial" w:eastAsia="Arial" w:hAnsi="Arial"/>
                <w:sz w:val="18"/>
                <w:szCs w:val="18"/>
                <w:color w:val="auto"/>
              </w:rPr>
              <w:t>- 2.6%</w:t>
            </w:r>
          </w:p>
        </w:tc>
        <w:tc>
          <w:tcPr>
            <w:tcW w:w="60" w:type="dxa"/>
            <w:vAlign w:val="bottom"/>
          </w:tcPr>
          <w:p>
            <w:pPr>
              <w:spacing w:after="0"/>
              <w:rPr>
                <w:sz w:val="17"/>
                <w:szCs w:val="17"/>
                <w:color w:val="auto"/>
              </w:rPr>
            </w:pP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82.34%</w:t>
            </w:r>
          </w:p>
        </w:tc>
        <w:tc>
          <w:tcPr>
            <w:tcW w:w="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1"/>
              </w:rPr>
              <w:t>- 88.43%</w:t>
            </w: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88.01%</w:t>
            </w:r>
          </w:p>
        </w:tc>
        <w:tc>
          <w:tcPr>
            <w:tcW w:w="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- 95.11%</w:t>
            </w:r>
          </w:p>
        </w:tc>
        <w:tc>
          <w:tcPr>
            <w:tcW w:w="1240" w:type="dxa"/>
            <w:vAlign w:val="bottom"/>
            <w:gridSpan w:val="3"/>
            <w:shd w:val="clear" w:color="auto" w:fill="CFF0FC"/>
          </w:tcPr>
          <w:p>
            <w:pPr>
              <w:jc w:val="center"/>
              <w:ind w:left="15"/>
              <w:spacing w:after="0" w:line="202" w:lineRule="exact"/>
              <w:rPr>
                <w:sz w:val="20"/>
                <w:szCs w:val="20"/>
                <w:color w:val="auto"/>
              </w:rPr>
            </w:pPr>
            <w:r>
              <w:rPr>
                <w:rFonts w:ascii="Arial" w:cs="Arial" w:eastAsia="Arial" w:hAnsi="Arial"/>
                <w:sz w:val="18"/>
                <w:szCs w:val="18"/>
                <w:color w:val="auto"/>
                <w:w w:val="91"/>
              </w:rPr>
              <w:t>77% - 104%</w:t>
            </w:r>
          </w:p>
        </w:tc>
        <w:tc>
          <w:tcPr>
            <w:tcW w:w="60" w:type="dxa"/>
            <w:vAlign w:val="bottom"/>
            <w:shd w:val="clear" w:color="auto" w:fill="CFF0FC"/>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700" w:type="dxa"/>
            <w:vAlign w:val="bottom"/>
          </w:tcPr>
          <w:p>
            <w:pPr>
              <w:ind w:left="20"/>
              <w:spacing w:after="0" w:line="202" w:lineRule="exact"/>
              <w:rPr>
                <w:sz w:val="20"/>
                <w:szCs w:val="20"/>
                <w:color w:val="auto"/>
              </w:rPr>
            </w:pPr>
            <w:r>
              <w:rPr>
                <w:rFonts w:ascii="Arial" w:cs="Arial" w:eastAsia="Arial" w:hAnsi="Arial"/>
                <w:sz w:val="18"/>
                <w:szCs w:val="18"/>
                <w:color w:val="auto"/>
              </w:rPr>
              <w:t>- 6.08</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5.50</w:t>
            </w:r>
          </w:p>
        </w:tc>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- 6.08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6.10</w:t>
            </w:r>
          </w:p>
        </w:tc>
        <w:tc>
          <w:tcPr>
            <w:tcW w:w="60" w:type="dxa"/>
            <w:vAlign w:val="bottom"/>
          </w:tcPr>
          <w:p>
            <w:pPr>
              <w:spacing w:after="0"/>
              <w:rPr>
                <w:sz w:val="17"/>
                <w:szCs w:val="17"/>
                <w:color w:val="auto"/>
              </w:rPr>
            </w:pPr>
          </w:p>
        </w:tc>
      </w:tr>
      <w:tr>
        <w:trPr>
          <w:trHeight w:val="203"/>
        </w:trPr>
        <w:tc>
          <w:tcPr>
            <w:tcW w:w="3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dividend yield</w:t>
            </w:r>
          </w:p>
        </w:tc>
        <w:tc>
          <w:tcPr>
            <w:tcW w:w="1480" w:type="dxa"/>
            <w:vAlign w:val="bottom"/>
            <w:gridSpan w:val="2"/>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0%</w:t>
            </w:r>
          </w:p>
        </w:tc>
        <w:tc>
          <w:tcPr>
            <w:tcW w:w="1940" w:type="dxa"/>
            <w:vAlign w:val="bottom"/>
            <w:gridSpan w:val="4"/>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3"/>
            <w:shd w:val="clear" w:color="auto" w:fill="CFF0FC"/>
          </w:tcPr>
          <w:p>
            <w:pPr>
              <w:jc w:val="center"/>
              <w:ind w:left="35"/>
              <w:spacing w:after="0" w:line="202" w:lineRule="exact"/>
              <w:rPr>
                <w:sz w:val="20"/>
                <w:szCs w:val="20"/>
                <w:color w:val="auto"/>
              </w:rPr>
            </w:pPr>
            <w:r>
              <w:rPr>
                <w:rFonts w:ascii="Arial" w:cs="Arial" w:eastAsia="Arial" w:hAnsi="Arial"/>
                <w:sz w:val="18"/>
                <w:szCs w:val="18"/>
                <w:color w:val="auto"/>
                <w:w w:val="92"/>
              </w:rPr>
              <w:t>0%</w:t>
            </w:r>
          </w:p>
        </w:tc>
        <w:tc>
          <w:tcPr>
            <w:tcW w:w="6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The weighted-average grant-date fair value of options granted was $19.21, $12.99 and $5.01 for the years ended December 31, 2021, 2020 and 2019, respectively.</w:t>
      </w:r>
    </w:p>
    <w:p>
      <w:pPr>
        <w:spacing w:after="0" w:line="171"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The total unrecognized compensation expense related to outstanding unvested stock-based awards as of December 31, 2021, was $36.4 million, which is expected to be recognized over a weighted-average remaining service period of 2.54 years.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0" w:name="page121"/>
    <w:bookmarkEnd w:id="120"/>
    <w:p>
      <w:pPr>
        <w:ind w:firstLine="749"/>
        <w:spacing w:after="0" w:line="261"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stock options for the periods presented (in thousands):</w:t>
      </w:r>
    </w:p>
    <w:p>
      <w:pPr>
        <w:spacing w:after="0" w:line="162" w:lineRule="exact"/>
        <w:rPr>
          <w:sz w:val="20"/>
          <w:szCs w:val="20"/>
          <w:color w:val="auto"/>
        </w:rPr>
      </w:pPr>
    </w:p>
    <w:tbl>
      <w:tblPr>
        <w:tblLayout w:type="fixed"/>
        <w:tblInd w:w="164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w:t>
            </w:r>
          </w:p>
        </w:tc>
        <w:tc>
          <w:tcPr>
            <w:tcW w:w="40" w:type="dxa"/>
            <w:vAlign w:val="bottom"/>
            <w:shd w:val="clear" w:color="auto" w:fill="CFF0FC"/>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w:t>
            </w:r>
          </w:p>
        </w:tc>
        <w:tc>
          <w:tcPr>
            <w:tcW w:w="40" w:type="dxa"/>
            <w:vAlign w:val="bottom"/>
          </w:tcPr>
          <w:p>
            <w:pPr>
              <w:spacing w:after="0"/>
              <w:rPr>
                <w:sz w:val="17"/>
                <w:szCs w:val="17"/>
                <w:color w:val="auto"/>
              </w:rPr>
            </w:pPr>
          </w:p>
        </w:tc>
      </w:tr>
      <w:tr>
        <w:trPr>
          <w:trHeight w:val="236"/>
        </w:trPr>
        <w:tc>
          <w:tcPr>
            <w:tcW w:w="45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12,853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1,094</w:t>
            </w:r>
          </w:p>
        </w:tc>
        <w:tc>
          <w:tcPr>
            <w:tcW w:w="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342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342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342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08"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color w:val="auto"/>
        </w:rPr>
        <w:t>Significant components of the Company’s provision for income taxes and income taxes computed using the U.S. federal statutory corporate tax rate were as follows (in thousands):</w:t>
      </w:r>
    </w:p>
    <w:tbl>
      <w:tblPr>
        <w:tblLayout w:type="fixed"/>
        <w:tblInd w:w="76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w w:val="94"/>
              </w:rPr>
              <w:t>For the Year Ended December 31,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r>
      <w:tr>
        <w:trPr>
          <w:trHeight w:val="196"/>
        </w:trPr>
        <w:tc>
          <w:tcPr>
            <w:tcW w:w="380" w:type="dxa"/>
            <w:vAlign w:val="bottom"/>
          </w:tcPr>
          <w:p>
            <w:pPr>
              <w:spacing w:after="0"/>
              <w:rPr>
                <w:sz w:val="17"/>
                <w:szCs w:val="17"/>
                <w:color w:val="auto"/>
              </w:rPr>
            </w:pPr>
          </w:p>
        </w:tc>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Statutory rate</w:t>
            </w:r>
          </w:p>
        </w:tc>
        <w:tc>
          <w:tcPr>
            <w:tcW w:w="940" w:type="dxa"/>
            <w:vAlign w:val="bottom"/>
            <w:shd w:val="clear" w:color="auto" w:fill="CFF0FC"/>
          </w:tcPr>
          <w:p>
            <w:pPr>
              <w:jc w:val="right"/>
              <w:ind w:right="755"/>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(16,530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(15,478</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(5,647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8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State tax</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(5,383 )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0"/>
              </w:rPr>
              <w:t>(5,158 )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(2,351 )</w:t>
            </w:r>
          </w:p>
        </w:tc>
      </w:tr>
      <w:tr>
        <w:trPr>
          <w:trHeight w:val="203"/>
        </w:trPr>
        <w:tc>
          <w:tcPr>
            <w:tcW w:w="380" w:type="dxa"/>
            <w:vAlign w:val="bottom"/>
          </w:tcPr>
          <w:p>
            <w:pPr>
              <w:spacing w:after="0"/>
              <w:rPr>
                <w:sz w:val="17"/>
                <w:szCs w:val="17"/>
                <w:color w:val="auto"/>
              </w:rPr>
            </w:pPr>
          </w:p>
        </w:tc>
        <w:tc>
          <w:tcPr>
            <w:tcW w:w="3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permanent items</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70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(280 )</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Federal return to provision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380" w:type="dxa"/>
            <w:vAlign w:val="bottom"/>
          </w:tcPr>
          <w:p>
            <w:pPr>
              <w:spacing w:after="0"/>
              <w:rPr>
                <w:sz w:val="17"/>
                <w:szCs w:val="17"/>
                <w:color w:val="auto"/>
              </w:rPr>
            </w:pPr>
          </w:p>
        </w:tc>
        <w:tc>
          <w:tcPr>
            <w:tcW w:w="3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(4,539 )</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(692 )</w:t>
            </w:r>
          </w:p>
        </w:tc>
      </w:tr>
      <w:tr>
        <w:trPr>
          <w:trHeight w:val="229"/>
        </w:trPr>
        <w:tc>
          <w:tcPr>
            <w:tcW w:w="3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20,916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38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Arial" w:cs="Arial" w:eastAsia="Arial" w:hAnsi="Arial"/>
                <w:sz w:val="18"/>
                <w:szCs w:val="18"/>
                <w:color w:val="auto"/>
              </w:rPr>
              <w:t>Provisions for income taxes</w:t>
            </w:r>
          </w:p>
        </w:tc>
        <w:tc>
          <w:tcPr>
            <w:tcW w:w="940" w:type="dxa"/>
            <w:vAlign w:val="bottom"/>
            <w:tcBorders>
              <w:bottom w:val="single" w:sz="8" w:color="auto"/>
            </w:tcBorders>
          </w:tcPr>
          <w:p>
            <w:pPr>
              <w:jc w:val="right"/>
              <w:ind w:right="755"/>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416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6440" w:type="dxa"/>
            <w:vAlign w:val="bottom"/>
            <w:gridSpan w:val="8"/>
          </w:tcPr>
          <w:p>
            <w:pPr>
              <w:jc w:val="right"/>
              <w:spacing w:after="0"/>
              <w:rPr>
                <w:sz w:val="20"/>
                <w:szCs w:val="20"/>
                <w:color w:val="auto"/>
              </w:rPr>
            </w:pPr>
            <w:r>
              <w:rPr>
                <w:rFonts w:ascii="Arial" w:cs="Arial" w:eastAsia="Arial" w:hAnsi="Arial"/>
                <w:sz w:val="18"/>
                <w:szCs w:val="18"/>
                <w:color w:val="auto"/>
                <w:w w:val="90"/>
              </w:rPr>
              <w:t>Significant components of the Company’s deferred taxes were as follows (in thousands):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3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3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96"/>
        </w:trPr>
        <w:tc>
          <w:tcPr>
            <w:tcW w:w="380" w:type="dxa"/>
            <w:vAlign w:val="bottom"/>
          </w:tcPr>
          <w:p>
            <w:pPr>
              <w:spacing w:after="0"/>
              <w:rPr>
                <w:sz w:val="17"/>
                <w:szCs w:val="17"/>
                <w:color w:val="auto"/>
              </w:rPr>
            </w:pPr>
          </w:p>
        </w:tc>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780" w:type="dxa"/>
            <w:vAlign w:val="bottom"/>
          </w:tcPr>
          <w:p>
            <w:pPr>
              <w:ind w:left="100"/>
              <w:spacing w:after="0" w:line="202" w:lineRule="exact"/>
              <w:rPr>
                <w:sz w:val="20"/>
                <w:szCs w:val="20"/>
                <w:color w:val="auto"/>
              </w:rPr>
            </w:pPr>
            <w:r>
              <w:rPr>
                <w:rFonts w:ascii="Arial" w:cs="Arial" w:eastAsia="Arial" w:hAnsi="Arial"/>
                <w:sz w:val="18"/>
                <w:szCs w:val="18"/>
                <w:color w:val="auto"/>
              </w:rPr>
              <w:t>Net operating loss carryforward</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55,488</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36,740</w:t>
            </w:r>
          </w:p>
        </w:tc>
        <w:tc>
          <w:tcPr>
            <w:tcW w:w="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7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7,706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3,319</w:t>
            </w:r>
          </w:p>
        </w:tc>
        <w:tc>
          <w:tcPr>
            <w:tcW w:w="100" w:type="dxa"/>
            <w:vAlign w:val="bottom"/>
            <w:shd w:val="clear" w:color="auto" w:fill="CFF0FC"/>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780" w:type="dxa"/>
            <w:vAlign w:val="bottom"/>
          </w:tcPr>
          <w:p>
            <w:pPr>
              <w:ind w:left="100"/>
              <w:spacing w:after="0" w:line="202" w:lineRule="exact"/>
              <w:rPr>
                <w:sz w:val="20"/>
                <w:szCs w:val="20"/>
                <w:color w:val="auto"/>
              </w:rPr>
            </w:pPr>
            <w:r>
              <w:rPr>
                <w:rFonts w:ascii="Arial" w:cs="Arial" w:eastAsia="Arial" w:hAnsi="Arial"/>
                <w:sz w:val="18"/>
                <w:szCs w:val="18"/>
                <w:color w:val="auto"/>
              </w:rPr>
              <w:t>Deferred rent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r>
      <w:tr>
        <w:trPr>
          <w:trHeight w:val="230"/>
        </w:trPr>
        <w:tc>
          <w:tcPr>
            <w:tcW w:w="380" w:type="dxa"/>
            <w:vAlign w:val="bottom"/>
          </w:tcPr>
          <w:p>
            <w:pPr>
              <w:spacing w:after="0"/>
              <w:rPr>
                <w:sz w:val="19"/>
                <w:szCs w:val="19"/>
                <w:color w:val="auto"/>
              </w:rPr>
            </w:pPr>
          </w:p>
        </w:tc>
        <w:tc>
          <w:tcPr>
            <w:tcW w:w="3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Accruals and other</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Intangible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3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Lease liability</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80" w:type="dxa"/>
            <w:vAlign w:val="bottom"/>
          </w:tcPr>
          <w:p>
            <w:pPr>
              <w:spacing w:after="0"/>
              <w:rPr>
                <w:sz w:val="19"/>
                <w:szCs w:val="19"/>
                <w:color w:val="auto"/>
              </w:rPr>
            </w:pPr>
          </w:p>
        </w:tc>
        <w:tc>
          <w:tcPr>
            <w:tcW w:w="37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Gross deferred tax assets</w:t>
            </w:r>
          </w:p>
        </w:tc>
        <w:tc>
          <w:tcPr>
            <w:tcW w:w="9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78,230</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49,745</w:t>
            </w:r>
          </w:p>
        </w:tc>
        <w:tc>
          <w:tcPr>
            <w:tcW w:w="100" w:type="dxa"/>
            <w:vAlign w:val="bottom"/>
            <w:tcBorders>
              <w:top w:val="single" w:sz="8" w:color="CFF0FC"/>
            </w:tcBorders>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valuation allowance</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4"/>
              </w:rPr>
              <w:t>(74,816 )</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(49,507 )</w:t>
            </w:r>
          </w:p>
        </w:tc>
      </w:tr>
      <w:tr>
        <w:trPr>
          <w:trHeight w:val="210"/>
        </w:trPr>
        <w:tc>
          <w:tcPr>
            <w:tcW w:w="380" w:type="dxa"/>
            <w:vAlign w:val="bottom"/>
          </w:tcPr>
          <w:p>
            <w:pPr>
              <w:spacing w:after="0"/>
              <w:rPr>
                <w:sz w:val="18"/>
                <w:szCs w:val="18"/>
                <w:color w:val="auto"/>
              </w:rPr>
            </w:pPr>
          </w:p>
        </w:tc>
        <w:tc>
          <w:tcPr>
            <w:tcW w:w="37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FF0FC"/>
            </w:tcBorders>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Fixed assets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(114 )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(238 )</w:t>
            </w:r>
          </w:p>
        </w:tc>
      </w:tr>
      <w:tr>
        <w:trPr>
          <w:trHeight w:val="216"/>
        </w:trPr>
        <w:tc>
          <w:tcPr>
            <w:tcW w:w="380" w:type="dxa"/>
            <w:vAlign w:val="bottom"/>
          </w:tcPr>
          <w:p>
            <w:pPr>
              <w:spacing w:after="0"/>
              <w:rPr>
                <w:sz w:val="18"/>
                <w:szCs w:val="18"/>
                <w:color w:val="auto"/>
              </w:rPr>
            </w:pPr>
          </w:p>
        </w:tc>
        <w:tc>
          <w:tcPr>
            <w:tcW w:w="3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Right of use assets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(3,300 )</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38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(3,414 )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(238 )</w:t>
            </w:r>
          </w:p>
        </w:tc>
      </w:tr>
      <w:tr>
        <w:trPr>
          <w:trHeight w:val="236"/>
        </w:trPr>
        <w:tc>
          <w:tcPr>
            <w:tcW w:w="380" w:type="dxa"/>
            <w:vAlign w:val="bottom"/>
          </w:tcPr>
          <w:p>
            <w:pPr>
              <w:spacing w:after="0"/>
              <w:rPr>
                <w:sz w:val="20"/>
                <w:szCs w:val="20"/>
                <w:color w:val="auto"/>
              </w:rPr>
            </w:pPr>
          </w:p>
        </w:tc>
        <w:tc>
          <w:tcPr>
            <w:tcW w:w="378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Deferred income taxes, net</w:t>
            </w: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-3168015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-3168015</wp:posOffset>
            </wp:positionV>
            <wp:extent cx="6032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-3168015</wp:posOffset>
            </wp:positionV>
            <wp:extent cx="5969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-1325245</wp:posOffset>
            </wp:positionV>
            <wp:extent cx="6032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-1325245</wp:posOffset>
            </wp:positionV>
            <wp:extent cx="5969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-1033780</wp:posOffset>
            </wp:positionV>
            <wp:extent cx="6032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-1033780</wp:posOffset>
            </wp:positionV>
            <wp:extent cx="5969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-304800</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-304800</wp:posOffset>
            </wp:positionV>
            <wp:extent cx="596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3"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auto"/>
        </w:rPr>
        <w:t>A valuation allowance of $74.8 million at December 31, 2021, has been recognized to offset the net deferred tax assets as realization of such assets is uncertain. The valuation allowance increased by $25.3 million during the year ended December 31, 2021.</w:t>
      </w:r>
    </w:p>
    <w:p>
      <w:pPr>
        <w:spacing w:after="0" w:line="171"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As of December 31, 2021, the Company had available net operating loss (NOL) carryforwards of $198.2 million. Of the $198.2 million of NOL carryforwards, $41.6 million begin to expire in 2034 and $156.6 million do not expire. The Company also has available California NOL carryforwards of approximately $197.3 million as of December 31, 2021, which begin to expire in 2034. In addition, the Company has federal and California research and development (R&amp;D) credit carryforwards totaling $6.1 million and $3.9 million, respectively. The federal credits begin to expire in 2034 unless previously utilized, while the state credits do not expire.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1" w:name="page122"/>
    <w:bookmarkEnd w:id="121"/>
    <w:p>
      <w:pPr>
        <w:ind w:right="140" w:firstLine="749"/>
        <w:spacing w:after="0" w:line="262" w:lineRule="auto"/>
        <w:rPr>
          <w:sz w:val="20"/>
          <w:szCs w:val="20"/>
          <w:color w:val="auto"/>
        </w:rPr>
      </w:pPr>
      <w:r>
        <w:rPr>
          <w:rFonts w:ascii="Arial" w:cs="Arial" w:eastAsia="Arial" w:hAnsi="Arial"/>
          <w:sz w:val="17"/>
          <w:szCs w:val="17"/>
          <w:color w:val="auto"/>
        </w:rPr>
        <w:t>Pursuant to Sections 382 and 383 of the Internal Revenue Code (IRC), annual use of the Company’s NOL and credit carryforwards may be limited in the event a cumulative change in ownership of more than 50% occurs within a three-year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w:t>
      </w:r>
    </w:p>
    <w:p>
      <w:pPr>
        <w:spacing w:after="0" w:line="17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R&amp;D credit carryforwards before utilization. The Company has not completed an analysis to determine if such an ownership change has occurred.</w:t>
      </w:r>
    </w:p>
    <w:p>
      <w:pPr>
        <w:spacing w:after="0" w:line="189"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The Company recognizes liabilities for uncertain tax positions based in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59"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As of December 31, 2021, the Company had gross unrecognized tax benefits of $1.6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its balance sheets at December 31, 2021 and has not recognized interest and/or penalties in its statement of operations for the year ended December 31, 2021.</w:t>
      </w:r>
    </w:p>
    <w:p>
      <w:pPr>
        <w:spacing w:after="0" w:line="189" w:lineRule="exact"/>
        <w:rPr>
          <w:sz w:val="20"/>
          <w:szCs w:val="20"/>
          <w:color w:val="auto"/>
        </w:rPr>
      </w:pPr>
    </w:p>
    <w:p>
      <w:pPr>
        <w:ind w:right="720" w:firstLine="749"/>
        <w:spacing w:after="0" w:line="291" w:lineRule="auto"/>
        <w:rPr>
          <w:sz w:val="20"/>
          <w:szCs w:val="20"/>
          <w:color w:val="auto"/>
        </w:rPr>
      </w:pPr>
      <w:r>
        <w:rPr>
          <w:rFonts w:ascii="Arial" w:cs="Arial" w:eastAsia="Arial" w:hAnsi="Arial"/>
          <w:sz w:val="17"/>
          <w:szCs w:val="17"/>
          <w:color w:val="auto"/>
        </w:rPr>
        <w:t>The Company is subject to taxation in the United States and California. The Company is not currently under examination by any taxing authorities. Due to the carryover of tax attributes, the statute of limitations is currently open for tax years since inception.</w:t>
      </w:r>
    </w:p>
    <w:p>
      <w:pPr>
        <w:spacing w:after="0" w:line="251" w:lineRule="exact"/>
        <w:rPr>
          <w:sz w:val="20"/>
          <w:szCs w:val="20"/>
          <w:color w:val="auto"/>
        </w:rPr>
      </w:pPr>
    </w:p>
    <w:p>
      <w:pPr>
        <w:ind w:left="760" w:right="8420" w:hanging="752"/>
        <w:spacing w:after="0" w:line="407" w:lineRule="auto"/>
        <w:tabs>
          <w:tab w:leader="none" w:pos="271"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The Company has operating leases for office and lab space in South San Francisco, California and office space in San Diego, California. In August 2021, the Company entered into a lease amendment for the South San Francisco facility that extended the lease term until May 2028. The lease amendment includes the option to extend the lease for one additional year. In October 2021, the Company entered into a lease amendment for the current San Diego facility that extended the lease expiration from December 2021 to February 2022. Additionally, in September 2021, the Company entered into a lease agreement for a new San Diego facility with a term of 36 months that is expected to commence in the second quarter of 2022.</w:t>
      </w:r>
    </w:p>
    <w:p>
      <w:pPr>
        <w:spacing w:after="0" w:line="51" w:lineRule="exact"/>
        <w:rPr>
          <w:sz w:val="20"/>
          <w:szCs w:val="20"/>
          <w:color w:val="auto"/>
        </w:rPr>
      </w:pPr>
    </w:p>
    <w:p>
      <w:pPr>
        <w:ind w:right="300" w:firstLine="749"/>
        <w:spacing w:after="0" w:line="248" w:lineRule="auto"/>
        <w:rPr>
          <w:sz w:val="20"/>
          <w:szCs w:val="20"/>
          <w:color w:val="auto"/>
        </w:rPr>
      </w:pPr>
      <w:r>
        <w:rPr>
          <w:rFonts w:ascii="Arial" w:cs="Arial" w:eastAsia="Arial" w:hAnsi="Arial"/>
          <w:sz w:val="18"/>
          <w:szCs w:val="18"/>
          <w:color w:val="auto"/>
        </w:rPr>
        <w:t>The right-of-use assets were $11.8 million as of December 31, 2021 and are recorded on the balance sheet in other assets. Lease liabilities are recorded in accrued liabilities and other long-term liabilities on the balance sheet and as of December 31, 2021, were $1.9 million and $10.5 million, respectively.</w:t>
      </w:r>
    </w:p>
    <w:p>
      <w:pPr>
        <w:spacing w:after="0" w:line="74" w:lineRule="exact"/>
        <w:rPr>
          <w:sz w:val="20"/>
          <w:szCs w:val="20"/>
          <w:color w:val="auto"/>
        </w:rPr>
      </w:pPr>
    </w:p>
    <w:p>
      <w:pPr>
        <w:jc w:val="both"/>
        <w:ind w:right="100" w:firstLine="749"/>
        <w:spacing w:after="0" w:line="248" w:lineRule="auto"/>
        <w:rPr>
          <w:sz w:val="20"/>
          <w:szCs w:val="20"/>
          <w:color w:val="auto"/>
        </w:rPr>
      </w:pPr>
      <w:r>
        <w:rPr>
          <w:rFonts w:ascii="Arial" w:cs="Arial" w:eastAsia="Arial" w:hAnsi="Arial"/>
          <w:sz w:val="18"/>
          <w:szCs w:val="18"/>
          <w:color w:val="auto"/>
        </w:rPr>
        <w:t>Operating lease costs for the year ended December 31, 2021, were $1.8 million. Cash paid for operating leases for the year ended December 31, 2021, was $1.9 million. The weighted average discount rate used was 8.2% and the weighted-average remaining lease term for all operating leases was 6.4 years.</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lease payments of operating lease liabilities as of December 31, 2021,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7"/>
              </w:rPr>
              <w:t>Operating Leases</w:t>
            </w:r>
          </w:p>
        </w:tc>
        <w:tc>
          <w:tcPr>
            <w:tcW w:w="112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3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2,001</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2,415</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2,499</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2,677</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3,820</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minimum lease payments</w:t>
            </w:r>
          </w:p>
        </w:tc>
        <w:tc>
          <w:tcPr>
            <w:tcW w:w="3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15,999</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3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3,558</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3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12,441</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80" w:type="dxa"/>
            <w:vAlign w:val="bottom"/>
          </w:tcPr>
          <w:p>
            <w:pPr>
              <w:jc w:val="right"/>
              <w:ind w:right="197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-496570</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-479425</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ind w:left="760"/>
        <w:spacing w:after="0"/>
        <w:rPr>
          <w:sz w:val="20"/>
          <w:szCs w:val="20"/>
          <w:color w:val="auto"/>
        </w:rPr>
      </w:pPr>
      <w:r>
        <w:rPr>
          <w:rFonts w:ascii="Arial" w:cs="Arial" w:eastAsia="Arial" w:hAnsi="Arial"/>
          <w:sz w:val="16"/>
          <w:szCs w:val="16"/>
          <w:color w:val="auto"/>
        </w:rPr>
        <w:t>Under ASC 840, future minimum lease payments for non-cancelable operating leases as of December 31, 2020, were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ind w:left="4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72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1,942</w:t>
            </w:r>
          </w:p>
        </w:tc>
        <w:tc>
          <w:tcPr>
            <w:tcW w:w="60" w:type="dxa"/>
            <w:vAlign w:val="bottom"/>
            <w:tcBorders>
              <w:top w:val="single" w:sz="8" w:color="CFF0FC"/>
            </w:tcBorders>
          </w:tcPr>
          <w:p>
            <w:pPr>
              <w:spacing w:after="0"/>
              <w:rPr>
                <w:sz w:val="17"/>
                <w:szCs w:val="17"/>
                <w:color w:val="auto"/>
              </w:rPr>
            </w:pPr>
          </w:p>
        </w:tc>
      </w:tr>
      <w:tr>
        <w:trPr>
          <w:trHeight w:val="203"/>
        </w:trPr>
        <w:tc>
          <w:tcPr>
            <w:tcW w:w="7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200" w:type="dxa"/>
            <w:vAlign w:val="bottom"/>
          </w:tcPr>
          <w:p>
            <w:pPr>
              <w:spacing w:after="0" w:line="182" w:lineRule="exact"/>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2,628</w:t>
            </w:r>
          </w:p>
        </w:tc>
        <w:tc>
          <w:tcPr>
            <w:tcW w:w="6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-424815</wp:posOffset>
            </wp:positionV>
            <wp:extent cx="431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Rent expense was $1.4 million and $1.3 million for the years ended December 31, 2020 and 2019, respectively.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threatened litigation or litigation pending that could have, individually or in the aggregate, a material adverse effect on the Company’s financial position, results of operations or cash flows.</w:t>
      </w:r>
    </w:p>
    <w:p>
      <w:pPr>
        <w:spacing w:after="0" w:line="286"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w:t>
      </w:r>
    </w:p>
    <w:p>
      <w:pPr>
        <w:spacing w:after="0" w:line="10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Company has a defined-contribution 401(k) plan for employees. Employees are eligible to participate in the plan beginning on the first day of the month following date of hire. Under the terms of the plan, employees may make voluntary contributions as a percentage of compensation. The Company matches employee contributions as permitted by the plan and may make an additional discretionary match as determined by the Company's board of directors. The Company's total cost related to the 401(k) plan was $0.5 million for the year ended December 31, 2021. There were no employer contributions to the plan during the years ended December 31, 2020 and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Evaluation of Disclosure Controls and Procedures</w:t>
      </w:r>
    </w:p>
    <w:p>
      <w:pPr>
        <w:spacing w:after="0" w:line="104"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December 31, 2021,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2021.</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Management’s Report on Internal Control Over Financial Reporting</w:t>
      </w:r>
    </w:p>
    <w:p>
      <w:pPr>
        <w:spacing w:after="0" w:line="104"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2021.</w:t>
      </w:r>
    </w:p>
    <w:p>
      <w:pPr>
        <w:spacing w:after="0" w:line="66"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Changes in Internal Control over Financial Reporting</w:t>
      </w:r>
    </w:p>
    <w:p>
      <w:pPr>
        <w:spacing w:after="0" w:line="117"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2021, that has materially affected, or is reasonably likely to materially affect, our internal control over financial reporting.</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Inherent Limitations on Effectiveness of Controls</w:t>
      </w:r>
    </w:p>
    <w:p>
      <w:pPr>
        <w:spacing w:after="0" w:line="104"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124" w:name="page125"/>
    <w:bookmarkEnd w:id="124"/>
    <w:p>
      <w:pPr>
        <w:ind w:left="5260"/>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03"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2021,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03"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2021,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03"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2021,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03"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2021,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independent registered public accounting firm is KPMG LLP, San Diego, CA, Auditor Firm ID:185.</w:t>
      </w:r>
    </w:p>
    <w:p>
      <w:pPr>
        <w:spacing w:after="0" w:line="104"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2021, and is incorporated herein by reference.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25" w:name="page126"/>
    <w:bookmarkEnd w:id="125"/>
    <w:p>
      <w:pPr>
        <w:ind w:left="5500"/>
        <w:spacing w:after="0"/>
        <w:rPr>
          <w:sz w:val="20"/>
          <w:szCs w:val="20"/>
          <w:color w:val="auto"/>
        </w:rPr>
      </w:pPr>
      <w:r>
        <w:rPr>
          <w:rFonts w:ascii="Arial" w:cs="Arial" w:eastAsia="Arial" w:hAnsi="Arial"/>
          <w:sz w:val="18"/>
          <w:szCs w:val="18"/>
          <w:b w:val="1"/>
          <w:bCs w:val="1"/>
          <w:color w:val="auto"/>
        </w:rPr>
        <w:t>PART IV</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44" w:lineRule="exact"/>
        <w:rPr>
          <w:sz w:val="20"/>
          <w:szCs w:val="20"/>
          <w:color w:val="auto"/>
        </w:rPr>
      </w:pPr>
    </w:p>
    <w:p>
      <w:pPr>
        <w:ind w:left="1160" w:hanging="403"/>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1"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The financial statements of ORIC Pharmaceuticals, Inc. are filed as part of this report on Form 10-K under Item 8. Financial Statements and Supplementary Data.</w:t>
      </w:r>
    </w:p>
    <w:p>
      <w:pPr>
        <w:spacing w:after="0" w:line="103"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144"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All other schedules have been omitted because they are not required, not inapplicable, or the required information is included in the financial statements or notes thereto.</w:t>
      </w:r>
    </w:p>
    <w:p>
      <w:pPr>
        <w:spacing w:after="0" w:line="90"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44"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documents listed in the Exhibit Index are incorporated by reference or are filed with this report, in each case as indicated herein (numbered in accordance with Item 601 of Regulation S-K).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8"/>
              </w:rPr>
              <w:t>Incorporated by Reference</w:t>
            </w: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20"/>
          </w:tcPr>
          <w:p>
            <w:pPr>
              <w:ind w:left="1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1420" w:type="dxa"/>
            <w:vAlign w:val="bottom"/>
          </w:tcPr>
          <w:p>
            <w:pPr>
              <w:ind w:left="460"/>
              <w:spacing w:after="0"/>
              <w:rPr>
                <w:sz w:val="20"/>
                <w:szCs w:val="20"/>
                <w:color w:val="auto"/>
              </w:rPr>
            </w:pPr>
            <w:r>
              <w:rPr>
                <w:rFonts w:ascii="Arial" w:cs="Arial" w:eastAsia="Arial" w:hAnsi="Arial"/>
                <w:sz w:val="14"/>
                <w:szCs w:val="14"/>
                <w:b w:val="1"/>
                <w:bCs w:val="1"/>
                <w:color w:val="auto"/>
              </w:rPr>
              <w:t>File No.</w:t>
            </w:r>
          </w:p>
        </w:tc>
        <w:tc>
          <w:tcPr>
            <w:tcW w:w="2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9"/>
        </w:trPr>
        <w:tc>
          <w:tcPr>
            <w:tcW w:w="9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w:t>
            </w:r>
          </w:p>
        </w:tc>
        <w:tc>
          <w:tcPr>
            <w:tcW w:w="260" w:type="dxa"/>
            <w:vAlign w:val="bottom"/>
          </w:tcPr>
          <w:p>
            <w:pPr>
              <w:spacing w:after="0"/>
              <w:rPr>
                <w:sz w:val="18"/>
                <w:szCs w:val="18"/>
                <w:color w:val="auto"/>
              </w:rPr>
            </w:pPr>
          </w:p>
        </w:tc>
        <w:tc>
          <w:tcPr>
            <w:tcW w:w="2220" w:type="dxa"/>
            <w:vAlign w:val="bottom"/>
            <w:tcBorders>
              <w:top w:val="single" w:sz="8" w:color="auto"/>
              <w:bottom w:val="single" w:sz="8" w:color="auto"/>
            </w:tcBorders>
            <w:gridSpan w:val="10"/>
            <w:vMerge w:val="restart"/>
          </w:tcPr>
          <w:p>
            <w:pPr>
              <w:spacing w:after="0"/>
              <w:rPr>
                <w:rFonts w:ascii="Arial" w:cs="Arial" w:eastAsia="Arial" w:hAnsi="Arial"/>
                <w:sz w:val="18"/>
                <w:szCs w:val="18"/>
                <w:color w:val="0563C1"/>
                <w:w w:val="89"/>
              </w:rPr>
            </w:pPr>
            <w:hyperlink r:id="rId350">
              <w:r>
                <w:rPr>
                  <w:rFonts w:ascii="Arial" w:cs="Arial" w:eastAsia="Arial" w:hAnsi="Arial"/>
                  <w:sz w:val="18"/>
                  <w:szCs w:val="18"/>
                  <w:color w:val="0563C1"/>
                  <w:w w:val="89"/>
                </w:rPr>
                <w:t>Open Market Sales Agreement</w:t>
              </w:r>
            </w:hyperlink>
          </w:p>
        </w:tc>
        <w:tc>
          <w:tcPr>
            <w:tcW w:w="180" w:type="dxa"/>
            <w:vAlign w:val="bottom"/>
            <w:tcBorders>
              <w:top w:val="single" w:sz="8" w:color="auto"/>
              <w:bottom w:val="single" w:sz="8" w:color="0563C1"/>
            </w:tcBorders>
            <w:gridSpan w:val="2"/>
          </w:tcPr>
          <w:p>
            <w:pPr>
              <w:spacing w:after="0"/>
              <w:rPr>
                <w:rFonts w:ascii="Arial" w:cs="Arial" w:eastAsia="Arial" w:hAnsi="Arial"/>
                <w:sz w:val="12"/>
                <w:szCs w:val="12"/>
                <w:color w:val="0563C1"/>
                <w:w w:val="88"/>
              </w:rPr>
            </w:pPr>
            <w:hyperlink r:id="rId350">
              <w:r>
                <w:rPr>
                  <w:rFonts w:ascii="Arial" w:cs="Arial" w:eastAsia="Arial" w:hAnsi="Arial"/>
                  <w:sz w:val="12"/>
                  <w:szCs w:val="12"/>
                  <w:color w:val="0563C1"/>
                  <w:w w:val="88"/>
                </w:rPr>
                <w:t>SM</w:t>
              </w:r>
            </w:hyperlink>
          </w:p>
        </w:tc>
        <w:tc>
          <w:tcPr>
            <w:tcW w:w="1480" w:type="dxa"/>
            <w:vAlign w:val="bottom"/>
            <w:tcBorders>
              <w:top w:val="single" w:sz="8" w:color="auto"/>
              <w:bottom w:val="single" w:sz="8" w:color="auto"/>
            </w:tcBorders>
            <w:gridSpan w:val="7"/>
            <w:vMerge w:val="restart"/>
          </w:tcPr>
          <w:p>
            <w:pPr>
              <w:ind w:left="40"/>
              <w:spacing w:after="0"/>
              <w:rPr>
                <w:rFonts w:ascii="Arial" w:cs="Arial" w:eastAsia="Arial" w:hAnsi="Arial"/>
                <w:sz w:val="18"/>
                <w:szCs w:val="18"/>
                <w:color w:val="0563C1"/>
                <w:w w:val="90"/>
              </w:rPr>
            </w:pPr>
            <w:hyperlink r:id="rId350">
              <w:r>
                <w:rPr>
                  <w:rFonts w:ascii="Arial" w:cs="Arial" w:eastAsia="Arial" w:hAnsi="Arial"/>
                  <w:sz w:val="18"/>
                  <w:szCs w:val="18"/>
                  <w:color w:val="0563C1"/>
                  <w:w w:val="90"/>
                </w:rPr>
                <w:t>by and between the</w:t>
              </w:r>
            </w:hyperlink>
          </w:p>
        </w:tc>
        <w:tc>
          <w:tcPr>
            <w:tcW w:w="320" w:type="dxa"/>
            <w:vAlign w:val="bottom"/>
            <w:tcBorders>
              <w:top w:val="single" w:sz="8" w:color="auto"/>
              <w:bottom w:val="single" w:sz="8" w:color="auto"/>
            </w:tcBorders>
            <w:gridSpan w:val="10"/>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20" w:type="dxa"/>
            <w:vAlign w:val="bottom"/>
            <w:tcBorders>
              <w:bottom w:val="single" w:sz="8" w:color="0563C1"/>
            </w:tcBorders>
            <w:gridSpan w:val="10"/>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Borders>
              <w:bottom w:val="single" w:sz="8" w:color="0563C1"/>
            </w:tcBorders>
            <w:gridSpan w:val="7"/>
            <w:vMerge w:val="continue"/>
          </w:tcPr>
          <w:p>
            <w:pPr>
              <w:spacing w:after="0"/>
              <w:rPr>
                <w:sz w:val="5"/>
                <w:szCs w:val="5"/>
                <w:color w:val="auto"/>
              </w:rPr>
            </w:pPr>
          </w:p>
        </w:tc>
        <w:tc>
          <w:tcPr>
            <w:tcW w:w="320" w:type="dxa"/>
            <w:vAlign w:val="bottom"/>
            <w:gridSpan w:val="10"/>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001-39269</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5"/>
              </w:rPr>
              <w:t>1.1</w:t>
            </w:r>
          </w:p>
        </w:tc>
        <w:tc>
          <w:tcPr>
            <w:tcW w:w="220" w:type="dxa"/>
            <w:vAlign w:val="bottom"/>
          </w:tcPr>
          <w:p>
            <w:pPr>
              <w:spacing w:after="0"/>
              <w:rPr>
                <w:sz w:val="5"/>
                <w:szCs w:val="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5/6/21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11"/>
          </w:tcPr>
          <w:p>
            <w:pPr>
              <w:spacing w:after="0" w:line="156" w:lineRule="exact"/>
              <w:rPr>
                <w:rFonts w:ascii="Arial" w:cs="Arial" w:eastAsia="Arial" w:hAnsi="Arial"/>
                <w:sz w:val="18"/>
                <w:szCs w:val="18"/>
                <w:color w:val="0563C1"/>
                <w:w w:val="95"/>
              </w:rPr>
            </w:pPr>
            <w:hyperlink r:id="rId350">
              <w:r>
                <w:rPr>
                  <w:rFonts w:ascii="Arial" w:cs="Arial" w:eastAsia="Arial" w:hAnsi="Arial"/>
                  <w:sz w:val="18"/>
                  <w:szCs w:val="18"/>
                  <w:color w:val="0563C1"/>
                  <w:w w:val="95"/>
                </w:rPr>
                <w:t>Registrant and Jefferies LLC,</w:t>
              </w:r>
            </w:hyperlink>
          </w:p>
        </w:tc>
        <w:tc>
          <w:tcPr>
            <w:tcW w:w="1640" w:type="dxa"/>
            <w:vAlign w:val="bottom"/>
            <w:gridSpan w:val="8"/>
          </w:tcPr>
          <w:p>
            <w:pPr>
              <w:spacing w:after="0" w:line="156" w:lineRule="exact"/>
              <w:rPr>
                <w:rFonts w:ascii="Arial" w:cs="Arial" w:eastAsia="Arial" w:hAnsi="Arial"/>
                <w:sz w:val="18"/>
                <w:szCs w:val="18"/>
                <w:color w:val="0563C1"/>
              </w:rPr>
            </w:pPr>
            <w:hyperlink r:id="rId350">
              <w:r>
                <w:rPr>
                  <w:rFonts w:ascii="Arial" w:cs="Arial" w:eastAsia="Arial" w:hAnsi="Arial"/>
                  <w:sz w:val="18"/>
                  <w:szCs w:val="18"/>
                  <w:color w:val="0563C1"/>
                </w:rPr>
                <w:t>dated May 6, 2021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40" w:type="dxa"/>
            <w:vAlign w:val="bottom"/>
            <w:gridSpan w:val="4"/>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4"/>
                <w:szCs w:val="24"/>
                <w:color w:val="auto"/>
              </w:rPr>
            </w:pPr>
          </w:p>
        </w:tc>
        <w:tc>
          <w:tcPr>
            <w:tcW w:w="4200" w:type="dxa"/>
            <w:vAlign w:val="bottom"/>
            <w:tcBorders>
              <w:bottom w:val="single" w:sz="8" w:color="0563C1"/>
            </w:tcBorders>
            <w:gridSpan w:val="29"/>
          </w:tcPr>
          <w:p>
            <w:pPr>
              <w:spacing w:after="0"/>
              <w:rPr>
                <w:rFonts w:ascii="Arial" w:cs="Arial" w:eastAsia="Arial" w:hAnsi="Arial"/>
                <w:sz w:val="18"/>
                <w:szCs w:val="18"/>
                <w:color w:val="0563C1"/>
                <w:w w:val="91"/>
              </w:rPr>
            </w:pPr>
            <w:hyperlink r:id="rId351">
              <w:r>
                <w:rPr>
                  <w:rFonts w:ascii="Arial" w:cs="Arial" w:eastAsia="Arial" w:hAnsi="Arial"/>
                  <w:sz w:val="18"/>
                  <w:szCs w:val="18"/>
                  <w:color w:val="0563C1"/>
                  <w:w w:val="91"/>
                </w:rPr>
                <w:t>Amended and Restated Certificate of Incorporation of the</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001-39269</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4/28/20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gridSpan w:val="29"/>
          </w:tcPr>
          <w:p>
            <w:pPr>
              <w:spacing w:after="0" w:line="156" w:lineRule="exact"/>
              <w:rPr>
                <w:rFonts w:ascii="Arial" w:cs="Arial" w:eastAsia="Arial" w:hAnsi="Arial"/>
                <w:sz w:val="18"/>
                <w:szCs w:val="18"/>
                <w:color w:val="0563C1"/>
              </w:rPr>
            </w:pPr>
            <w:hyperlink r:id="rId351">
              <w:r>
                <w:rPr>
                  <w:rFonts w:ascii="Arial" w:cs="Arial" w:eastAsia="Arial" w:hAnsi="Arial"/>
                  <w:sz w:val="18"/>
                  <w:szCs w:val="18"/>
                  <w:color w:val="0563C1"/>
                </w:rPr>
                <w:t>Registrant</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rPr>
            </w:pPr>
            <w:hyperlink r:id="rId352">
              <w:r>
                <w:rPr>
                  <w:rFonts w:ascii="Arial" w:cs="Arial" w:eastAsia="Arial" w:hAnsi="Arial"/>
                  <w:sz w:val="18"/>
                  <w:szCs w:val="18"/>
                  <w:color w:val="0563C1"/>
                </w:rPr>
                <w:t>Amended and Restated Bylaws of the Registrant</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001-39269</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4/28/20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40" w:type="dxa"/>
            <w:vAlign w:val="bottom"/>
            <w:gridSpan w:val="4"/>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4"/>
              </w:rPr>
            </w:pPr>
            <w:hyperlink r:id="rId353">
              <w:r>
                <w:rPr>
                  <w:rFonts w:ascii="Arial" w:cs="Arial" w:eastAsia="Arial" w:hAnsi="Arial"/>
                  <w:sz w:val="18"/>
                  <w:szCs w:val="18"/>
                  <w:color w:val="0563C1"/>
                  <w:w w:val="94"/>
                </w:rPr>
                <w:t>Amended and Restated Investors’ Rights Agreement by</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60" w:type="dxa"/>
            <w:vAlign w:val="bottom"/>
            <w:tcBorders>
              <w:top w:val="single" w:sz="8" w:color="0563C1"/>
              <w:bottom w:val="single" w:sz="8" w:color="0563C1"/>
            </w:tcBorders>
            <w:gridSpan w:val="24"/>
          </w:tcPr>
          <w:p>
            <w:pPr>
              <w:spacing w:after="0" w:line="156" w:lineRule="exact"/>
              <w:rPr>
                <w:rFonts w:ascii="Arial" w:cs="Arial" w:eastAsia="Arial" w:hAnsi="Arial"/>
                <w:sz w:val="18"/>
                <w:szCs w:val="18"/>
                <w:color w:val="0563C1"/>
                <w:w w:val="88"/>
              </w:rPr>
            </w:pPr>
            <w:hyperlink r:id="rId353">
              <w:r>
                <w:rPr>
                  <w:rFonts w:ascii="Arial" w:cs="Arial" w:eastAsia="Arial" w:hAnsi="Arial"/>
                  <w:sz w:val="18"/>
                  <w:szCs w:val="18"/>
                  <w:color w:val="0563C1"/>
                  <w:w w:val="88"/>
                </w:rPr>
                <w:t>and among the Registrant and certain of its stockholders,</w:t>
              </w:r>
            </w:hyperlink>
          </w:p>
        </w:tc>
        <w:tc>
          <w:tcPr>
            <w:tcW w:w="60" w:type="dxa"/>
            <w:vAlign w:val="bottom"/>
            <w:tcBorders>
              <w:bottom w:val="single" w:sz="8" w:color="0563C1"/>
            </w:tcBorders>
          </w:tcPr>
          <w:p>
            <w:pPr>
              <w:spacing w:after="0"/>
              <w:rPr>
                <w:sz w:val="13"/>
                <w:szCs w:val="13"/>
                <w:color w:val="auto"/>
              </w:rPr>
            </w:pPr>
          </w:p>
        </w:tc>
        <w:tc>
          <w:tcPr>
            <w:tcW w:w="20" w:type="dxa"/>
            <w:vAlign w:val="bottom"/>
            <w:tcBorders>
              <w:bottom w:val="single" w:sz="8" w:color="0563C1"/>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Borders>
              <w:bottom w:val="single" w:sz="8" w:color="0563C1"/>
            </w:tcBorders>
            <w:gridSpan w:val="7"/>
          </w:tcPr>
          <w:p>
            <w:pPr>
              <w:spacing w:after="0" w:line="156" w:lineRule="exact"/>
              <w:rPr>
                <w:rFonts w:ascii="Arial" w:cs="Arial" w:eastAsia="Arial" w:hAnsi="Arial"/>
                <w:sz w:val="18"/>
                <w:szCs w:val="18"/>
                <w:color w:val="0563C1"/>
                <w:w w:val="86"/>
              </w:rPr>
            </w:pPr>
            <w:hyperlink r:id="rId353">
              <w:r>
                <w:rPr>
                  <w:rFonts w:ascii="Arial" w:cs="Arial" w:eastAsia="Arial" w:hAnsi="Arial"/>
                  <w:sz w:val="18"/>
                  <w:szCs w:val="18"/>
                  <w:color w:val="0563C1"/>
                  <w:w w:val="86"/>
                </w:rPr>
                <w:t>dated June 4, 2019</w:t>
              </w:r>
            </w:hyperlink>
          </w:p>
        </w:tc>
        <w:tc>
          <w:tcPr>
            <w:tcW w:w="278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5"/>
              </w:rPr>
            </w:pPr>
            <w:hyperlink r:id="rId354">
              <w:r>
                <w:rPr>
                  <w:rFonts w:ascii="Arial" w:cs="Arial" w:eastAsia="Arial" w:hAnsi="Arial"/>
                  <w:sz w:val="18"/>
                  <w:szCs w:val="18"/>
                  <w:color w:val="0563C1"/>
                  <w:w w:val="95"/>
                </w:rPr>
                <w:t>Specimen Common Stock Certificate of The Registrant</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4/20/20</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260" w:type="dxa"/>
            <w:vAlign w:val="bottom"/>
          </w:tcPr>
          <w:p>
            <w:pPr>
              <w:spacing w:after="0"/>
              <w:rPr>
                <w:sz w:val="24"/>
                <w:szCs w:val="24"/>
                <w:color w:val="auto"/>
              </w:rPr>
            </w:pPr>
          </w:p>
        </w:tc>
        <w:tc>
          <w:tcPr>
            <w:tcW w:w="2940" w:type="dxa"/>
            <w:vAlign w:val="bottom"/>
            <w:tcBorders>
              <w:top w:val="single" w:sz="8" w:color="0563C1"/>
              <w:bottom w:val="single" w:sz="8" w:color="0563C1"/>
            </w:tcBorders>
            <w:gridSpan w:val="14"/>
          </w:tcPr>
          <w:p>
            <w:pPr>
              <w:spacing w:after="0"/>
              <w:rPr>
                <w:rFonts w:ascii="Arial" w:cs="Arial" w:eastAsia="Arial" w:hAnsi="Arial"/>
                <w:sz w:val="18"/>
                <w:szCs w:val="18"/>
                <w:color w:val="0563C1"/>
                <w:w w:val="90"/>
              </w:rPr>
            </w:pPr>
            <w:hyperlink w:anchor="page130">
              <w:r>
                <w:rPr>
                  <w:rFonts w:ascii="Arial" w:cs="Arial" w:eastAsia="Arial" w:hAnsi="Arial"/>
                  <w:sz w:val="18"/>
                  <w:szCs w:val="18"/>
                  <w:color w:val="0563C1"/>
                  <w:w w:val="90"/>
                </w:rPr>
                <w:t>Description of the Registrant’s securities</w:t>
              </w:r>
            </w:hyperlink>
          </w:p>
        </w:tc>
        <w:tc>
          <w:tcPr>
            <w:tcW w:w="1040" w:type="dxa"/>
            <w:vAlign w:val="bottom"/>
            <w:tcBorders>
              <w:top w:val="single" w:sz="8" w:color="0563C1"/>
            </w:tcBorders>
            <w:gridSpan w:val="8"/>
          </w:tcPr>
          <w:p>
            <w:pPr>
              <w:spacing w:after="0"/>
              <w:rPr>
                <w:sz w:val="24"/>
                <w:szCs w:val="24"/>
                <w:color w:val="auto"/>
              </w:rPr>
            </w:pPr>
          </w:p>
        </w:tc>
        <w:tc>
          <w:tcPr>
            <w:tcW w:w="2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rPr>
            </w:pPr>
            <w:hyperlink r:id="rId355">
              <w:r>
                <w:rPr>
                  <w:rFonts w:ascii="Arial" w:cs="Arial" w:eastAsia="Arial" w:hAnsi="Arial"/>
                  <w:sz w:val="18"/>
                  <w:szCs w:val="18"/>
                  <w:color w:val="0563C1"/>
                </w:rPr>
                <w:t>Form of Indemnification Agreement between the</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80" w:type="dxa"/>
            <w:vAlign w:val="bottom"/>
            <w:tcBorders>
              <w:top w:val="single" w:sz="8" w:color="0563C1"/>
              <w:bottom w:val="single" w:sz="8" w:color="0563C1"/>
            </w:tcBorders>
            <w:gridSpan w:val="16"/>
          </w:tcPr>
          <w:p>
            <w:pPr>
              <w:spacing w:after="0" w:line="156" w:lineRule="exact"/>
              <w:rPr>
                <w:rFonts w:ascii="Arial" w:cs="Arial" w:eastAsia="Arial" w:hAnsi="Arial"/>
                <w:sz w:val="18"/>
                <w:szCs w:val="18"/>
                <w:color w:val="0563C1"/>
                <w:w w:val="90"/>
              </w:rPr>
            </w:pPr>
            <w:hyperlink r:id="rId355">
              <w:r>
                <w:rPr>
                  <w:rFonts w:ascii="Arial" w:cs="Arial" w:eastAsia="Arial" w:hAnsi="Arial"/>
                  <w:sz w:val="18"/>
                  <w:szCs w:val="18"/>
                  <w:color w:val="0563C1"/>
                  <w:w w:val="90"/>
                </w:rPr>
                <w:t>Registrant and each of its directors and executive</w:t>
              </w:r>
            </w:hyperlink>
          </w:p>
        </w:tc>
        <w:tc>
          <w:tcPr>
            <w:tcW w:w="560" w:type="dxa"/>
            <w:vAlign w:val="bottom"/>
            <w:tcBorders>
              <w:bottom w:val="single" w:sz="8" w:color="0563C1"/>
            </w:tcBorders>
            <w:gridSpan w:val="10"/>
          </w:tcPr>
          <w:p>
            <w:pPr>
              <w:spacing w:after="0" w:line="156" w:lineRule="exact"/>
              <w:rPr>
                <w:rFonts w:ascii="Arial" w:cs="Arial" w:eastAsia="Arial" w:hAnsi="Arial"/>
                <w:sz w:val="18"/>
                <w:szCs w:val="18"/>
                <w:color w:val="0563C1"/>
                <w:w w:val="92"/>
              </w:rPr>
            </w:pPr>
            <w:hyperlink r:id="rId355">
              <w:r>
                <w:rPr>
                  <w:rFonts w:ascii="Arial" w:cs="Arial" w:eastAsia="Arial" w:hAnsi="Arial"/>
                  <w:sz w:val="18"/>
                  <w:szCs w:val="18"/>
                  <w:color w:val="0563C1"/>
                  <w:w w:val="92"/>
                </w:rPr>
                <w:t>officers</w:t>
              </w:r>
            </w:hyperlink>
          </w:p>
        </w:tc>
        <w:tc>
          <w:tcPr>
            <w:tcW w:w="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center"/>
              <w:ind w:left="130"/>
              <w:spacing w:after="0" w:line="156" w:lineRule="exact"/>
              <w:rPr>
                <w:sz w:val="20"/>
                <w:szCs w:val="20"/>
                <w:color w:val="auto"/>
              </w:rPr>
            </w:pPr>
            <w:r>
              <w:rPr>
                <w:rFonts w:ascii="Arial" w:cs="Arial" w:eastAsia="Arial" w:hAnsi="Arial"/>
                <w:sz w:val="18"/>
                <w:szCs w:val="18"/>
                <w:color w:val="auto"/>
                <w:w w:val="89"/>
              </w:rPr>
              <w:t>333-236792</w:t>
            </w:r>
          </w:p>
        </w:tc>
        <w:tc>
          <w:tcPr>
            <w:tcW w:w="980" w:type="dxa"/>
            <w:vAlign w:val="bottom"/>
            <w:gridSpan w:val="2"/>
          </w:tcPr>
          <w:p>
            <w:pPr>
              <w:jc w:val="center"/>
              <w:ind w:left="130"/>
              <w:spacing w:after="0" w:line="15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3"/>
                <w:szCs w:val="13"/>
                <w:color w:val="auto"/>
              </w:rPr>
            </w:pPr>
          </w:p>
        </w:tc>
        <w:tc>
          <w:tcPr>
            <w:tcW w:w="1760" w:type="dxa"/>
            <w:vAlign w:val="bottom"/>
          </w:tcPr>
          <w:p>
            <w:pPr>
              <w:jc w:val="center"/>
              <w:spacing w:after="0" w:line="156" w:lineRule="exact"/>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10.2+</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6"/>
              </w:rPr>
            </w:pPr>
            <w:hyperlink r:id="rId356">
              <w:r>
                <w:rPr>
                  <w:rFonts w:ascii="Arial" w:cs="Arial" w:eastAsia="Arial" w:hAnsi="Arial"/>
                  <w:sz w:val="18"/>
                  <w:szCs w:val="18"/>
                  <w:color w:val="0563C1"/>
                  <w:w w:val="96"/>
                </w:rPr>
                <w:t>2014 Equity Incentive Plan, as amended, and forms of</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60" w:type="dxa"/>
            <w:vAlign w:val="bottom"/>
            <w:tcBorders>
              <w:top w:val="single" w:sz="8" w:color="0563C1"/>
            </w:tcBorders>
            <w:gridSpan w:val="21"/>
          </w:tcPr>
          <w:p>
            <w:pPr>
              <w:spacing w:after="0" w:line="156" w:lineRule="exact"/>
              <w:rPr>
                <w:rFonts w:ascii="Arial" w:cs="Arial" w:eastAsia="Arial" w:hAnsi="Arial"/>
                <w:sz w:val="18"/>
                <w:szCs w:val="18"/>
                <w:color w:val="0563C1"/>
              </w:rPr>
            </w:pPr>
            <w:hyperlink r:id="rId356">
              <w:r>
                <w:rPr>
                  <w:rFonts w:ascii="Arial" w:cs="Arial" w:eastAsia="Arial" w:hAnsi="Arial"/>
                  <w:sz w:val="18"/>
                  <w:szCs w:val="18"/>
                  <w:color w:val="0563C1"/>
                </w:rPr>
                <w:t>agreement thereunder</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10.3+</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9"/>
              </w:rPr>
            </w:pPr>
            <w:hyperlink r:id="rId357">
              <w:r>
                <w:rPr>
                  <w:rFonts w:ascii="Arial" w:cs="Arial" w:eastAsia="Arial" w:hAnsi="Arial"/>
                  <w:sz w:val="18"/>
                  <w:szCs w:val="18"/>
                  <w:color w:val="0563C1"/>
                  <w:w w:val="99"/>
                </w:rPr>
                <w:t>2020 Equity Incentive Plan and forms of agreements</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4/20/20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0563C1"/>
              <w:bottom w:val="single" w:sz="8" w:color="0563C1"/>
            </w:tcBorders>
            <w:gridSpan w:val="4"/>
          </w:tcPr>
          <w:p>
            <w:pPr>
              <w:spacing w:after="0" w:line="156" w:lineRule="exact"/>
              <w:rPr>
                <w:rFonts w:ascii="Arial" w:cs="Arial" w:eastAsia="Arial" w:hAnsi="Arial"/>
                <w:sz w:val="18"/>
                <w:szCs w:val="18"/>
                <w:color w:val="0563C1"/>
                <w:w w:val="87"/>
              </w:rPr>
            </w:pPr>
            <w:hyperlink r:id="rId357">
              <w:r>
                <w:rPr>
                  <w:rFonts w:ascii="Arial" w:cs="Arial" w:eastAsia="Arial" w:hAnsi="Arial"/>
                  <w:sz w:val="18"/>
                  <w:szCs w:val="18"/>
                  <w:color w:val="0563C1"/>
                  <w:w w:val="87"/>
                </w:rPr>
                <w:t>thereunder</w:t>
              </w:r>
            </w:hyperlink>
          </w:p>
        </w:tc>
        <w:tc>
          <w:tcPr>
            <w:tcW w:w="3060" w:type="dxa"/>
            <w:vAlign w:val="bottom"/>
            <w:tcBorders>
              <w:top w:val="single" w:sz="8" w:color="0563C1"/>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10.4+</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rPr>
            </w:pPr>
            <w:hyperlink r:id="rId358">
              <w:r>
                <w:rPr>
                  <w:rFonts w:ascii="Arial" w:cs="Arial" w:eastAsia="Arial" w:hAnsi="Arial"/>
                  <w:sz w:val="18"/>
                  <w:szCs w:val="18"/>
                  <w:color w:val="0563C1"/>
                </w:rPr>
                <w:t>2020 Employee Stock Purchase Plan and forms of</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10-Q</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001-39269</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11/8/21</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Borders>
              <w:top w:val="single" w:sz="8" w:color="0563C1"/>
              <w:bottom w:val="single" w:sz="8" w:color="0563C1"/>
            </w:tcBorders>
            <w:gridSpan w:val="9"/>
          </w:tcPr>
          <w:p>
            <w:pPr>
              <w:spacing w:after="0" w:line="156" w:lineRule="exact"/>
              <w:rPr>
                <w:rFonts w:ascii="Arial" w:cs="Arial" w:eastAsia="Arial" w:hAnsi="Arial"/>
                <w:sz w:val="18"/>
                <w:szCs w:val="18"/>
                <w:color w:val="0563C1"/>
                <w:w w:val="86"/>
              </w:rPr>
            </w:pPr>
            <w:hyperlink r:id="rId358">
              <w:r>
                <w:rPr>
                  <w:rFonts w:ascii="Arial" w:cs="Arial" w:eastAsia="Arial" w:hAnsi="Arial"/>
                  <w:sz w:val="18"/>
                  <w:szCs w:val="18"/>
                  <w:color w:val="0563C1"/>
                  <w:w w:val="86"/>
                </w:rPr>
                <w:t>agreements thereunder</w:t>
              </w:r>
            </w:hyperlink>
          </w:p>
        </w:tc>
        <w:tc>
          <w:tcPr>
            <w:tcW w:w="2020" w:type="dxa"/>
            <w:vAlign w:val="bottom"/>
            <w:tcBorders>
              <w:top w:val="single" w:sz="8" w:color="0563C1"/>
            </w:tcBorders>
            <w:gridSpan w:val="8"/>
          </w:tcPr>
          <w:p>
            <w:pPr>
              <w:spacing w:after="0"/>
              <w:rPr>
                <w:sz w:val="13"/>
                <w:szCs w:val="13"/>
                <w:color w:val="auto"/>
              </w:rPr>
            </w:pPr>
          </w:p>
        </w:tc>
        <w:tc>
          <w:tcPr>
            <w:tcW w:w="26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10.5+</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2"/>
              </w:rPr>
            </w:pPr>
            <w:hyperlink r:id="rId359">
              <w:r>
                <w:rPr>
                  <w:rFonts w:ascii="Arial" w:cs="Arial" w:eastAsia="Arial" w:hAnsi="Arial"/>
                  <w:sz w:val="18"/>
                  <w:szCs w:val="18"/>
                  <w:color w:val="0563C1"/>
                  <w:w w:val="92"/>
                </w:rPr>
                <w:t>Employment Letter between the Registrant and Jacob M.</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60" w:type="dxa"/>
            <w:vAlign w:val="bottom"/>
            <w:tcBorders>
              <w:top w:val="single" w:sz="8" w:color="0563C1"/>
            </w:tcBorders>
            <w:gridSpan w:val="27"/>
          </w:tcPr>
          <w:p>
            <w:pPr>
              <w:spacing w:after="0" w:line="156" w:lineRule="exact"/>
              <w:rPr>
                <w:rFonts w:ascii="Arial" w:cs="Arial" w:eastAsia="Arial" w:hAnsi="Arial"/>
                <w:sz w:val="18"/>
                <w:szCs w:val="18"/>
                <w:color w:val="0563C1"/>
              </w:rPr>
            </w:pPr>
            <w:hyperlink r:id="rId359">
              <w:r>
                <w:rPr>
                  <w:rFonts w:ascii="Arial" w:cs="Arial" w:eastAsia="Arial" w:hAnsi="Arial"/>
                  <w:sz w:val="18"/>
                  <w:szCs w:val="18"/>
                  <w:color w:val="0563C1"/>
                </w:rPr>
                <w:t>Chacko, M.D.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10.6+</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7"/>
              </w:rPr>
            </w:pPr>
            <w:hyperlink r:id="rId360">
              <w:r>
                <w:rPr>
                  <w:rFonts w:ascii="Arial" w:cs="Arial" w:eastAsia="Arial" w:hAnsi="Arial"/>
                  <w:sz w:val="18"/>
                  <w:szCs w:val="18"/>
                  <w:color w:val="0563C1"/>
                  <w:w w:val="97"/>
                </w:rPr>
                <w:t>Employment Letter between the Registrant and Pratik</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20" w:type="dxa"/>
            <w:vAlign w:val="bottom"/>
            <w:tcBorders>
              <w:top w:val="single" w:sz="8" w:color="0563C1"/>
            </w:tcBorders>
            <w:gridSpan w:val="20"/>
          </w:tcPr>
          <w:p>
            <w:pPr>
              <w:spacing w:after="0" w:line="156" w:lineRule="exact"/>
              <w:rPr>
                <w:rFonts w:ascii="Arial" w:cs="Arial" w:eastAsia="Arial" w:hAnsi="Arial"/>
                <w:sz w:val="18"/>
                <w:szCs w:val="18"/>
                <w:color w:val="0563C1"/>
              </w:rPr>
            </w:pPr>
            <w:hyperlink r:id="rId360">
              <w:r>
                <w:rPr>
                  <w:rFonts w:ascii="Arial" w:cs="Arial" w:eastAsia="Arial" w:hAnsi="Arial"/>
                  <w:sz w:val="18"/>
                  <w:szCs w:val="18"/>
                  <w:color w:val="0563C1"/>
                </w:rPr>
                <w:t>Multani, M.D.</w:t>
              </w:r>
            </w:hyperlink>
          </w:p>
        </w:tc>
        <w:tc>
          <w:tcPr>
            <w:tcW w:w="12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0" w:type="dxa"/>
            <w:vAlign w:val="bottom"/>
            <w:gridSpan w:val="4"/>
            <w:shd w:val="clear" w:color="auto" w:fill="0563C1"/>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10.7+</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3"/>
              </w:rPr>
            </w:pPr>
            <w:hyperlink r:id="rId361">
              <w:r>
                <w:rPr>
                  <w:rFonts w:ascii="Arial" w:cs="Arial" w:eastAsia="Arial" w:hAnsi="Arial"/>
                  <w:sz w:val="18"/>
                  <w:szCs w:val="18"/>
                  <w:color w:val="0563C1"/>
                  <w:w w:val="93"/>
                </w:rPr>
                <w:t>Employment Letter between the Registrant and Dominic</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0563C1"/>
              <w:bottom w:val="single" w:sz="8" w:color="0563C1"/>
            </w:tcBorders>
            <w:gridSpan w:val="2"/>
          </w:tcPr>
          <w:p>
            <w:pPr>
              <w:spacing w:after="0" w:line="156" w:lineRule="exact"/>
              <w:rPr>
                <w:rFonts w:ascii="Arial" w:cs="Arial" w:eastAsia="Arial" w:hAnsi="Arial"/>
                <w:sz w:val="18"/>
                <w:szCs w:val="18"/>
                <w:color w:val="0563C1"/>
                <w:w w:val="95"/>
              </w:rPr>
            </w:pPr>
            <w:hyperlink r:id="rId361">
              <w:r>
                <w:rPr>
                  <w:rFonts w:ascii="Arial" w:cs="Arial" w:eastAsia="Arial" w:hAnsi="Arial"/>
                  <w:sz w:val="18"/>
                  <w:szCs w:val="18"/>
                  <w:color w:val="0563C1"/>
                  <w:w w:val="95"/>
                </w:rPr>
                <w:t>Piscitelli</w:t>
              </w:r>
            </w:hyperlink>
          </w:p>
        </w:tc>
        <w:tc>
          <w:tcPr>
            <w:tcW w:w="3480" w:type="dxa"/>
            <w:vAlign w:val="bottom"/>
            <w:tcBorders>
              <w:top w:val="single" w:sz="8" w:color="0563C1"/>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10.8+</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rPr>
            </w:pPr>
            <w:hyperlink r:id="rId362">
              <w:r>
                <w:rPr>
                  <w:rFonts w:ascii="Arial" w:cs="Arial" w:eastAsia="Arial" w:hAnsi="Arial"/>
                  <w:sz w:val="18"/>
                  <w:szCs w:val="18"/>
                  <w:color w:val="0563C1"/>
                </w:rPr>
                <w:t>Executive Incentive Compensation Plan</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10.8</w:t>
            </w: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10.9+</w:t>
            </w: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420" w:type="dxa"/>
            <w:vAlign w:val="bottom"/>
            <w:gridSpan w:val="12"/>
            <w:shd w:val="clear" w:color="auto" w:fill="0563C1"/>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rPr>
            </w:pPr>
            <w:hyperlink r:id="rId363">
              <w:r>
                <w:rPr>
                  <w:rFonts w:ascii="Arial" w:cs="Arial" w:eastAsia="Arial" w:hAnsi="Arial"/>
                  <w:sz w:val="18"/>
                  <w:szCs w:val="18"/>
                  <w:color w:val="0563C1"/>
                </w:rPr>
                <w:t>Change in Control and Severance Policy</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10.9</w:t>
            </w: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420" w:type="dxa"/>
            <w:vAlign w:val="bottom"/>
            <w:gridSpan w:val="12"/>
            <w:shd w:val="clear" w:color="auto" w:fill="0563C1"/>
          </w:tcPr>
          <w:p>
            <w:pPr>
              <w:spacing w:after="0" w:line="20" w:lineRule="exact"/>
              <w:rPr>
                <w:sz w:val="1"/>
                <w:szCs w:val="1"/>
                <w:color w:val="auto"/>
              </w:rPr>
            </w:pPr>
          </w:p>
        </w:tc>
        <w:tc>
          <w:tcPr>
            <w:tcW w:w="1160" w:type="dxa"/>
            <w:vAlign w:val="bottom"/>
            <w:tcBorders>
              <w:left w:val="single" w:sz="8" w:color="0563C1"/>
            </w:tcBorders>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3"/>
              </w:rPr>
            </w:pPr>
            <w:hyperlink w:anchor="page136">
              <w:r>
                <w:rPr>
                  <w:rFonts w:ascii="Arial" w:cs="Arial" w:eastAsia="Arial" w:hAnsi="Arial"/>
                  <w:sz w:val="18"/>
                  <w:szCs w:val="18"/>
                  <w:color w:val="0563C1"/>
                  <w:w w:val="93"/>
                </w:rPr>
                <w:t>Amended and Restated Outside Director Compensation</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40" w:type="dxa"/>
            <w:vAlign w:val="bottom"/>
            <w:tcBorders>
              <w:top w:val="single" w:sz="8" w:color="0563C1"/>
            </w:tcBorders>
            <w:gridSpan w:val="23"/>
          </w:tcPr>
          <w:p>
            <w:pPr>
              <w:spacing w:after="0" w:line="156" w:lineRule="exact"/>
              <w:rPr>
                <w:rFonts w:ascii="Arial" w:cs="Arial" w:eastAsia="Arial" w:hAnsi="Arial"/>
                <w:sz w:val="18"/>
                <w:szCs w:val="18"/>
                <w:color w:val="0563C1"/>
              </w:rPr>
            </w:pPr>
            <w:hyperlink w:anchor="page136">
              <w:r>
                <w:rPr>
                  <w:rFonts w:ascii="Arial" w:cs="Arial" w:eastAsia="Arial" w:hAnsi="Arial"/>
                  <w:sz w:val="18"/>
                  <w:szCs w:val="18"/>
                  <w:color w:val="0563C1"/>
                </w:rPr>
                <w:t>Policy</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13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60" w:type="dxa"/>
            <w:vAlign w:val="bottom"/>
          </w:tcPr>
          <w:p>
            <w:pPr>
              <w:spacing w:after="0"/>
              <w:rPr>
                <w:sz w:val="24"/>
                <w:szCs w:val="24"/>
                <w:color w:val="auto"/>
              </w:rPr>
            </w:pPr>
          </w:p>
        </w:tc>
        <w:tc>
          <w:tcPr>
            <w:tcW w:w="4200" w:type="dxa"/>
            <w:vAlign w:val="bottom"/>
            <w:gridSpan w:val="29"/>
          </w:tcPr>
          <w:p>
            <w:pPr>
              <w:spacing w:after="0"/>
              <w:rPr>
                <w:rFonts w:ascii="Arial" w:cs="Arial" w:eastAsia="Arial" w:hAnsi="Arial"/>
                <w:sz w:val="18"/>
                <w:szCs w:val="18"/>
                <w:color w:val="0563C1"/>
                <w:w w:val="90"/>
              </w:rPr>
            </w:pPr>
            <w:hyperlink r:id="rId364">
              <w:r>
                <w:rPr>
                  <w:rFonts w:ascii="Arial" w:cs="Arial" w:eastAsia="Arial" w:hAnsi="Arial"/>
                  <w:sz w:val="18"/>
                  <w:szCs w:val="18"/>
                  <w:color w:val="0563C1"/>
                  <w:w w:val="90"/>
                </w:rPr>
                <w:t>Lease between the Registrant and Britannia Pointe Grand</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64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333-236792</w:t>
            </w:r>
          </w:p>
        </w:tc>
        <w:tc>
          <w:tcPr>
            <w:tcW w:w="9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8"/>
              </w:rPr>
              <w:t>10.11</w:t>
            </w:r>
          </w:p>
        </w:tc>
        <w:tc>
          <w:tcPr>
            <w:tcW w:w="22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3"/>
              </w:rPr>
              <w:t>2/28/20</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80" w:type="dxa"/>
            <w:vAlign w:val="bottom"/>
            <w:tcBorders>
              <w:top w:val="single" w:sz="8" w:color="0563C1"/>
            </w:tcBorders>
            <w:gridSpan w:val="28"/>
          </w:tcPr>
          <w:p>
            <w:pPr>
              <w:spacing w:after="0" w:line="156" w:lineRule="exact"/>
              <w:rPr>
                <w:rFonts w:ascii="Arial" w:cs="Arial" w:eastAsia="Arial" w:hAnsi="Arial"/>
                <w:sz w:val="18"/>
                <w:szCs w:val="18"/>
                <w:color w:val="0563C1"/>
              </w:rPr>
            </w:pPr>
            <w:hyperlink r:id="rId364">
              <w:r>
                <w:rPr>
                  <w:rFonts w:ascii="Arial" w:cs="Arial" w:eastAsia="Arial" w:hAnsi="Arial"/>
                  <w:sz w:val="18"/>
                  <w:szCs w:val="18"/>
                  <w:color w:val="0563C1"/>
                </w:rPr>
                <w:t>Limited Partnership, dated June 5, 2015</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7" w:name="page128"/>
    <w:bookmarkEnd w:id="127"/>
    <w:tbl>
      <w:tblPr>
        <w:tblLayout w:type="fixed"/>
        <w:tblInd w:w="132" w:type="dxa"/>
        <w:tblCellMar>
          <w:top w:w="0" w:type="dxa"/>
          <w:left w:w="0" w:type="dxa"/>
          <w:bottom w:w="0" w:type="dxa"/>
          <w:right w:w="0" w:type="dxa"/>
        </w:tblCellMar>
      </w:tblPr>
      <w:tr>
        <w:trPr>
          <w:trHeight w:val="207"/>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88"/>
              </w:rPr>
              <w:t>10.12</w:t>
            </w:r>
          </w:p>
        </w:tc>
        <w:tc>
          <w:tcPr>
            <w:tcW w:w="4280" w:type="dxa"/>
            <w:vAlign w:val="bottom"/>
            <w:gridSpan w:val="16"/>
          </w:tcPr>
          <w:p>
            <w:pPr>
              <w:spacing w:after="0"/>
              <w:rPr>
                <w:rFonts w:ascii="Arial" w:cs="Arial" w:eastAsia="Arial" w:hAnsi="Arial"/>
                <w:sz w:val="18"/>
                <w:szCs w:val="18"/>
                <w:color w:val="0563C1"/>
                <w:w w:val="97"/>
              </w:rPr>
            </w:pPr>
            <w:hyperlink r:id="rId367">
              <w:r>
                <w:rPr>
                  <w:rFonts w:ascii="Arial" w:cs="Arial" w:eastAsia="Arial" w:hAnsi="Arial"/>
                  <w:sz w:val="18"/>
                  <w:szCs w:val="18"/>
                  <w:color w:val="0563C1"/>
                  <w:w w:val="97"/>
                </w:rPr>
                <w:t>First Amendment to Lease between the Registrant and</w:t>
              </w:r>
            </w:hyperlink>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4280" w:type="dxa"/>
            <w:vAlign w:val="bottom"/>
            <w:gridSpan w:val="16"/>
          </w:tcPr>
          <w:p>
            <w:pPr>
              <w:spacing w:after="0" w:line="156" w:lineRule="exact"/>
              <w:rPr>
                <w:rFonts w:ascii="Arial" w:cs="Arial" w:eastAsia="Arial" w:hAnsi="Arial"/>
                <w:sz w:val="18"/>
                <w:szCs w:val="18"/>
                <w:color w:val="0563C1"/>
                <w:w w:val="92"/>
              </w:rPr>
            </w:pPr>
            <w:hyperlink r:id="rId367">
              <w:r>
                <w:rPr>
                  <w:rFonts w:ascii="Arial" w:cs="Arial" w:eastAsia="Arial" w:hAnsi="Arial"/>
                  <w:sz w:val="18"/>
                  <w:szCs w:val="18"/>
                  <w:color w:val="0563C1"/>
                  <w:w w:val="92"/>
                </w:rPr>
                <w:t>Britannia Pointe Grand Limited Partnership, dated August</w:t>
              </w:r>
            </w:hyperlink>
          </w:p>
        </w:tc>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8-K</w:t>
            </w:r>
          </w:p>
        </w:tc>
        <w:tc>
          <w:tcPr>
            <w:tcW w:w="1560" w:type="dxa"/>
            <w:vAlign w:val="bottom"/>
            <w:vMerge w:val="restart"/>
          </w:tcPr>
          <w:p>
            <w:pPr>
              <w:jc w:val="right"/>
              <w:ind w:right="290"/>
              <w:spacing w:after="0"/>
              <w:rPr>
                <w:sz w:val="20"/>
                <w:szCs w:val="20"/>
                <w:color w:val="auto"/>
              </w:rPr>
            </w:pPr>
            <w:r>
              <w:rPr>
                <w:rFonts w:ascii="Arial" w:cs="Arial" w:eastAsia="Arial" w:hAnsi="Arial"/>
                <w:sz w:val="18"/>
                <w:szCs w:val="18"/>
                <w:color w:val="auto"/>
              </w:rPr>
              <w:t>001-39269</w:t>
            </w: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color w:val="auto"/>
              </w:rPr>
              <w:t>10.1</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8/16/21</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20" w:type="dxa"/>
            <w:vAlign w:val="bottom"/>
            <w:tcBorders>
              <w:top w:val="single" w:sz="8" w:color="0563C1"/>
              <w:bottom w:val="single" w:sz="8" w:color="0563C1"/>
            </w:tcBorders>
            <w:gridSpan w:val="2"/>
          </w:tcPr>
          <w:p>
            <w:pPr>
              <w:spacing w:after="0" w:line="156" w:lineRule="exact"/>
              <w:rPr>
                <w:rFonts w:ascii="Arial" w:cs="Arial" w:eastAsia="Arial" w:hAnsi="Arial"/>
                <w:sz w:val="18"/>
                <w:szCs w:val="18"/>
                <w:color w:val="0563C1"/>
                <w:w w:val="85"/>
              </w:rPr>
            </w:pPr>
            <w:hyperlink r:id="rId367">
              <w:r>
                <w:rPr>
                  <w:rFonts w:ascii="Arial" w:cs="Arial" w:eastAsia="Arial" w:hAnsi="Arial"/>
                  <w:sz w:val="18"/>
                  <w:szCs w:val="18"/>
                  <w:color w:val="0563C1"/>
                  <w:w w:val="85"/>
                </w:rPr>
                <w:t>12, 2021</w:t>
              </w:r>
            </w:hyperlink>
          </w:p>
        </w:tc>
        <w:tc>
          <w:tcPr>
            <w:tcW w:w="1560" w:type="dxa"/>
            <w:vAlign w:val="bottom"/>
            <w:tcBorders>
              <w:top w:val="single" w:sz="8" w:color="0563C1"/>
            </w:tcBorders>
          </w:tcPr>
          <w:p>
            <w:pPr>
              <w:spacing w:after="0"/>
              <w:rPr>
                <w:sz w:val="13"/>
                <w:szCs w:val="13"/>
                <w:color w:val="auto"/>
              </w:rPr>
            </w:pPr>
          </w:p>
        </w:tc>
        <w:tc>
          <w:tcPr>
            <w:tcW w:w="360" w:type="dxa"/>
            <w:vAlign w:val="bottom"/>
            <w:tcBorders>
              <w:top w:val="single" w:sz="8" w:color="0563C1"/>
            </w:tcBorders>
          </w:tcPr>
          <w:p>
            <w:pPr>
              <w:spacing w:after="0"/>
              <w:rPr>
                <w:sz w:val="13"/>
                <w:szCs w:val="13"/>
                <w:color w:val="auto"/>
              </w:rPr>
            </w:pPr>
          </w:p>
        </w:tc>
        <w:tc>
          <w:tcPr>
            <w:tcW w:w="116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Borders>
              <w:top w:val="single" w:sz="8" w:color="0563C1"/>
            </w:tcBorders>
          </w:tcPr>
          <w:p>
            <w:pPr>
              <w:spacing w:after="0"/>
              <w:rPr>
                <w:sz w:val="13"/>
                <w:szCs w:val="13"/>
                <w:color w:val="auto"/>
              </w:rPr>
            </w:pPr>
          </w:p>
        </w:tc>
        <w:tc>
          <w:tcPr>
            <w:tcW w:w="14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20" w:type="dxa"/>
            <w:vAlign w:val="bottom"/>
            <w:tcBorders>
              <w:top w:val="single" w:sz="8" w:color="0563C1"/>
            </w:tcBorders>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9"/>
              </w:rPr>
              <w:t>10.13+</w:t>
            </w:r>
          </w:p>
        </w:tc>
        <w:tc>
          <w:tcPr>
            <w:tcW w:w="4280" w:type="dxa"/>
            <w:vAlign w:val="bottom"/>
            <w:gridSpan w:val="16"/>
          </w:tcPr>
          <w:p>
            <w:pPr>
              <w:spacing w:after="0"/>
              <w:rPr>
                <w:rFonts w:ascii="Arial" w:cs="Arial" w:eastAsia="Arial" w:hAnsi="Arial"/>
                <w:sz w:val="18"/>
                <w:szCs w:val="18"/>
                <w:color w:val="0563C1"/>
                <w:w w:val="93"/>
              </w:rPr>
            </w:pPr>
            <w:hyperlink r:id="rId368">
              <w:r>
                <w:rPr>
                  <w:rFonts w:ascii="Arial" w:cs="Arial" w:eastAsia="Arial" w:hAnsi="Arial"/>
                  <w:sz w:val="18"/>
                  <w:szCs w:val="18"/>
                  <w:color w:val="0563C1"/>
                  <w:w w:val="93"/>
                </w:rPr>
                <w:t>2022 Inducement Equity Incentive Plan and related forms</w:t>
              </w:r>
            </w:hyperlink>
          </w:p>
        </w:tc>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8-K</w:t>
            </w:r>
          </w:p>
        </w:tc>
        <w:tc>
          <w:tcPr>
            <w:tcW w:w="1560" w:type="dxa"/>
            <w:vAlign w:val="bottom"/>
            <w:vMerge w:val="restart"/>
          </w:tcPr>
          <w:p>
            <w:pPr>
              <w:jc w:val="right"/>
              <w:ind w:right="290"/>
              <w:spacing w:after="0"/>
              <w:rPr>
                <w:sz w:val="20"/>
                <w:szCs w:val="20"/>
                <w:color w:val="auto"/>
              </w:rPr>
            </w:pPr>
            <w:r>
              <w:rPr>
                <w:rFonts w:ascii="Arial" w:cs="Arial" w:eastAsia="Arial" w:hAnsi="Arial"/>
                <w:sz w:val="18"/>
                <w:szCs w:val="18"/>
                <w:color w:val="auto"/>
              </w:rPr>
              <w:t>001-39269</w:t>
            </w: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color w:val="auto"/>
              </w:rPr>
              <w:t>10.1</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00" w:type="dxa"/>
            <w:vAlign w:val="bottom"/>
            <w:tcBorders>
              <w:top w:val="single" w:sz="8" w:color="0563C1"/>
              <w:bottom w:val="single" w:sz="8" w:color="0563C1"/>
            </w:tcBorders>
            <w:gridSpan w:val="5"/>
          </w:tcPr>
          <w:p>
            <w:pPr>
              <w:spacing w:after="0" w:line="156" w:lineRule="exact"/>
              <w:rPr>
                <w:rFonts w:ascii="Arial" w:cs="Arial" w:eastAsia="Arial" w:hAnsi="Arial"/>
                <w:sz w:val="18"/>
                <w:szCs w:val="18"/>
                <w:color w:val="0563C1"/>
                <w:w w:val="89"/>
              </w:rPr>
            </w:pPr>
            <w:hyperlink r:id="rId368">
              <w:r>
                <w:rPr>
                  <w:rFonts w:ascii="Arial" w:cs="Arial" w:eastAsia="Arial" w:hAnsi="Arial"/>
                  <w:sz w:val="18"/>
                  <w:szCs w:val="18"/>
                  <w:color w:val="0563C1"/>
                  <w:w w:val="89"/>
                </w:rPr>
                <w:t>of stock option and restricted stock unit agreements</w:t>
              </w:r>
            </w:hyperlink>
          </w:p>
        </w:tc>
        <w:tc>
          <w:tcPr>
            <w:tcW w:w="520" w:type="dxa"/>
            <w:vAlign w:val="bottom"/>
            <w:tcBorders>
              <w:top w:val="single" w:sz="8" w:color="0563C1"/>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95"/>
              </w:rPr>
              <w:t>23.1*</w:t>
            </w:r>
          </w:p>
        </w:tc>
        <w:tc>
          <w:tcPr>
            <w:tcW w:w="4280" w:type="dxa"/>
            <w:vAlign w:val="bottom"/>
            <w:gridSpan w:val="16"/>
          </w:tcPr>
          <w:p>
            <w:pPr>
              <w:spacing w:after="0"/>
              <w:rPr>
                <w:rFonts w:ascii="Arial" w:cs="Arial" w:eastAsia="Arial" w:hAnsi="Arial"/>
                <w:sz w:val="18"/>
                <w:szCs w:val="18"/>
                <w:color w:val="0563C1"/>
                <w:w w:val="98"/>
              </w:rPr>
            </w:pPr>
            <w:hyperlink w:anchor="page140">
              <w:r>
                <w:rPr>
                  <w:rFonts w:ascii="Arial" w:cs="Arial" w:eastAsia="Arial" w:hAnsi="Arial"/>
                  <w:sz w:val="18"/>
                  <w:szCs w:val="18"/>
                  <w:color w:val="0563C1"/>
                  <w:w w:val="98"/>
                </w:rPr>
                <w:t>Consent of Independent Registered Public Accounting</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8"/>
              </w:rPr>
            </w:pPr>
            <w:hyperlink w:anchor="page140">
              <w:r>
                <w:rPr>
                  <w:rFonts w:ascii="Arial" w:cs="Arial" w:eastAsia="Arial" w:hAnsi="Arial"/>
                  <w:sz w:val="18"/>
                  <w:szCs w:val="18"/>
                  <w:color w:val="0563C1"/>
                  <w:w w:val="88"/>
                </w:rPr>
                <w:t>Firm</w:t>
              </w:r>
            </w:hyperlink>
          </w:p>
        </w:tc>
        <w:tc>
          <w:tcPr>
            <w:tcW w:w="3620" w:type="dxa"/>
            <w:vAlign w:val="bottom"/>
            <w:tcBorders>
              <w:top w:val="single" w:sz="8" w:color="0563C1"/>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95"/>
              </w:rPr>
              <w:t>24.1*</w:t>
            </w:r>
          </w:p>
        </w:tc>
        <w:tc>
          <w:tcPr>
            <w:tcW w:w="4280" w:type="dxa"/>
            <w:vAlign w:val="bottom"/>
            <w:gridSpan w:val="16"/>
          </w:tcPr>
          <w:p>
            <w:pPr>
              <w:spacing w:after="0"/>
              <w:rPr>
                <w:rFonts w:ascii="Arial" w:cs="Arial" w:eastAsia="Arial" w:hAnsi="Arial"/>
                <w:sz w:val="18"/>
                <w:szCs w:val="18"/>
                <w:color w:val="0563C1"/>
                <w:w w:val="93"/>
              </w:rPr>
            </w:pPr>
            <w:hyperlink w:anchor="page129">
              <w:r>
                <w:rPr>
                  <w:rFonts w:ascii="Arial" w:cs="Arial" w:eastAsia="Arial" w:hAnsi="Arial"/>
                  <w:sz w:val="18"/>
                  <w:szCs w:val="18"/>
                  <w:color w:val="0563C1"/>
                  <w:w w:val="93"/>
                </w:rPr>
                <w:t>Power of Attorney (included on the signature page to this</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60" w:type="dxa"/>
            <w:vAlign w:val="bottom"/>
            <w:tcBorders>
              <w:top w:val="single" w:sz="8" w:color="0563C1"/>
            </w:tcBorders>
            <w:gridSpan w:val="11"/>
          </w:tcPr>
          <w:p>
            <w:pPr>
              <w:spacing w:after="0" w:line="156" w:lineRule="exact"/>
              <w:rPr>
                <w:rFonts w:ascii="Arial" w:cs="Arial" w:eastAsia="Arial" w:hAnsi="Arial"/>
                <w:sz w:val="18"/>
                <w:szCs w:val="18"/>
                <w:color w:val="0563C1"/>
              </w:rPr>
            </w:pPr>
            <w:hyperlink w:anchor="page129">
              <w:r>
                <w:rPr>
                  <w:rFonts w:ascii="Arial" w:cs="Arial" w:eastAsia="Arial" w:hAnsi="Arial"/>
                  <w:sz w:val="18"/>
                  <w:szCs w:val="18"/>
                  <w:color w:val="0563C1"/>
                </w:rPr>
                <w:t>Annual Report on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80" w:type="dxa"/>
            <w:vAlign w:val="bottom"/>
            <w:gridSpan w:val="3"/>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95"/>
              </w:rPr>
              <w:t>31.1*</w:t>
            </w:r>
          </w:p>
        </w:tc>
        <w:tc>
          <w:tcPr>
            <w:tcW w:w="4280" w:type="dxa"/>
            <w:vAlign w:val="bottom"/>
            <w:gridSpan w:val="16"/>
          </w:tcPr>
          <w:p>
            <w:pPr>
              <w:spacing w:after="0"/>
              <w:rPr>
                <w:rFonts w:ascii="Arial" w:cs="Arial" w:eastAsia="Arial" w:hAnsi="Arial"/>
                <w:sz w:val="18"/>
                <w:szCs w:val="18"/>
                <w:color w:val="0563C1"/>
                <w:w w:val="99"/>
              </w:rPr>
            </w:pPr>
            <w:hyperlink w:anchor="page141">
              <w:r>
                <w:rPr>
                  <w:rFonts w:ascii="Arial" w:cs="Arial" w:eastAsia="Arial" w:hAnsi="Arial"/>
                  <w:sz w:val="18"/>
                  <w:szCs w:val="18"/>
                  <w:color w:val="0563C1"/>
                  <w:w w:val="99"/>
                </w:rPr>
                <w:t>Certification of Principal Executive Officer Pursuant to</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20" w:type="dxa"/>
            <w:vAlign w:val="bottom"/>
            <w:tcBorders>
              <w:top w:val="single" w:sz="8" w:color="0563C1"/>
              <w:bottom w:val="single" w:sz="8" w:color="0563C1"/>
            </w:tcBorders>
            <w:gridSpan w:val="6"/>
          </w:tcPr>
          <w:p>
            <w:pPr>
              <w:spacing w:after="0" w:line="156" w:lineRule="exact"/>
              <w:rPr>
                <w:rFonts w:ascii="Arial" w:cs="Arial" w:eastAsia="Arial" w:hAnsi="Arial"/>
                <w:sz w:val="18"/>
                <w:szCs w:val="18"/>
                <w:color w:val="0563C1"/>
                <w:w w:val="89"/>
              </w:rPr>
            </w:pPr>
            <w:hyperlink w:anchor="page141">
              <w:r>
                <w:rPr>
                  <w:rFonts w:ascii="Arial" w:cs="Arial" w:eastAsia="Arial" w:hAnsi="Arial"/>
                  <w:sz w:val="18"/>
                  <w:szCs w:val="18"/>
                  <w:color w:val="0563C1"/>
                  <w:w w:val="89"/>
                </w:rPr>
                <w:t>Rules 13a-14(a) and 15d-14(a) under the Securities</w:t>
              </w:r>
            </w:hyperlink>
          </w:p>
        </w:tc>
        <w:tc>
          <w:tcPr>
            <w:tcW w:w="300" w:type="dxa"/>
            <w:vAlign w:val="bottom"/>
            <w:tcBorders>
              <w:top w:val="single" w:sz="8" w:color="0563C1"/>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280" w:type="dxa"/>
            <w:vAlign w:val="bottom"/>
            <w:tcBorders>
              <w:bottom w:val="single" w:sz="8" w:color="0563C1"/>
            </w:tcBorders>
            <w:gridSpan w:val="16"/>
          </w:tcPr>
          <w:p>
            <w:pPr>
              <w:spacing w:after="0" w:line="156" w:lineRule="exact"/>
              <w:rPr>
                <w:rFonts w:ascii="Arial" w:cs="Arial" w:eastAsia="Arial" w:hAnsi="Arial"/>
                <w:sz w:val="18"/>
                <w:szCs w:val="18"/>
                <w:color w:val="0563C1"/>
                <w:w w:val="89"/>
              </w:rPr>
            </w:pPr>
            <w:hyperlink w:anchor="page141">
              <w:r>
                <w:rPr>
                  <w:rFonts w:ascii="Arial" w:cs="Arial" w:eastAsia="Arial" w:hAnsi="Arial"/>
                  <w:sz w:val="18"/>
                  <w:szCs w:val="18"/>
                  <w:color w:val="0563C1"/>
                  <w:w w:val="89"/>
                </w:rPr>
                <w:t>Exchange Act of 1934, as Adopted Pursuant to Section 302</w:t>
              </w:r>
            </w:hyperlink>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280" w:type="dxa"/>
            <w:vAlign w:val="bottom"/>
            <w:gridSpan w:val="16"/>
          </w:tcPr>
          <w:p>
            <w:pPr>
              <w:spacing w:after="0" w:line="156" w:lineRule="exact"/>
              <w:rPr>
                <w:rFonts w:ascii="Arial" w:cs="Arial" w:eastAsia="Arial" w:hAnsi="Arial"/>
                <w:sz w:val="18"/>
                <w:szCs w:val="18"/>
                <w:color w:val="0563C1"/>
              </w:rPr>
            </w:pPr>
            <w:hyperlink w:anchor="page141">
              <w:r>
                <w:rPr>
                  <w:rFonts w:ascii="Arial" w:cs="Arial" w:eastAsia="Arial" w:hAnsi="Arial"/>
                  <w:sz w:val="18"/>
                  <w:szCs w:val="18"/>
                  <w:color w:val="0563C1"/>
                </w:rPr>
                <w:t>of the Sarbanes-Oxley Act of 2002.</w:t>
              </w:r>
            </w:hyperlink>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540" w:type="dxa"/>
            <w:vAlign w:val="bottom"/>
            <w:gridSpan w:val="4"/>
            <w:shd w:val="clear" w:color="auto" w:fill="0563C1"/>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95"/>
              </w:rPr>
              <w:t>31.2*</w:t>
            </w:r>
          </w:p>
        </w:tc>
        <w:tc>
          <w:tcPr>
            <w:tcW w:w="4280" w:type="dxa"/>
            <w:vAlign w:val="bottom"/>
            <w:gridSpan w:val="16"/>
          </w:tcPr>
          <w:p>
            <w:pPr>
              <w:spacing w:after="0"/>
              <w:rPr>
                <w:rFonts w:ascii="Arial" w:cs="Arial" w:eastAsia="Arial" w:hAnsi="Arial"/>
                <w:sz w:val="18"/>
                <w:szCs w:val="18"/>
                <w:color w:val="0563C1"/>
              </w:rPr>
            </w:pPr>
            <w:hyperlink w:anchor="page142">
              <w:r>
                <w:rPr>
                  <w:rFonts w:ascii="Arial" w:cs="Arial" w:eastAsia="Arial" w:hAnsi="Arial"/>
                  <w:sz w:val="18"/>
                  <w:szCs w:val="18"/>
                  <w:color w:val="0563C1"/>
                </w:rPr>
                <w:t>Certification of Principal Financial Officer Pursuant to</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20" w:type="dxa"/>
            <w:vAlign w:val="bottom"/>
            <w:tcBorders>
              <w:top w:val="single" w:sz="8" w:color="0563C1"/>
              <w:bottom w:val="single" w:sz="8" w:color="0563C1"/>
            </w:tcBorders>
            <w:gridSpan w:val="6"/>
          </w:tcPr>
          <w:p>
            <w:pPr>
              <w:spacing w:after="0" w:line="156" w:lineRule="exact"/>
              <w:rPr>
                <w:rFonts w:ascii="Arial" w:cs="Arial" w:eastAsia="Arial" w:hAnsi="Arial"/>
                <w:sz w:val="18"/>
                <w:szCs w:val="18"/>
                <w:color w:val="0563C1"/>
                <w:w w:val="89"/>
              </w:rPr>
            </w:pPr>
            <w:hyperlink w:anchor="page142">
              <w:r>
                <w:rPr>
                  <w:rFonts w:ascii="Arial" w:cs="Arial" w:eastAsia="Arial" w:hAnsi="Arial"/>
                  <w:sz w:val="18"/>
                  <w:szCs w:val="18"/>
                  <w:color w:val="0563C1"/>
                  <w:w w:val="89"/>
                </w:rPr>
                <w:t>Rules 13a-14(a) and 15d-14(a) under the Securities</w:t>
              </w:r>
            </w:hyperlink>
          </w:p>
        </w:tc>
        <w:tc>
          <w:tcPr>
            <w:tcW w:w="260" w:type="dxa"/>
            <w:vAlign w:val="bottom"/>
            <w:tcBorders>
              <w:top w:val="single" w:sz="8" w:color="0563C1"/>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280" w:type="dxa"/>
            <w:vAlign w:val="bottom"/>
            <w:tcBorders>
              <w:bottom w:val="single" w:sz="8" w:color="0563C1"/>
            </w:tcBorders>
            <w:gridSpan w:val="16"/>
          </w:tcPr>
          <w:p>
            <w:pPr>
              <w:spacing w:after="0" w:line="156" w:lineRule="exact"/>
              <w:rPr>
                <w:rFonts w:ascii="Arial" w:cs="Arial" w:eastAsia="Arial" w:hAnsi="Arial"/>
                <w:sz w:val="18"/>
                <w:szCs w:val="18"/>
                <w:color w:val="0563C1"/>
                <w:w w:val="89"/>
              </w:rPr>
            </w:pPr>
            <w:hyperlink w:anchor="page142">
              <w:r>
                <w:rPr>
                  <w:rFonts w:ascii="Arial" w:cs="Arial" w:eastAsia="Arial" w:hAnsi="Arial"/>
                  <w:sz w:val="18"/>
                  <w:szCs w:val="18"/>
                  <w:color w:val="0563C1"/>
                  <w:w w:val="89"/>
                </w:rPr>
                <w:t>Exchange Act of 1934, as Adopted Pursuant to Section 302</w:t>
              </w:r>
            </w:hyperlink>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280" w:type="dxa"/>
            <w:vAlign w:val="bottom"/>
            <w:gridSpan w:val="16"/>
          </w:tcPr>
          <w:p>
            <w:pPr>
              <w:spacing w:after="0" w:line="156" w:lineRule="exact"/>
              <w:rPr>
                <w:rFonts w:ascii="Arial" w:cs="Arial" w:eastAsia="Arial" w:hAnsi="Arial"/>
                <w:sz w:val="18"/>
                <w:szCs w:val="18"/>
                <w:color w:val="0563C1"/>
              </w:rPr>
            </w:pPr>
            <w:hyperlink w:anchor="page142">
              <w:r>
                <w:rPr>
                  <w:rFonts w:ascii="Arial" w:cs="Arial" w:eastAsia="Arial" w:hAnsi="Arial"/>
                  <w:sz w:val="18"/>
                  <w:szCs w:val="18"/>
                  <w:color w:val="0563C1"/>
                </w:rPr>
                <w:t>of the Sarbanes-Oxley Act of 2002.</w:t>
              </w:r>
            </w:hyperlink>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540" w:type="dxa"/>
            <w:vAlign w:val="bottom"/>
            <w:gridSpan w:val="4"/>
            <w:shd w:val="clear" w:color="auto" w:fill="0563C1"/>
          </w:tcPr>
          <w:p>
            <w:pPr>
              <w:spacing w:after="0" w:line="20" w:lineRule="exact"/>
              <w:rPr>
                <w:sz w:val="1"/>
                <w:szCs w:val="1"/>
                <w:color w:val="auto"/>
              </w:rPr>
            </w:pPr>
          </w:p>
        </w:tc>
        <w:tc>
          <w:tcPr>
            <w:tcW w:w="164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ind w:right="310"/>
              <w:spacing w:after="0"/>
              <w:rPr>
                <w:sz w:val="20"/>
                <w:szCs w:val="20"/>
                <w:color w:val="auto"/>
              </w:rPr>
            </w:pPr>
            <w:r>
              <w:rPr>
                <w:rFonts w:ascii="Arial" w:cs="Arial" w:eastAsia="Arial" w:hAnsi="Arial"/>
                <w:sz w:val="18"/>
                <w:szCs w:val="18"/>
                <w:color w:val="auto"/>
              </w:rPr>
              <w:t>32.1**</w:t>
            </w:r>
          </w:p>
        </w:tc>
        <w:tc>
          <w:tcPr>
            <w:tcW w:w="4280" w:type="dxa"/>
            <w:vAlign w:val="bottom"/>
            <w:gridSpan w:val="16"/>
          </w:tcPr>
          <w:p>
            <w:pPr>
              <w:spacing w:after="0"/>
              <w:rPr>
                <w:rFonts w:ascii="Arial" w:cs="Arial" w:eastAsia="Arial" w:hAnsi="Arial"/>
                <w:sz w:val="18"/>
                <w:szCs w:val="18"/>
                <w:color w:val="0563C1"/>
                <w:w w:val="94"/>
              </w:rPr>
            </w:pPr>
            <w:hyperlink w:anchor="page143">
              <w:r>
                <w:rPr>
                  <w:rFonts w:ascii="Arial" w:cs="Arial" w:eastAsia="Arial" w:hAnsi="Arial"/>
                  <w:sz w:val="18"/>
                  <w:szCs w:val="18"/>
                  <w:color w:val="0563C1"/>
                  <w:w w:val="94"/>
                </w:rPr>
                <w:t>Certification of Principal Executive Officer Pursuant to 18</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240" w:type="dxa"/>
            <w:vAlign w:val="bottom"/>
            <w:tcBorders>
              <w:top w:val="single" w:sz="8" w:color="0563C1"/>
            </w:tcBorders>
            <w:gridSpan w:val="15"/>
          </w:tcPr>
          <w:p>
            <w:pPr>
              <w:spacing w:after="0" w:line="156" w:lineRule="exact"/>
              <w:rPr>
                <w:rFonts w:ascii="Arial" w:cs="Arial" w:eastAsia="Arial" w:hAnsi="Arial"/>
                <w:sz w:val="18"/>
                <w:szCs w:val="18"/>
                <w:color w:val="0563C1"/>
                <w:w w:val="91"/>
              </w:rPr>
            </w:pPr>
            <w:hyperlink w:anchor="page143">
              <w:r>
                <w:rPr>
                  <w:rFonts w:ascii="Arial" w:cs="Arial" w:eastAsia="Arial" w:hAnsi="Arial"/>
                  <w:sz w:val="18"/>
                  <w:szCs w:val="18"/>
                  <w:color w:val="0563C1"/>
                  <w:w w:val="91"/>
                </w:rPr>
                <w:t>U.S.C. Section 1350, as Adopted Pursuant to Section 906</w:t>
              </w:r>
            </w:hyperlink>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80" w:type="dxa"/>
            <w:vAlign w:val="bottom"/>
            <w:tcBorders>
              <w:top w:val="single" w:sz="8" w:color="0563C1"/>
            </w:tcBorders>
            <w:gridSpan w:val="12"/>
          </w:tcPr>
          <w:p>
            <w:pPr>
              <w:spacing w:after="0" w:line="156" w:lineRule="exact"/>
              <w:rPr>
                <w:rFonts w:ascii="Arial" w:cs="Arial" w:eastAsia="Arial" w:hAnsi="Arial"/>
                <w:sz w:val="18"/>
                <w:szCs w:val="18"/>
                <w:color w:val="0563C1"/>
              </w:rPr>
            </w:pPr>
            <w:hyperlink w:anchor="page143">
              <w:r>
                <w:rPr>
                  <w:rFonts w:ascii="Arial" w:cs="Arial" w:eastAsia="Arial" w:hAnsi="Arial"/>
                  <w:sz w:val="18"/>
                  <w:szCs w:val="18"/>
                  <w:color w:val="0563C1"/>
                </w:rPr>
                <w:t>of the Sarbanes-Oxley Act of 2002.</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540" w:type="dxa"/>
            <w:vAlign w:val="bottom"/>
            <w:gridSpan w:val="4"/>
            <w:shd w:val="clear" w:color="auto" w:fill="0563C1"/>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ind w:right="310"/>
              <w:spacing w:after="0"/>
              <w:rPr>
                <w:sz w:val="20"/>
                <w:szCs w:val="20"/>
                <w:color w:val="auto"/>
              </w:rPr>
            </w:pPr>
            <w:r>
              <w:rPr>
                <w:rFonts w:ascii="Arial" w:cs="Arial" w:eastAsia="Arial" w:hAnsi="Arial"/>
                <w:sz w:val="18"/>
                <w:szCs w:val="18"/>
                <w:color w:val="auto"/>
              </w:rPr>
              <w:t>32.2**</w:t>
            </w:r>
          </w:p>
        </w:tc>
        <w:tc>
          <w:tcPr>
            <w:tcW w:w="4280" w:type="dxa"/>
            <w:vAlign w:val="bottom"/>
            <w:gridSpan w:val="16"/>
          </w:tcPr>
          <w:p>
            <w:pPr>
              <w:spacing w:after="0"/>
              <w:rPr>
                <w:rFonts w:ascii="Arial" w:cs="Arial" w:eastAsia="Arial" w:hAnsi="Arial"/>
                <w:sz w:val="18"/>
                <w:szCs w:val="18"/>
                <w:color w:val="0563C1"/>
                <w:w w:val="95"/>
              </w:rPr>
            </w:pPr>
            <w:hyperlink w:anchor="page144">
              <w:r>
                <w:rPr>
                  <w:rFonts w:ascii="Arial" w:cs="Arial" w:eastAsia="Arial" w:hAnsi="Arial"/>
                  <w:sz w:val="18"/>
                  <w:szCs w:val="18"/>
                  <w:color w:val="0563C1"/>
                  <w:w w:val="95"/>
                </w:rPr>
                <w:t>Certification of Principal Financial Officer Pursuant to 18</w:t>
              </w:r>
            </w:hyperlink>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200" w:type="dxa"/>
            <w:vAlign w:val="bottom"/>
            <w:tcBorders>
              <w:top w:val="single" w:sz="8" w:color="0563C1"/>
            </w:tcBorders>
            <w:gridSpan w:val="13"/>
          </w:tcPr>
          <w:p>
            <w:pPr>
              <w:spacing w:after="0" w:line="156" w:lineRule="exact"/>
              <w:rPr>
                <w:rFonts w:ascii="Arial" w:cs="Arial" w:eastAsia="Arial" w:hAnsi="Arial"/>
                <w:sz w:val="18"/>
                <w:szCs w:val="18"/>
                <w:color w:val="0563C1"/>
                <w:w w:val="90"/>
              </w:rPr>
            </w:pPr>
            <w:hyperlink w:anchor="page144">
              <w:r>
                <w:rPr>
                  <w:rFonts w:ascii="Arial" w:cs="Arial" w:eastAsia="Arial" w:hAnsi="Arial"/>
                  <w:sz w:val="18"/>
                  <w:szCs w:val="18"/>
                  <w:color w:val="0563C1"/>
                  <w:w w:val="90"/>
                </w:rPr>
                <w:t>U.S.C. Section 1350, as Adopted Pursuant to Section 906</w:t>
              </w:r>
            </w:hyperlink>
          </w:p>
        </w:tc>
        <w:tc>
          <w:tcPr>
            <w:tcW w:w="80" w:type="dxa"/>
            <w:vAlign w:val="bottom"/>
            <w:gridSpan w:val="3"/>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80" w:type="dxa"/>
            <w:vAlign w:val="bottom"/>
            <w:tcBorders>
              <w:top w:val="single" w:sz="8" w:color="0563C1"/>
            </w:tcBorders>
            <w:gridSpan w:val="12"/>
          </w:tcPr>
          <w:p>
            <w:pPr>
              <w:spacing w:after="0" w:line="156" w:lineRule="exact"/>
              <w:rPr>
                <w:rFonts w:ascii="Arial" w:cs="Arial" w:eastAsia="Arial" w:hAnsi="Arial"/>
                <w:sz w:val="18"/>
                <w:szCs w:val="18"/>
                <w:color w:val="0563C1"/>
              </w:rPr>
            </w:pPr>
            <w:hyperlink w:anchor="page144">
              <w:r>
                <w:rPr>
                  <w:rFonts w:ascii="Arial" w:cs="Arial" w:eastAsia="Arial" w:hAnsi="Arial"/>
                  <w:sz w:val="18"/>
                  <w:szCs w:val="18"/>
                  <w:color w:val="0563C1"/>
                </w:rPr>
                <w:t>of the Sarbanes-Oxley Act of 2002.</w:t>
              </w:r>
            </w:hyperlink>
          </w:p>
        </w:tc>
        <w:tc>
          <w:tcPr>
            <w:tcW w:w="100" w:type="dxa"/>
            <w:vAlign w:val="bottom"/>
            <w:gridSpan w:val="4"/>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540" w:type="dxa"/>
            <w:vAlign w:val="bottom"/>
            <w:gridSpan w:val="4"/>
            <w:shd w:val="clear" w:color="auto" w:fill="0563C1"/>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92"/>
              </w:rPr>
              <w:t>101.INS</w:t>
            </w:r>
          </w:p>
        </w:tc>
        <w:tc>
          <w:tcPr>
            <w:tcW w:w="428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0"/>
              </w:rPr>
              <w:t>101.SCH</w:t>
            </w:r>
          </w:p>
        </w:tc>
        <w:tc>
          <w:tcPr>
            <w:tcW w:w="4280" w:type="dxa"/>
            <w:vAlign w:val="bottom"/>
            <w:gridSpan w:val="16"/>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4"/>
              </w:rPr>
              <w:t>101.CAL</w:t>
            </w:r>
          </w:p>
        </w:tc>
        <w:tc>
          <w:tcPr>
            <w:tcW w:w="4280" w:type="dxa"/>
            <w:vAlign w:val="bottom"/>
            <w:gridSpan w:val="16"/>
          </w:tcPr>
          <w:p>
            <w:pPr>
              <w:spacing w:after="0"/>
              <w:rPr>
                <w:sz w:val="20"/>
                <w:szCs w:val="20"/>
                <w:color w:val="auto"/>
              </w:rPr>
            </w:pPr>
            <w:r>
              <w:rPr>
                <w:rFonts w:ascii="Arial" w:cs="Arial" w:eastAsia="Arial" w:hAnsi="Arial"/>
                <w:sz w:val="18"/>
                <w:szCs w:val="18"/>
                <w:color w:val="auto"/>
                <w:w w:val="96"/>
              </w:rPr>
              <w:t>Inline XBRL Taxonomy Extension Calculation Linkbase</w:t>
            </w: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2"/>
              </w:rPr>
              <w:t>101.DEF</w:t>
            </w:r>
          </w:p>
        </w:tc>
        <w:tc>
          <w:tcPr>
            <w:tcW w:w="42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5"/>
              </w:rPr>
              <w:t>101.LAB</w:t>
            </w:r>
          </w:p>
        </w:tc>
        <w:tc>
          <w:tcPr>
            <w:tcW w:w="42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w:t>
            </w: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060" w:type="dxa"/>
            <w:vAlign w:val="bottom"/>
          </w:tcPr>
          <w:p>
            <w:pPr>
              <w:jc w:val="center"/>
              <w:ind w:right="330"/>
              <w:spacing w:after="0"/>
              <w:rPr>
                <w:sz w:val="20"/>
                <w:szCs w:val="20"/>
                <w:color w:val="auto"/>
              </w:rPr>
            </w:pPr>
            <w:r>
              <w:rPr>
                <w:rFonts w:ascii="Arial" w:cs="Arial" w:eastAsia="Arial" w:hAnsi="Arial"/>
                <w:sz w:val="18"/>
                <w:szCs w:val="18"/>
                <w:color w:val="auto"/>
                <w:w w:val="88"/>
              </w:rPr>
              <w:t>101.PRE</w:t>
            </w:r>
          </w:p>
        </w:tc>
        <w:tc>
          <w:tcPr>
            <w:tcW w:w="4280" w:type="dxa"/>
            <w:vAlign w:val="bottom"/>
            <w:gridSpan w:val="16"/>
          </w:tcPr>
          <w:p>
            <w:pPr>
              <w:spacing w:after="0"/>
              <w:rPr>
                <w:sz w:val="20"/>
                <w:szCs w:val="20"/>
                <w:color w:val="auto"/>
              </w:rPr>
            </w:pPr>
            <w:r>
              <w:rPr>
                <w:rFonts w:ascii="Arial" w:cs="Arial" w:eastAsia="Arial" w:hAnsi="Arial"/>
                <w:sz w:val="18"/>
                <w:szCs w:val="18"/>
                <w:color w:val="auto"/>
                <w:w w:val="94"/>
              </w:rPr>
              <w:t>Inline XBRL Taxonomy Extension Presentation Linkbase</w:t>
            </w:r>
          </w:p>
        </w:tc>
        <w:tc>
          <w:tcPr>
            <w:tcW w:w="1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28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72" w:right="5960" w:hanging="848"/>
        <w:spacing w:after="0" w:line="235" w:lineRule="auto"/>
        <w:tabs>
          <w:tab w:leader="none" w:pos="1172"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61" w:lineRule="exact"/>
        <w:rPr>
          <w:rFonts w:ascii="Arial" w:cs="Arial" w:eastAsia="Arial" w:hAnsi="Arial"/>
          <w:sz w:val="18"/>
          <w:szCs w:val="18"/>
          <w:color w:val="auto"/>
        </w:rPr>
      </w:pPr>
    </w:p>
    <w:p>
      <w:pPr>
        <w:ind w:left="352" w:hanging="352"/>
        <w:spacing w:after="0"/>
        <w:tabs>
          <w:tab w:leader="none" w:pos="3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9030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 w:lineRule="exact"/>
        <w:rPr>
          <w:sz w:val="20"/>
          <w:szCs w:val="20"/>
          <w:color w:val="auto"/>
        </w:rPr>
      </w:pPr>
    </w:p>
    <w:p>
      <w:pPr>
        <w:ind w:left="352" w:hanging="352"/>
        <w:spacing w:after="0"/>
        <w:tabs>
          <w:tab w:leader="none" w:pos="3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5" w:lineRule="exact"/>
        <w:rPr>
          <w:sz w:val="20"/>
          <w:szCs w:val="20"/>
          <w:color w:val="auto"/>
        </w:rPr>
      </w:pPr>
    </w:p>
    <w:p>
      <w:pPr>
        <w:ind w:left="452" w:hanging="452"/>
        <w:spacing w:after="0" w:line="243" w:lineRule="auto"/>
        <w:tabs>
          <w:tab w:leader="none" w:pos="3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499" w:right="45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5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ORIC Pharmaceuticals, Inc.</w:t>
      </w:r>
    </w:p>
    <w:p>
      <w:pPr>
        <w:sectPr>
          <w:pgSz w:w="11900" w:h="16838" w:orient="portrait"/>
          <w:cols w:equalWidth="0" w:num="1">
            <w:col w:w="11240"/>
          </w:cols>
          <w:pgMar w:left="320" w:top="324"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21, 2022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12065</wp:posOffset>
            </wp:positionV>
            <wp:extent cx="34632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4720" w:space="720"/>
            <w:col w:w="1620" w:space="720"/>
            <w:col w:w="3460"/>
          </w:cols>
          <w:pgMar w:left="320" w:top="324" w:right="339" w:bottom="1440" w:gutter="0" w:footer="0" w:header="0"/>
          <w:type w:val="continuous"/>
        </w:sectPr>
      </w:pPr>
    </w:p>
    <w:p>
      <w:pPr>
        <w:jc w:val="center"/>
        <w:ind w:left="5760"/>
        <w:spacing w:after="0"/>
        <w:rPr>
          <w:sz w:val="20"/>
          <w:szCs w:val="20"/>
          <w:color w:val="auto"/>
        </w:rPr>
      </w:pPr>
      <w:r>
        <w:rPr>
          <w:rFonts w:ascii="Arial" w:cs="Arial" w:eastAsia="Arial" w:hAnsi="Arial"/>
          <w:sz w:val="18"/>
          <w:szCs w:val="18"/>
          <w:b w:val="1"/>
          <w:bCs w:val="1"/>
          <w:color w:val="auto"/>
        </w:rPr>
        <w:t>Jacob M. Chacko, M.D.</w:t>
      </w:r>
    </w:p>
    <w:p>
      <w:pPr>
        <w:ind w:left="72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Jacob M. Chacko, M.D. and Dominic Piscitelli as his or her true and lawful attorneys-in-fact and agents, with full power of substitution and substitution, for him or her and in his or her name, place, and stead, in any and all capacities (including his capacity as a director and/or officer of ORIC Pharmaceuticals,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208"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Jacob M. Chacko</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Jacob M. Chacko, M.D.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Dominic Piscitelli</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Dominic Piscitelli</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Heyman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Chair of the Board of Directors</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Heyman,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Mardi Dier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Mardi Dier</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Hoerter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Steven Hoerter</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2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Lori Kunkel</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7"/>
              </w:rPr>
              <w:t>Lori Kunkel, M.D.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Angie You</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21, 2022</w:t>
            </w:r>
          </w:p>
        </w:tc>
      </w:tr>
      <w:tr>
        <w:trPr>
          <w:trHeight w:val="38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Angie You,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4.3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7"/>
          <w:szCs w:val="17"/>
          <w:b w:val="1"/>
          <w:bCs w:val="1"/>
          <w:color w:val="auto"/>
        </w:rPr>
        <w:t>ESCRIPTION OF THE REGISTRANT’S CAPITAL STOCK</w:t>
      </w:r>
    </w:p>
    <w:p>
      <w:pPr>
        <w:jc w:val="center"/>
        <w:spacing w:after="0" w:line="234"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6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which have been filed as exhibits to this Annual Report on Form 10-K, as well as to the applicable provisions of the Delaware General Corporation Law.</w:t>
      </w:r>
    </w:p>
    <w:p>
      <w:pPr>
        <w:spacing w:after="0" w:line="205" w:lineRule="exact"/>
        <w:rPr>
          <w:sz w:val="20"/>
          <w:szCs w:val="20"/>
          <w:color w:val="auto"/>
        </w:rPr>
      </w:pPr>
    </w:p>
    <w:p>
      <w:pPr>
        <w:ind w:right="360" w:firstLine="749"/>
        <w:spacing w:after="0" w:line="246" w:lineRule="auto"/>
        <w:rPr>
          <w:sz w:val="20"/>
          <w:szCs w:val="20"/>
          <w:color w:val="auto"/>
        </w:rPr>
      </w:pPr>
      <w:r>
        <w:rPr>
          <w:rFonts w:ascii="Arial" w:cs="Arial" w:eastAsia="Arial" w:hAnsi="Arial"/>
          <w:sz w:val="18"/>
          <w:szCs w:val="18"/>
          <w:color w:val="auto"/>
        </w:rPr>
        <w:t>Our authorized capital stock consists of 1,000,000,000 shares of common stock, par value $0.0001 per share, and 200,000,000 shares of preferred stock, par value $0.0001 per share.</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jc w:val="both"/>
        <w:ind w:right="380" w:firstLine="749"/>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100" w:firstLine="749"/>
        <w:spacing w:after="0" w:line="261"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color w:val="auto"/>
        </w:rPr>
        <w:t>Preferred stock</w:t>
      </w:r>
    </w:p>
    <w:p>
      <w:pPr>
        <w:spacing w:after="0" w:line="238"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0"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Certain holders of our common stock are entitled to certain registration rights pursuant to our investors’ rights agreement, as amended. Holders of such shares of our common stock have the right to require us to register the offer and sale of their shares or to include their shares in any registration statement we file, in each case as described below. In addition, with respect to the shares of our common stock issued pursuant to a license agreement with Mirati Therapeutics (Mirati) dated August 3, 2020, Mirati and we agreed to negotiate and enter into a registration rights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Certain holders of shares of our common stock are entitled to certain demand registration rights. At any time beginning after 180 days following the date of our initial public offering, the holders of at least 50% of the shares having registration rights can request that we file a registration statement to register the offer and sale of their shares. We are only obligated to effect up to two such registrations. Each such request for registration must cover securities the anticipated aggregate gross proceeds of which, before deducting underwriting discounts and expenses, is at least $10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once in any twelve month period, for a period of up to 90 days.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right="100" w:firstLine="749"/>
        <w:spacing w:after="0" w:line="251" w:lineRule="auto"/>
        <w:rPr>
          <w:sz w:val="20"/>
          <w:szCs w:val="20"/>
          <w:color w:val="auto"/>
        </w:rPr>
      </w:pPr>
      <w:r>
        <w:rPr>
          <w:rFonts w:ascii="Arial" w:cs="Arial" w:eastAsia="Arial" w:hAnsi="Arial"/>
          <w:sz w:val="17"/>
          <w:szCs w:val="17"/>
          <w:color w:val="auto"/>
        </w:rPr>
        <w:t>Certain holders of shares of our common stock are entitled to certain Form S-3 registration rights. When we are eligible to file a registration statement on Form S-3, the holders of the shares having these rights can request that we register the offer and sale of their shares of our common stock on a registration statement on Form S-3 so long as the request covers securities the anticipated aggregate public offering price of which is at least $1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once in any twelve month period, for a period of up to 90 days.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34" w:lineRule="exact"/>
        <w:rPr>
          <w:sz w:val="20"/>
          <w:szCs w:val="20"/>
          <w:color w:val="auto"/>
        </w:rPr>
      </w:pPr>
    </w:p>
    <w:p>
      <w:pPr>
        <w:ind w:right="240" w:firstLine="749"/>
        <w:spacing w:after="0" w:line="234" w:lineRule="auto"/>
        <w:rPr>
          <w:sz w:val="20"/>
          <w:szCs w:val="20"/>
          <w:color w:val="auto"/>
        </w:rPr>
      </w:pPr>
      <w:r>
        <w:rPr>
          <w:rFonts w:ascii="Arial" w:cs="Arial" w:eastAsia="Arial" w:hAnsi="Arial"/>
          <w:sz w:val="18"/>
          <w:szCs w:val="18"/>
          <w:color w:val="auto"/>
        </w:rPr>
        <w:t>Certain holders of shares of our common stock are entitled to certain “piggyback” registration rights. If we propose to register the offer and sale of shares of our common stock under the Securities Act, the holders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1" w:name="page132"/>
    <w:bookmarkEnd w:id="131"/>
    <w:p>
      <w:pPr>
        <w:ind w:right="20"/>
        <w:spacing w:after="0" w:line="234" w:lineRule="auto"/>
        <w:rPr>
          <w:sz w:val="20"/>
          <w:szCs w:val="20"/>
          <w:color w:val="auto"/>
        </w:rPr>
      </w:pPr>
      <w:r>
        <w:rPr>
          <w:rFonts w:ascii="Arial" w:cs="Arial" w:eastAsia="Arial" w:hAnsi="Arial"/>
          <w:sz w:val="18"/>
          <w:szCs w:val="18"/>
          <w:color w:val="auto"/>
        </w:rPr>
        <w:t>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relating to the offer and sale of debt securities, (3) a registration on any registration form that does not permit secondary sales or</w:t>
      </w:r>
    </w:p>
    <w:p>
      <w:pPr>
        <w:spacing w:after="0" w:line="3" w:lineRule="exact"/>
        <w:rPr>
          <w:sz w:val="20"/>
          <w:szCs w:val="20"/>
          <w:color w:val="auto"/>
        </w:rPr>
      </w:pPr>
    </w:p>
    <w:p>
      <w:pPr>
        <w:ind w:right="280" w:firstLine="8"/>
        <w:spacing w:after="0"/>
        <w:tabs>
          <w:tab w:leader="none" w:pos="2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540" w:firstLine="749"/>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exceptions.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registration rights terminate upon the earliest of (1) the date that is four years after the closing of our initial public offering, (2) immediately prior to the closing of certain liquidation events and (3) as to a given holder of registration rights, the date after the closing of our initial public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ind w:right="1000"/>
        <w:spacing w:after="0" w:line="261" w:lineRule="auto"/>
        <w:rPr>
          <w:sz w:val="20"/>
          <w:szCs w:val="20"/>
          <w:color w:val="auto"/>
        </w:rPr>
      </w:pPr>
      <w:r>
        <w:rPr>
          <w:rFonts w:ascii="Arial" w:cs="Arial" w:eastAsia="Arial" w:hAnsi="Arial"/>
          <w:sz w:val="22"/>
          <w:szCs w:val="22"/>
          <w:b w:val="1"/>
          <w:bCs w:val="1"/>
          <w:color w:val="auto"/>
        </w:rPr>
        <w:t>Anti-takeover effects of certain provisions of Delaware law, our amended and restated certificate of incorporation and our amended and restated bylaws</w:t>
      </w:r>
    </w:p>
    <w:p>
      <w:pPr>
        <w:spacing w:after="0" w:line="75" w:lineRule="exact"/>
        <w:rPr>
          <w:sz w:val="20"/>
          <w:szCs w:val="20"/>
          <w:color w:val="auto"/>
        </w:rPr>
      </w:pPr>
    </w:p>
    <w:p>
      <w:pPr>
        <w:jc w:val="both"/>
        <w:ind w:right="220" w:firstLine="749"/>
        <w:spacing w:after="0" w:line="238" w:lineRule="auto"/>
        <w:rPr>
          <w:sz w:val="20"/>
          <w:szCs w:val="20"/>
          <w:color w:val="auto"/>
        </w:rPr>
      </w:pPr>
      <w:r>
        <w:rPr>
          <w:rFonts w:ascii="Arial" w:cs="Arial" w:eastAsia="Arial" w:hAnsi="Arial"/>
          <w:sz w:val="18"/>
          <w:szCs w:val="18"/>
          <w:color w:val="auto"/>
        </w:rPr>
        <w:t>Certain provisions of Delaware law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26" w:lineRule="exact"/>
        <w:rPr>
          <w:sz w:val="20"/>
          <w:szCs w:val="20"/>
          <w:color w:val="auto"/>
        </w:rPr>
      </w:pPr>
    </w:p>
    <w:p>
      <w:pPr>
        <w:ind w:right="80" w:firstLine="749"/>
        <w:spacing w:after="0" w:line="234"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terminates on the date of the 2021 annual meeting, the term of the initial Class II directors terminates on the date of the 2022 annual meeting, and the term of the initial Class III directors terminates on the date of the 2023 annual meeting. At each annual meeting of stockholders beginning in 2021, the class of directors whose term expires at that annual meeting will be subject to reelection for a three-year term.</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14" w:right="4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2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Our amended and restated certificate of incorporation provides that stockholders do not have the right to cumulate votes in the election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the Chairperson of our board of directors, by the majority of the board of directors or by our Chief Executive Officer or our President.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amended and restated bylaws provide that stockholders seeking to nominate candidates for election as directors at an annual or special meeting of stockholders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26"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2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0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Nothing in our amended and restated bylaws precludes stockholders that assert claims under the Exchange Act from bringing such claims in federal court, subject to applicable law. We note that stockholders cannot waive compliance (or consent to non-compliance) with the federal securities laws and the rules and regulations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(1) prior to such time the board of directors of such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30"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In addition to the indemnification required in our amended and restated certificate of incorporation and amended and restated bylaws, we have entered into an indemnification agreement with each member of our board of directors and each of our officers. These agreements provide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4" w:name="page135"/>
    <w:bookmarkEnd w:id="134"/>
    <w:p>
      <w:pPr>
        <w:spacing w:after="0" w:line="236" w:lineRule="auto"/>
        <w:rPr>
          <w:sz w:val="20"/>
          <w:szCs w:val="20"/>
          <w:color w:val="auto"/>
        </w:rPr>
      </w:pPr>
      <w:r>
        <w:rPr>
          <w:rFonts w:ascii="Arial" w:cs="Arial" w:eastAsia="Arial" w:hAnsi="Arial"/>
          <w:sz w:val="18"/>
          <w:szCs w:val="18"/>
          <w:color w:val="auto"/>
        </w:rPr>
        <w:t>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indemnification provisions and insurance are useful to attract and retain qualified directors and executive officers.</w:t>
      </w:r>
    </w:p>
    <w:p>
      <w:pPr>
        <w:spacing w:after="0" w:line="2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10.10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ORIC PHARMACEUTICALS,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OUTSIDE DIRECTOR COMPENSATION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Originally effective as of April 23, 2020, as amended by the Board of Directors as of March 16, 2022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24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ORIC Pharmaceuticals, Inc. (the “</w:t>
      </w:r>
      <w:r>
        <w:rPr>
          <w:rFonts w:ascii="Arial" w:cs="Arial" w:eastAsia="Arial" w:hAnsi="Arial"/>
          <w:sz w:val="21"/>
          <w:szCs w:val="21"/>
          <w:b w:val="1"/>
          <w:bCs w:val="1"/>
          <w:color w:val="auto"/>
        </w:rPr>
        <w:t>Company</w:t>
      </w:r>
      <w:r>
        <w:rPr>
          <w:rFonts w:ascii="Arial" w:cs="Arial" w:eastAsia="Arial" w:hAnsi="Arial"/>
          <w:sz w:val="21"/>
          <w:szCs w:val="21"/>
          <w:color w:val="auto"/>
        </w:rPr>
        <w:t>”) believes that providing cash and equity compensation to its members of the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and members of the Board, the “</w:t>
      </w:r>
      <w:r>
        <w:rPr>
          <w:rFonts w:ascii="Arial" w:cs="Arial" w:eastAsia="Arial" w:hAnsi="Arial"/>
          <w:sz w:val="21"/>
          <w:szCs w:val="21"/>
          <w:b w:val="1"/>
          <w:bCs w:val="1"/>
          <w:color w:val="auto"/>
        </w:rPr>
        <w:t>Directors</w:t>
      </w:r>
      <w:r>
        <w:rPr>
          <w:rFonts w:ascii="Arial" w:cs="Arial" w:eastAsia="Arial" w:hAnsi="Arial"/>
          <w:sz w:val="21"/>
          <w:szCs w:val="21"/>
          <w:color w:val="auto"/>
        </w:rPr>
        <w:t>”) represents an effective tool to attract, retain and reward Directors who are not employees of the Company (the “</w:t>
      </w:r>
      <w:r>
        <w:rPr>
          <w:rFonts w:ascii="Arial" w:cs="Arial" w:eastAsia="Arial" w:hAnsi="Arial"/>
          <w:sz w:val="21"/>
          <w:szCs w:val="21"/>
          <w:b w:val="1"/>
          <w:bCs w:val="1"/>
          <w:color w:val="auto"/>
        </w:rPr>
        <w:t>Outside Directors</w:t>
      </w:r>
      <w:r>
        <w:rPr>
          <w:rFonts w:ascii="Arial" w:cs="Arial" w:eastAsia="Arial" w:hAnsi="Arial"/>
          <w:sz w:val="21"/>
          <w:szCs w:val="21"/>
          <w:color w:val="auto"/>
        </w:rPr>
        <w:t>”). This Amended and Restated Outside Director Compensation Policy (the “</w:t>
      </w:r>
      <w:r>
        <w:rPr>
          <w:rFonts w:ascii="Arial" w:cs="Arial" w:eastAsia="Arial" w:hAnsi="Arial"/>
          <w:sz w:val="21"/>
          <w:szCs w:val="21"/>
          <w:b w:val="1"/>
          <w:bCs w:val="1"/>
          <w:color w:val="auto"/>
        </w:rPr>
        <w:t>Policy</w:t>
      </w:r>
      <w:r>
        <w:rPr>
          <w:rFonts w:ascii="Arial" w:cs="Arial" w:eastAsia="Arial" w:hAnsi="Arial"/>
          <w:sz w:val="21"/>
          <w:szCs w:val="21"/>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75" w:lineRule="exact"/>
        <w:rPr>
          <w:sz w:val="20"/>
          <w:szCs w:val="20"/>
          <w:color w:val="auto"/>
        </w:rPr>
      </w:pPr>
    </w:p>
    <w:p>
      <w:pPr>
        <w:ind w:left="760" w:hanging="378"/>
        <w:spacing w:after="0"/>
        <w:tabs>
          <w:tab w:leader="none" w:pos="760" w:val="left"/>
        </w:tabs>
        <w:numPr>
          <w:ilvl w:val="0"/>
          <w:numId w:val="8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ASH</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Cash Retainer</w:t>
      </w:r>
    </w:p>
    <w:p>
      <w:pPr>
        <w:spacing w:after="0" w:line="206" w:lineRule="exact"/>
        <w:rPr>
          <w:sz w:val="20"/>
          <w:szCs w:val="20"/>
          <w:color w:val="auto"/>
        </w:rPr>
      </w:pPr>
    </w:p>
    <w:p>
      <w:pPr>
        <w:jc w:val="both"/>
        <w:ind w:firstLine="749"/>
        <w:spacing w:after="0" w:line="259" w:lineRule="exact"/>
        <w:rPr>
          <w:sz w:val="20"/>
          <w:szCs w:val="20"/>
          <w:color w:val="auto"/>
        </w:rPr>
      </w:pPr>
      <w:r>
        <w:rPr>
          <w:rFonts w:ascii="Arial" w:cs="Arial" w:eastAsia="Arial" w:hAnsi="Arial"/>
          <w:sz w:val="21"/>
          <w:szCs w:val="21"/>
          <w:color w:val="auto"/>
        </w:rPr>
        <w:t>Each Outside Director will be paid an annual cash retainer of $35,000. There are no per</w:t>
      </w:r>
      <w:r>
        <w:rPr>
          <w:rFonts w:ascii="MS PGothic" w:cs="MS PGothic" w:eastAsia="MS PGothic" w:hAnsi="MS PGothic"/>
          <w:sz w:val="21"/>
          <w:szCs w:val="21"/>
          <w:color w:val="auto"/>
        </w:rPr>
        <w:t>‑</w:t>
      </w:r>
      <w:r>
        <w:rPr>
          <w:rFonts w:ascii="Arial" w:cs="Arial" w:eastAsia="Arial" w:hAnsi="Arial"/>
          <w:sz w:val="21"/>
          <w:szCs w:val="21"/>
          <w:color w:val="auto"/>
        </w:rPr>
        <w:t>meeting attendance fees for attending Board meetings. This cash compensation will be paid quarterly in arrears on a prorated basis.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Committee Annual Cash Retainer</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80" w:type="dxa"/>
            <w:vAlign w:val="bottom"/>
          </w:tcPr>
          <w:p>
            <w:pPr>
              <w:ind w:left="760"/>
              <w:spacing w:after="0"/>
              <w:rPr>
                <w:sz w:val="20"/>
                <w:szCs w:val="20"/>
                <w:color w:val="auto"/>
              </w:rPr>
            </w:pPr>
            <w:r>
              <w:rPr>
                <w:rFonts w:ascii="Arial" w:cs="Arial" w:eastAsia="Arial" w:hAnsi="Arial"/>
                <w:sz w:val="22"/>
                <w:szCs w:val="22"/>
                <w:color w:val="auto"/>
              </w:rPr>
              <w:t>Non-Executive Chair of the Board</w:t>
            </w:r>
          </w:p>
        </w:tc>
        <w:tc>
          <w:tcPr>
            <w:tcW w:w="6860" w:type="dxa"/>
            <w:vAlign w:val="bottom"/>
          </w:tcPr>
          <w:p>
            <w:pPr>
              <w:ind w:left="260"/>
              <w:spacing w:after="0"/>
              <w:rPr>
                <w:sz w:val="20"/>
                <w:szCs w:val="20"/>
                <w:color w:val="auto"/>
              </w:rPr>
            </w:pPr>
            <w:r>
              <w:rPr>
                <w:rFonts w:ascii="Arial" w:cs="Arial" w:eastAsia="Arial" w:hAnsi="Arial"/>
                <w:sz w:val="22"/>
                <w:szCs w:val="22"/>
                <w:color w:val="auto"/>
              </w:rPr>
              <w:t>$40,000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rPr>
              <w:t>Chair of Audit Committee:</w:t>
            </w:r>
          </w:p>
        </w:tc>
        <w:tc>
          <w:tcPr>
            <w:tcW w:w="6860" w:type="dxa"/>
            <w:vAlign w:val="bottom"/>
          </w:tcPr>
          <w:p>
            <w:pPr>
              <w:ind w:left="280"/>
              <w:spacing w:after="0"/>
              <w:rPr>
                <w:sz w:val="20"/>
                <w:szCs w:val="20"/>
                <w:color w:val="auto"/>
              </w:rPr>
            </w:pPr>
            <w:r>
              <w:rPr>
                <w:rFonts w:ascii="Arial" w:cs="Arial" w:eastAsia="Arial" w:hAnsi="Arial"/>
                <w:sz w:val="22"/>
                <w:szCs w:val="22"/>
                <w:color w:val="auto"/>
              </w:rPr>
              <w:t>$15,000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rPr>
              <w:t>Member of Audit Committee:</w:t>
            </w:r>
          </w:p>
        </w:tc>
        <w:tc>
          <w:tcPr>
            <w:tcW w:w="6860" w:type="dxa"/>
            <w:vAlign w:val="bottom"/>
          </w:tcPr>
          <w:p>
            <w:pPr>
              <w:ind w:left="260"/>
              <w:spacing w:after="0"/>
              <w:rPr>
                <w:sz w:val="20"/>
                <w:szCs w:val="20"/>
                <w:color w:val="auto"/>
              </w:rPr>
            </w:pPr>
            <w:r>
              <w:rPr>
                <w:rFonts w:ascii="Arial" w:cs="Arial" w:eastAsia="Arial" w:hAnsi="Arial"/>
                <w:sz w:val="22"/>
                <w:szCs w:val="22"/>
                <w:color w:val="auto"/>
              </w:rPr>
              <w:t>$7,500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rPr>
              <w:t>Chair of Compensation Committee:</w:t>
            </w:r>
          </w:p>
        </w:tc>
        <w:tc>
          <w:tcPr>
            <w:tcW w:w="6860" w:type="dxa"/>
            <w:vAlign w:val="bottom"/>
          </w:tcPr>
          <w:p>
            <w:pPr>
              <w:ind w:left="260"/>
              <w:spacing w:after="0"/>
              <w:rPr>
                <w:sz w:val="20"/>
                <w:szCs w:val="20"/>
                <w:color w:val="auto"/>
              </w:rPr>
            </w:pPr>
            <w:r>
              <w:rPr>
                <w:rFonts w:ascii="Arial" w:cs="Arial" w:eastAsia="Arial" w:hAnsi="Arial"/>
                <w:sz w:val="22"/>
                <w:szCs w:val="22"/>
                <w:color w:val="auto"/>
              </w:rPr>
              <w:t>$10,000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w w:val="96"/>
              </w:rPr>
              <w:t>Member of Compensation Committee:</w:t>
            </w:r>
          </w:p>
        </w:tc>
        <w:tc>
          <w:tcPr>
            <w:tcW w:w="6860" w:type="dxa"/>
            <w:vAlign w:val="bottom"/>
          </w:tcPr>
          <w:p>
            <w:pPr>
              <w:ind w:left="260"/>
              <w:spacing w:after="0"/>
              <w:rPr>
                <w:sz w:val="20"/>
                <w:szCs w:val="20"/>
                <w:color w:val="auto"/>
              </w:rPr>
            </w:pPr>
            <w:r>
              <w:rPr>
                <w:rFonts w:ascii="Arial" w:cs="Arial" w:eastAsia="Arial" w:hAnsi="Arial"/>
                <w:sz w:val="22"/>
                <w:szCs w:val="22"/>
                <w:color w:val="auto"/>
              </w:rPr>
              <w:t>$5,000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rPr>
              <w:t>Chair of Nominating Committee:</w:t>
            </w:r>
          </w:p>
        </w:tc>
        <w:tc>
          <w:tcPr>
            <w:tcW w:w="6860" w:type="dxa"/>
            <w:vAlign w:val="bottom"/>
          </w:tcPr>
          <w:p>
            <w:pPr>
              <w:ind w:left="260"/>
              <w:spacing w:after="0"/>
              <w:rPr>
                <w:sz w:val="20"/>
                <w:szCs w:val="20"/>
                <w:color w:val="auto"/>
              </w:rPr>
            </w:pPr>
            <w:r>
              <w:rPr>
                <w:rFonts w:ascii="Arial" w:cs="Arial" w:eastAsia="Arial" w:hAnsi="Arial"/>
                <w:sz w:val="22"/>
                <w:szCs w:val="22"/>
                <w:color w:val="auto"/>
              </w:rPr>
              <w:t>$8,000</w:t>
            </w:r>
          </w:p>
        </w:tc>
      </w:tr>
      <w:tr>
        <w:trPr>
          <w:trHeight w:val="459"/>
        </w:trPr>
        <w:tc>
          <w:tcPr>
            <w:tcW w:w="4380" w:type="dxa"/>
            <w:vAlign w:val="bottom"/>
          </w:tcPr>
          <w:p>
            <w:pPr>
              <w:ind w:left="760"/>
              <w:spacing w:after="0"/>
              <w:rPr>
                <w:sz w:val="20"/>
                <w:szCs w:val="20"/>
                <w:color w:val="auto"/>
              </w:rPr>
            </w:pPr>
            <w:r>
              <w:rPr>
                <w:rFonts w:ascii="Arial" w:cs="Arial" w:eastAsia="Arial" w:hAnsi="Arial"/>
                <w:sz w:val="22"/>
                <w:szCs w:val="22"/>
                <w:color w:val="auto"/>
              </w:rPr>
              <w:t>Member of Nominating Committee:</w:t>
            </w:r>
          </w:p>
        </w:tc>
        <w:tc>
          <w:tcPr>
            <w:tcW w:w="6860" w:type="dxa"/>
            <w:vAlign w:val="bottom"/>
          </w:tcPr>
          <w:p>
            <w:pPr>
              <w:ind w:left="260"/>
              <w:spacing w:after="0"/>
              <w:rPr>
                <w:sz w:val="20"/>
                <w:szCs w:val="20"/>
                <w:color w:val="auto"/>
              </w:rPr>
            </w:pPr>
            <w:r>
              <w:rPr>
                <w:rFonts w:ascii="Arial" w:cs="Arial" w:eastAsia="Arial" w:hAnsi="Arial"/>
                <w:sz w:val="22"/>
                <w:szCs w:val="22"/>
                <w:color w:val="auto"/>
              </w:rPr>
              <w:t>$4,000</w:t>
            </w:r>
          </w:p>
        </w:tc>
      </w:tr>
      <w:tr>
        <w:trPr>
          <w:trHeight w:val="267"/>
        </w:trPr>
        <w:tc>
          <w:tcPr>
            <w:tcW w:w="4380" w:type="dxa"/>
            <w:vAlign w:val="bottom"/>
            <w:tcBorders>
              <w:bottom w:val="single" w:sz="8" w:color="9A9A9A"/>
            </w:tcBorders>
          </w:tcPr>
          <w:p>
            <w:pPr>
              <w:spacing w:after="0"/>
              <w:rPr>
                <w:sz w:val="23"/>
                <w:szCs w:val="23"/>
                <w:color w:val="auto"/>
              </w:rPr>
            </w:pPr>
          </w:p>
        </w:tc>
        <w:tc>
          <w:tcPr>
            <w:tcW w:w="68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ind w:firstLine="749"/>
        <w:spacing w:after="0" w:line="274" w:lineRule="auto"/>
        <w:rPr>
          <w:sz w:val="20"/>
          <w:szCs w:val="20"/>
          <w:color w:val="auto"/>
        </w:rPr>
      </w:pPr>
      <w:r>
        <w:rPr>
          <w:rFonts w:ascii="Arial" w:cs="Arial" w:eastAsia="Arial" w:hAnsi="Arial"/>
          <w:sz w:val="21"/>
          <w:szCs w:val="21"/>
          <w:color w:val="auto"/>
        </w:rPr>
        <w:t>For clarity, each Outside Director who serves as the chair of a committee shall receive only the additional annual cash fee as the chair of the committee, and not the additional annual cash fee as a member of the committee.</w:t>
      </w:r>
    </w:p>
    <w:p>
      <w:pPr>
        <w:spacing w:after="0" w:line="145" w:lineRule="exact"/>
        <w:rPr>
          <w:sz w:val="20"/>
          <w:szCs w:val="20"/>
          <w:color w:val="auto"/>
        </w:rPr>
      </w:pPr>
    </w:p>
    <w:p>
      <w:pPr>
        <w:ind w:left="760" w:hanging="378"/>
        <w:spacing w:after="0"/>
        <w:tabs>
          <w:tab w:leader="none" w:pos="760" w:val="left"/>
        </w:tabs>
        <w:numPr>
          <w:ilvl w:val="0"/>
          <w:numId w:val="8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QUITY</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OMPENSATION</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74" w:lineRule="exact"/>
        <w:rPr>
          <w:sz w:val="20"/>
          <w:szCs w:val="20"/>
          <w:color w:val="auto"/>
        </w:rPr>
      </w:pPr>
    </w:p>
    <w:p>
      <w:pPr>
        <w:ind w:firstLine="757"/>
        <w:spacing w:after="0" w:line="250" w:lineRule="auto"/>
        <w:tabs>
          <w:tab w:leader="none" w:pos="1194"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any Awards under this Policy or to determine the number of Shares to be covered by such Awards.</w:t>
      </w:r>
    </w:p>
    <w:p>
      <w:pPr>
        <w:spacing w:after="0" w:line="174" w:lineRule="exact"/>
        <w:rPr>
          <w:rFonts w:ascii="Arial" w:cs="Arial" w:eastAsia="Arial" w:hAnsi="Arial"/>
          <w:sz w:val="22"/>
          <w:szCs w:val="22"/>
          <w:color w:val="auto"/>
        </w:rPr>
      </w:pPr>
    </w:p>
    <w:p>
      <w:pPr>
        <w:jc w:val="both"/>
        <w:ind w:firstLine="757"/>
        <w:spacing w:after="0" w:line="277" w:lineRule="auto"/>
        <w:tabs>
          <w:tab w:leader="none" w:pos="1181"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Initial Award</w:t>
      </w:r>
      <w:r>
        <w:rPr>
          <w:rFonts w:ascii="Arial" w:cs="Arial" w:eastAsia="Arial" w:hAnsi="Arial"/>
          <w:sz w:val="19"/>
          <w:szCs w:val="19"/>
          <w:color w:val="auto"/>
        </w:rPr>
        <w:t>. Effective beginning with the Effective Date, each individual who first becomes an Outside Director following the Effective Date will be granted an Option to purchase 41,000 Shares (an “</w:t>
      </w:r>
      <w:r>
        <w:rPr>
          <w:rFonts w:ascii="Arial" w:cs="Arial" w:eastAsia="Arial" w:hAnsi="Arial"/>
          <w:sz w:val="19"/>
          <w:szCs w:val="19"/>
          <w:b w:val="1"/>
          <w:bCs w:val="1"/>
          <w:color w:val="auto"/>
        </w:rPr>
        <w:t>Initial Award</w:t>
      </w:r>
      <w:r>
        <w:rPr>
          <w:rFonts w:ascii="Arial" w:cs="Arial" w:eastAsia="Arial" w:hAnsi="Arial"/>
          <w:sz w:val="19"/>
          <w:szCs w:val="19"/>
          <w:color w:val="auto"/>
        </w:rPr>
        <w:t>”) on the date of the first Board or Compensation Committee meeting occurring on or after the date on which such individual first becomes an Outside Director, whether through election by the stockholders of the Company or appointment by the Board to fill a vacancy. Subject to Section 14 of the Plan and Section 3 of this Policy, each Initial Award will be scheduled to vest as to 1/36th of such Initial Award on each monthly anniversary of the commencement of the applicable Outside Director’s service as an Outside Director, in each case subject to the Outside Director continuing to be a Service Provider (as defined in the Plan) through such date.</w:t>
      </w:r>
    </w:p>
    <w:p>
      <w:pPr>
        <w:spacing w:after="0" w:line="151" w:lineRule="exact"/>
        <w:rPr>
          <w:rFonts w:ascii="Arial" w:cs="Arial" w:eastAsia="Arial" w:hAnsi="Arial"/>
          <w:sz w:val="19"/>
          <w:szCs w:val="19"/>
          <w:color w:val="auto"/>
        </w:rPr>
      </w:pPr>
    </w:p>
    <w:p>
      <w:pPr>
        <w:jc w:val="both"/>
        <w:ind w:firstLine="757"/>
        <w:spacing w:after="0" w:line="270" w:lineRule="auto"/>
        <w:tabs>
          <w:tab w:leader="none" w:pos="1181"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Annual Award</w:t>
      </w:r>
      <w:r>
        <w:rPr>
          <w:rFonts w:ascii="Arial" w:cs="Arial" w:eastAsia="Arial" w:hAnsi="Arial"/>
          <w:sz w:val="19"/>
          <w:szCs w:val="19"/>
          <w:color w:val="auto"/>
        </w:rPr>
        <w:t>. Effective beginning with the Effective Date, on the date of each annual meeting of the Company’s stockholders (the “</w:t>
      </w:r>
      <w:r>
        <w:rPr>
          <w:rFonts w:ascii="Arial" w:cs="Arial" w:eastAsia="Arial" w:hAnsi="Arial"/>
          <w:sz w:val="19"/>
          <w:szCs w:val="19"/>
          <w:b w:val="1"/>
          <w:bCs w:val="1"/>
          <w:color w:val="auto"/>
        </w:rPr>
        <w:t>Annual Meeting</w:t>
      </w:r>
      <w:r>
        <w:rPr>
          <w:rFonts w:ascii="Arial" w:cs="Arial" w:eastAsia="Arial" w:hAnsi="Arial"/>
          <w:sz w:val="19"/>
          <w:szCs w:val="19"/>
          <w:color w:val="auto"/>
        </w:rPr>
        <w:t>”), each Outside Director will be automatically granted an Option to purchase 20,500 Shares (an “</w:t>
      </w:r>
      <w:r>
        <w:rPr>
          <w:rFonts w:ascii="Arial" w:cs="Arial" w:eastAsia="Arial" w:hAnsi="Arial"/>
          <w:sz w:val="19"/>
          <w:szCs w:val="19"/>
          <w:b w:val="1"/>
          <w:bCs w:val="1"/>
          <w:color w:val="auto"/>
        </w:rPr>
        <w:t>Annual Award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 individual becomes an Outside Director on a date other than the date of an Annual Meeting, the number of Shares subject to such Outside Director’s Annual Award issued at the next Annual Meeting will be calculated as follows (x) 20,500 Shares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(y) (1) the total number of fully completed months between the date the individual becomes an Outside Director and the date of the Annual Meeting on which such Annual Award is granted </w:t>
      </w:r>
      <w:r>
        <w:rPr>
          <w:rFonts w:ascii="Arial" w:cs="Arial" w:eastAsia="Arial" w:hAnsi="Arial"/>
          <w:sz w:val="19"/>
          <w:szCs w:val="19"/>
          <w:i w:val="1"/>
          <w:iCs w:val="1"/>
          <w:color w:val="auto"/>
        </w:rPr>
        <w:t>divided by</w:t>
      </w:r>
    </w:p>
    <w:p>
      <w:pPr>
        <w:spacing w:after="0" w:line="1" w:lineRule="exact"/>
        <w:rPr>
          <w:rFonts w:ascii="Arial" w:cs="Arial" w:eastAsia="Arial" w:hAnsi="Arial"/>
          <w:sz w:val="19"/>
          <w:szCs w:val="19"/>
          <w:color w:val="auto"/>
        </w:rPr>
      </w:pPr>
    </w:p>
    <w:p>
      <w:pPr>
        <w:jc w:val="both"/>
        <w:ind w:firstLine="8"/>
        <w:spacing w:after="0" w:line="280" w:lineRule="auto"/>
        <w:tabs>
          <w:tab w:leader="none" w:pos="312" w:val="left"/>
        </w:tabs>
        <w:numPr>
          <w:ilvl w:val="0"/>
          <w:numId w:val="88"/>
        </w:numPr>
        <w:rPr>
          <w:rFonts w:ascii="Arial" w:cs="Arial" w:eastAsia="Arial" w:hAnsi="Arial"/>
          <w:sz w:val="19"/>
          <w:szCs w:val="19"/>
          <w:color w:val="auto"/>
        </w:rPr>
      </w:pPr>
      <w:r>
        <w:rPr>
          <w:rFonts w:ascii="Arial" w:cs="Arial" w:eastAsia="Arial" w:hAnsi="Arial"/>
          <w:sz w:val="19"/>
          <w:szCs w:val="19"/>
          <w:color w:val="auto"/>
        </w:rPr>
        <w:t>twelve (12) (rounded to the nearest whole Share). Subject to Section 14 of the Plan and Section 3 of this Policy, each Annual Award will be scheduled to vest as to 100% of such Annual Award on the earlier of (i) the one-year anniversary of the date of grant of such Annual Award or (ii) the business day prior to the next Annual Meeting that occurs following the grant of such Annual Award, in each case, subject to the applicable Outside Director continuing to be a Service Provider through such date.</w:t>
      </w:r>
    </w:p>
    <w:p>
      <w:pPr>
        <w:spacing w:after="0" w:line="150" w:lineRule="exact"/>
        <w:rPr>
          <w:rFonts w:ascii="Arial" w:cs="Arial" w:eastAsia="Arial" w:hAnsi="Arial"/>
          <w:sz w:val="19"/>
          <w:szCs w:val="19"/>
          <w:color w:val="auto"/>
        </w:rPr>
      </w:pPr>
    </w:p>
    <w:p>
      <w:pPr>
        <w:ind w:left="1220" w:hanging="463"/>
        <w:spacing w:after="0"/>
        <w:tabs>
          <w:tab w:leader="none" w:pos="122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 The terms and conditions of each Initial Award or Annual Award will be as follows:</w:t>
      </w:r>
    </w:p>
    <w:p>
      <w:pPr>
        <w:spacing w:after="0" w:line="206" w:lineRule="exact"/>
        <w:rPr>
          <w:sz w:val="20"/>
          <w:szCs w:val="20"/>
          <w:color w:val="auto"/>
        </w:rPr>
      </w:pPr>
    </w:p>
    <w:p>
      <w:pPr>
        <w:ind w:left="760" w:right="20" w:firstLine="745"/>
        <w:spacing w:after="0" w:line="239" w:lineRule="auto"/>
        <w:tabs>
          <w:tab w:leader="none" w:pos="198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an Option granted under this Policy will be one hundred percent (100%) of the Fair Market Value on the grant date.</w:t>
      </w: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ind w:left="760" w:firstLine="745"/>
        <w:spacing w:after="0" w:line="250" w:lineRule="auto"/>
        <w:tabs>
          <w:tab w:leader="none" w:pos="2083"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maximum term to expiration of an Option granted under this Policy will be ten (10) years, subject to earlier termination as provided in the Plan.</w:t>
      </w:r>
    </w:p>
    <w:p>
      <w:pPr>
        <w:spacing w:after="0" w:line="168" w:lineRule="exact"/>
        <w:rPr>
          <w:rFonts w:ascii="Arial" w:cs="Arial" w:eastAsia="Arial" w:hAnsi="Arial"/>
          <w:sz w:val="22"/>
          <w:szCs w:val="22"/>
          <w:color w:val="auto"/>
        </w:rPr>
      </w:pPr>
    </w:p>
    <w:p>
      <w:pPr>
        <w:ind w:left="760" w:hanging="378"/>
        <w:spacing w:after="0"/>
        <w:tabs>
          <w:tab w:leader="none" w:pos="760" w:val="left"/>
        </w:tabs>
        <w:numPr>
          <w:ilvl w:val="0"/>
          <w:numId w:val="9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w:t>
      </w:r>
      <w:r>
        <w:rPr>
          <w:rFonts w:ascii="Arial" w:cs="Arial" w:eastAsia="Arial" w:hAnsi="Arial"/>
          <w:sz w:val="14"/>
          <w:szCs w:val="14"/>
          <w:b w:val="1"/>
          <w:bCs w:val="1"/>
          <w:u w:val="single" w:color="auto"/>
          <w:color w:val="auto"/>
        </w:rPr>
        <w:t>HANGE IN</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ONTROL</w:t>
      </w:r>
    </w:p>
    <w:p>
      <w:pPr>
        <w:spacing w:after="0" w:line="21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In the event of a Change in Control, each Outside Director outstanding Company equity awards will be treated in accordance with the terms of the Award.</w:t>
      </w:r>
    </w:p>
    <w:p>
      <w:pPr>
        <w:spacing w:after="0" w:line="169" w:lineRule="exact"/>
        <w:rPr>
          <w:sz w:val="20"/>
          <w:szCs w:val="20"/>
          <w:color w:val="auto"/>
        </w:rPr>
      </w:pPr>
    </w:p>
    <w:p>
      <w:pPr>
        <w:ind w:left="760" w:hanging="378"/>
        <w:spacing w:after="0"/>
        <w:tabs>
          <w:tab w:leader="none" w:pos="760" w:val="left"/>
        </w:tabs>
        <w:numPr>
          <w:ilvl w:val="0"/>
          <w:numId w:val="9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NNUAL</w:t>
      </w:r>
      <w:r>
        <w:rPr>
          <w:rFonts w:ascii="Arial" w:cs="Arial" w:eastAsia="Arial" w:hAnsi="Arial"/>
          <w:sz w:val="22"/>
          <w:szCs w:val="22"/>
          <w:b w:val="1"/>
          <w:bCs w:val="1"/>
          <w:u w:val="single" w:color="auto"/>
          <w:color w:val="auto"/>
        </w:rPr>
        <w:t xml:space="preserve"> C</w:t>
      </w:r>
      <w:r>
        <w:rPr>
          <w:rFonts w:ascii="Arial" w:cs="Arial" w:eastAsia="Arial" w:hAnsi="Arial"/>
          <w:sz w:val="14"/>
          <w:szCs w:val="14"/>
          <w:b w:val="1"/>
          <w:bCs w:val="1"/>
          <w:u w:val="single" w:color="auto"/>
          <w:color w:val="auto"/>
        </w:rPr>
        <w:t>OMPENSATION</w:t>
      </w:r>
      <w:r>
        <w:rPr>
          <w:rFonts w:ascii="Arial" w:cs="Arial" w:eastAsia="Arial" w:hAnsi="Arial"/>
          <w:sz w:val="22"/>
          <w:szCs w:val="22"/>
          <w:b w:val="1"/>
          <w:bCs w:val="1"/>
          <w:u w:val="single" w:color="auto"/>
          <w:color w:val="auto"/>
        </w:rPr>
        <w:t xml:space="preserve"> L</w:t>
      </w:r>
      <w:r>
        <w:rPr>
          <w:rFonts w:ascii="Arial" w:cs="Arial" w:eastAsia="Arial" w:hAnsi="Arial"/>
          <w:sz w:val="14"/>
          <w:szCs w:val="14"/>
          <w:b w:val="1"/>
          <w:bCs w:val="1"/>
          <w:u w:val="single" w:color="auto"/>
          <w:color w:val="auto"/>
        </w:rPr>
        <w:t>IMIT</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No Outside Director may be paid, issued or granted, in any Fiscal Year, cash compensation and equity compensation award (including any Awards) with an aggregate value greater than $500,000 increased to $750,000 for such Outside Director for the Fiscal Year in which he or she joins the Board as an Outside Director (with the value of each equity compensation award based on its grant value for purposes of the limitation under this Section 4). Any cash compensation paid or equity compensation award (including any Awards) granted to an individual for his or her services as an Employee, or for his or her services as a Consultant (other than as an Outside Director), will not count for purposes of the limitation under this Section 4.</w:t>
      </w:r>
    </w:p>
    <w:p>
      <w:pPr>
        <w:spacing w:after="0" w:line="144" w:lineRule="exact"/>
        <w:rPr>
          <w:sz w:val="20"/>
          <w:szCs w:val="20"/>
          <w:color w:val="auto"/>
        </w:rPr>
      </w:pPr>
    </w:p>
    <w:p>
      <w:pPr>
        <w:ind w:left="760" w:hanging="378"/>
        <w:spacing w:after="0"/>
        <w:tabs>
          <w:tab w:leader="none" w:pos="760" w:val="left"/>
        </w:tabs>
        <w:numPr>
          <w:ilvl w:val="0"/>
          <w:numId w:val="9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w:t>
      </w:r>
      <w:r>
        <w:rPr>
          <w:rFonts w:ascii="Arial" w:cs="Arial" w:eastAsia="Arial" w:hAnsi="Arial"/>
          <w:sz w:val="14"/>
          <w:szCs w:val="14"/>
          <w:b w:val="1"/>
          <w:bCs w:val="1"/>
          <w:u w:val="single" w:color="auto"/>
          <w:color w:val="auto"/>
        </w:rPr>
        <w:t>RAVEL</w:t>
      </w:r>
      <w:r>
        <w:rPr>
          <w:rFonts w:ascii="Arial" w:cs="Arial" w:eastAsia="Arial" w:hAnsi="Arial"/>
          <w:sz w:val="22"/>
          <w:szCs w:val="22"/>
          <w:b w:val="1"/>
          <w:bCs w:val="1"/>
          <w:u w:val="single" w:color="auto"/>
          <w:color w:val="auto"/>
        </w:rPr>
        <w:t xml:space="preserve"> E</w:t>
      </w:r>
      <w:r>
        <w:rPr>
          <w:rFonts w:ascii="Arial" w:cs="Arial" w:eastAsia="Arial" w:hAnsi="Arial"/>
          <w:sz w:val="14"/>
          <w:szCs w:val="14"/>
          <w:b w:val="1"/>
          <w:bCs w:val="1"/>
          <w:u w:val="single" w:color="auto"/>
          <w:color w:val="auto"/>
        </w:rPr>
        <w:t>XPENSES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Each Outside Director’s reasonable, customary and documented travel expenses to Board or Board committee meetings will be reimbursed by the Company.</w:t>
      </w:r>
    </w:p>
    <w:p>
      <w:pPr>
        <w:spacing w:after="0" w:line="169" w:lineRule="exact"/>
        <w:rPr>
          <w:sz w:val="20"/>
          <w:szCs w:val="20"/>
          <w:color w:val="auto"/>
        </w:rPr>
      </w:pPr>
    </w:p>
    <w:p>
      <w:pPr>
        <w:ind w:left="760" w:hanging="378"/>
        <w:spacing w:after="0"/>
        <w:tabs>
          <w:tab w:leader="none" w:pos="760" w:val="left"/>
        </w:tabs>
        <w:numPr>
          <w:ilvl w:val="0"/>
          <w:numId w:val="9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DDITIONAL</w:t>
      </w:r>
      <w:r>
        <w:rPr>
          <w:rFonts w:ascii="Arial" w:cs="Arial" w:eastAsia="Arial" w:hAnsi="Arial"/>
          <w:sz w:val="22"/>
          <w:szCs w:val="22"/>
          <w:b w:val="1"/>
          <w:bCs w:val="1"/>
          <w:u w:val="single" w:color="auto"/>
          <w:color w:val="auto"/>
        </w:rPr>
        <w:t xml:space="preserve"> P</w:t>
      </w:r>
      <w:r>
        <w:rPr>
          <w:rFonts w:ascii="Arial" w:cs="Arial" w:eastAsia="Arial" w:hAnsi="Arial"/>
          <w:sz w:val="14"/>
          <w:szCs w:val="14"/>
          <w:b w:val="1"/>
          <w:bCs w:val="1"/>
          <w:u w:val="single" w:color="auto"/>
          <w:color w:val="auto"/>
        </w:rPr>
        <w:t>ROVISIONS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All provisions of the Plan not inconsistent with this Policy will apply to Awards granted to Outside Directors.</w:t>
      </w:r>
    </w:p>
    <w:p>
      <w:pPr>
        <w:spacing w:after="0" w:line="200" w:lineRule="exact"/>
        <w:rPr>
          <w:sz w:val="20"/>
          <w:szCs w:val="20"/>
          <w:color w:val="auto"/>
        </w:rPr>
      </w:pPr>
    </w:p>
    <w:p>
      <w:pPr>
        <w:ind w:left="760" w:hanging="378"/>
        <w:spacing w:after="0"/>
        <w:tabs>
          <w:tab w:leader="none" w:pos="760" w:val="left"/>
        </w:tabs>
        <w:numPr>
          <w:ilvl w:val="0"/>
          <w:numId w:val="9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DJUSTMENTS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21"/>
          <w:szCs w:val="21"/>
          <w:color w:val="auto"/>
        </w:rPr>
        <w:t>In the event that that any extraordinary dividend or other extraordinary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71" w:lineRule="exact"/>
        <w:rPr>
          <w:sz w:val="20"/>
          <w:szCs w:val="20"/>
          <w:color w:val="auto"/>
        </w:rPr>
      </w:pPr>
    </w:p>
    <w:p>
      <w:pPr>
        <w:ind w:left="760" w:hanging="378"/>
        <w:spacing w:after="0"/>
        <w:tabs>
          <w:tab w:leader="none" w:pos="760" w:val="left"/>
        </w:tabs>
        <w:numPr>
          <w:ilvl w:val="0"/>
          <w:numId w:val="9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ECTION</w:t>
      </w:r>
      <w:r>
        <w:rPr>
          <w:rFonts w:ascii="Arial" w:cs="Arial" w:eastAsia="Arial" w:hAnsi="Arial"/>
          <w:sz w:val="22"/>
          <w:szCs w:val="22"/>
          <w:b w:val="1"/>
          <w:bCs w:val="1"/>
          <w:u w:val="single" w:color="auto"/>
          <w:color w:val="auto"/>
        </w:rPr>
        <w:t xml:space="preserve"> 409A</w:t>
      </w:r>
    </w:p>
    <w:p>
      <w:pPr>
        <w:spacing w:after="0" w:line="212"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21"/>
          <w:szCs w:val="21"/>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Arial" w:cs="Arial" w:eastAsia="Arial" w:hAnsi="Arial"/>
          <w:sz w:val="21"/>
          <w:szCs w:val="21"/>
          <w:b w:val="1"/>
          <w:bCs w:val="1"/>
          <w:color w:val="auto"/>
        </w:rPr>
        <w:t>Section 409A</w:t>
      </w:r>
      <w:r>
        <w:rPr>
          <w:rFonts w:ascii="Arial" w:cs="Arial" w:eastAsia="Arial" w:hAnsi="Arial"/>
          <w:sz w:val="21"/>
          <w:szCs w:val="21"/>
          <w:color w:val="auto"/>
        </w:rPr>
        <w:t>”). It is the intent of this Policy that this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jc w:val="both"/>
        <w:spacing w:after="0" w:line="252" w:lineRule="auto"/>
        <w:rPr>
          <w:sz w:val="20"/>
          <w:szCs w:val="20"/>
          <w:color w:val="auto"/>
        </w:rPr>
      </w:pPr>
      <w:r>
        <w:rPr>
          <w:rFonts w:ascii="Arial" w:cs="Arial" w:eastAsia="Arial" w:hAnsi="Arial"/>
          <w:sz w:val="21"/>
          <w:szCs w:val="21"/>
          <w:color w:val="auto"/>
        </w:rPr>
        <w:t>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68" w:lineRule="exact"/>
        <w:rPr>
          <w:sz w:val="20"/>
          <w:szCs w:val="20"/>
          <w:color w:val="auto"/>
        </w:rPr>
      </w:pPr>
    </w:p>
    <w:p>
      <w:pPr>
        <w:ind w:left="760" w:hanging="378"/>
        <w:spacing w:after="0"/>
        <w:tabs>
          <w:tab w:leader="none" w:pos="760" w:val="left"/>
        </w:tabs>
        <w:numPr>
          <w:ilvl w:val="0"/>
          <w:numId w:val="97"/>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w:t>
      </w:r>
      <w:r>
        <w:rPr>
          <w:rFonts w:ascii="Arial" w:cs="Arial" w:eastAsia="Arial" w:hAnsi="Arial"/>
          <w:sz w:val="14"/>
          <w:szCs w:val="14"/>
          <w:b w:val="1"/>
          <w:bCs w:val="1"/>
          <w:u w:val="single" w:color="auto"/>
          <w:color w:val="auto"/>
        </w:rPr>
        <w:t>TOCKHOLDER</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PPROVAL</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initial adoption of this policy was subject to approval by the Company’s stockholders.</w:t>
      </w:r>
    </w:p>
    <w:p>
      <w:pPr>
        <w:spacing w:after="0" w:line="200" w:lineRule="exact"/>
        <w:rPr>
          <w:sz w:val="20"/>
          <w:szCs w:val="20"/>
          <w:color w:val="auto"/>
        </w:rPr>
      </w:pPr>
    </w:p>
    <w:p>
      <w:pPr>
        <w:ind w:left="760" w:hanging="378"/>
        <w:spacing w:after="0"/>
        <w:tabs>
          <w:tab w:leader="none" w:pos="760" w:val="left"/>
        </w:tabs>
        <w:numPr>
          <w:ilvl w:val="0"/>
          <w:numId w:val="9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EVISIONS</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9"/>
          <w:szCs w:val="19"/>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23.1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statements (No. 333-237840 and No. 333-254626 on Form S-8 and No. 333-255833 on Form S-3) of our report dated March 21, 2022, with respect to the financial statements of ORIC Pharmaceuticals,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185" w:lineRule="exact"/>
        <w:rPr>
          <w:sz w:val="20"/>
          <w:szCs w:val="20"/>
          <w:color w:val="auto"/>
        </w:rPr>
      </w:pPr>
    </w:p>
    <w:p>
      <w:pPr>
        <w:ind w:left="520" w:hanging="512"/>
        <w:spacing w:after="0"/>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ORIC Pharmaceuticals, Inc.;</w:t>
      </w:r>
    </w:p>
    <w:p>
      <w:pPr>
        <w:spacing w:after="0" w:line="17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21,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Jacob M. Chacko</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Jacob M. Chacko, M.D.</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185" w:lineRule="exact"/>
        <w:rPr>
          <w:sz w:val="20"/>
          <w:szCs w:val="20"/>
          <w:color w:val="auto"/>
        </w:rPr>
      </w:pPr>
    </w:p>
    <w:p>
      <w:pPr>
        <w:ind w:left="520" w:hanging="512"/>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ORIC Pharmaceuticals, Inc.;</w:t>
      </w:r>
    </w:p>
    <w:p>
      <w:pPr>
        <w:spacing w:after="0" w:line="17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21,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Dominic Piscitelli</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Dominic Piscitelli</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Annual Report of ORIC Pharmaceuticals,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21,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Jacob M. Chacko</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Jacob M. Chacko, M.D.</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Annual Report of ORIC Pharmaceuticals,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March 21,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Dominic Piscitelli</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Dominic Piscitelli</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2"/>
    </w:lvl>
  </w:abstractNum>
  <w:abstractNum w:abstractNumId="68">
    <w:nsid w:val="6F6DD9AC"/>
    <w:multiLevelType w:val="hybridMultilevel"/>
    <w:lvl w:ilvl="0">
      <w:lvlJc w:val="left"/>
      <w:lvlText w:val="%1."/>
      <w:numFmt w:val="decimal"/>
      <w:start w:val="3"/>
    </w:lvl>
  </w:abstractNum>
  <w:abstractNum w:abstractNumId="69">
    <w:nsid w:val="94211F2"/>
    <w:multiLevelType w:val="hybridMultilevel"/>
    <w:lvl w:ilvl="0">
      <w:lvlJc w:val="left"/>
      <w:lvlText w:val="%1."/>
      <w:numFmt w:val="decimal"/>
      <w:start w:val="4"/>
    </w:lvl>
  </w:abstractNum>
  <w:abstractNum w:abstractNumId="70">
    <w:nsid w:val="885E1B"/>
    <w:multiLevelType w:val="hybridMultilevel"/>
    <w:lvl w:ilvl="0">
      <w:lvlJc w:val="left"/>
      <w:lvlText w:val="%1."/>
      <w:numFmt w:val="decimal"/>
      <w:start w:val="5"/>
    </w:lvl>
  </w:abstractNum>
  <w:abstractNum w:abstractNumId="71">
    <w:nsid w:val="76272110"/>
    <w:multiLevelType w:val="hybridMultilevel"/>
    <w:lvl w:ilvl="0">
      <w:lvlJc w:val="left"/>
      <w:lvlText w:val="%1."/>
      <w:numFmt w:val="decimal"/>
      <w:start w:val="6"/>
    </w:lvl>
  </w:abstractNum>
  <w:abstractNum w:abstractNumId="72">
    <w:nsid w:val="4C04A8AF"/>
    <w:multiLevelType w:val="hybridMultilevel"/>
    <w:lvl w:ilvl="0">
      <w:lvlJc w:val="left"/>
      <w:lvlText w:val="%1."/>
      <w:numFmt w:val="decimal"/>
      <w:start w:val="7"/>
    </w:lvl>
  </w:abstractNum>
  <w:abstractNum w:abstractNumId="73">
    <w:nsid w:val="1716703B"/>
    <w:multiLevelType w:val="hybridMultilevel"/>
    <w:lvl w:ilvl="0">
      <w:lvlJc w:val="left"/>
      <w:lvlText w:val="%1."/>
      <w:numFmt w:val="decimal"/>
      <w:start w:val="8"/>
    </w:lvl>
  </w:abstractNum>
  <w:abstractNum w:abstractNumId="74">
    <w:nsid w:val="14E17E33"/>
    <w:multiLevelType w:val="hybridMultilevel"/>
    <w:lvl w:ilvl="0">
      <w:lvlJc w:val="left"/>
      <w:lvlText w:val="%1."/>
      <w:numFmt w:val="decimal"/>
      <w:start w:val="9"/>
    </w:lvl>
  </w:abstractNum>
  <w:abstractNum w:abstractNumId="75">
    <w:nsid w:val="3222E7CD"/>
    <w:multiLevelType w:val="hybridMultilevel"/>
    <w:lvl w:ilvl="0">
      <w:lvlJc w:val="left"/>
      <w:lvlText w:val="(%1)"/>
      <w:numFmt w:val="decimal"/>
      <w:start w:val="3"/>
    </w:lvl>
  </w:abstractNum>
  <w:abstractNum w:abstractNumId="76">
    <w:nsid w:val="74DE0EE3"/>
    <w:multiLevelType w:val="hybridMultilevel"/>
    <w:lvl w:ilvl="0">
      <w:lvlJc w:val="left"/>
      <w:lvlText w:val="%1."/>
      <w:numFmt w:val="decimal"/>
      <w:start w:val="10"/>
    </w:lvl>
  </w:abstractNum>
  <w:abstractNum w:abstractNumId="77">
    <w:nsid w:val="68EBC550"/>
    <w:multiLevelType w:val="hybridMultilevel"/>
    <w:lvl w:ilvl="0">
      <w:lvlJc w:val="left"/>
      <w:lvlText w:val="%1."/>
      <w:numFmt w:val="decimal"/>
      <w:start w:val="11"/>
    </w:lvl>
  </w:abstractNum>
  <w:abstractNum w:abstractNumId="78">
    <w:nsid w:val="2DF6D648"/>
    <w:multiLevelType w:val="hybridMultilevel"/>
    <w:lvl w:ilvl="0">
      <w:lvlJc w:val="left"/>
      <w:lvlText w:val="%1."/>
      <w:numFmt w:val="decimal"/>
      <w:start w:val="12"/>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
      <w:numFmt w:val="bullet"/>
      <w:start w:val="1"/>
    </w:lvl>
    <w:lvl w:ilvl="1">
      <w:lvlJc w:val="left"/>
      <w:lvlText w:val="%2"/>
      <w:numFmt w:val="decimal"/>
      <w:start w:val="104"/>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decimal"/>
      <w:start w:val="4"/>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2"/>
    </w:lvl>
  </w:abstractNum>
  <w:abstractNum w:abstractNumId="86">
    <w:nsid w:val="26F324BA"/>
    <w:multiLevelType w:val="hybridMultilevel"/>
    <w:lvl w:ilvl="0">
      <w:lvlJc w:val="left"/>
      <w:lvlText w:val="%1"/>
      <w:numFmt w:val="decimal"/>
      <w:start w:val="1"/>
    </w:lvl>
    <w:lvl w:ilvl="1">
      <w:lvlJc w:val="left"/>
      <w:lvlText w:val="(%2)"/>
      <w:numFmt w:val="lowerLetter"/>
      <w:start w:val="1"/>
    </w:lvl>
  </w:abstractNum>
  <w:abstractNum w:abstractNumId="87">
    <w:nsid w:val="7F01579B"/>
    <w:multiLevelType w:val="hybridMultilevel"/>
    <w:lvl w:ilvl="0">
      <w:lvlJc w:val="left"/>
      <w:lvlText w:val="(%1)"/>
      <w:numFmt w:val="decimal"/>
      <w:start w:val="2"/>
    </w:lvl>
    <w:lvl w:ilvl="1">
      <w:lvlJc w:val="left"/>
      <w:lvlText w:val="(%2)"/>
      <w:numFmt w:val="lowerLetter"/>
      <w:start w:val="3"/>
    </w:lvl>
  </w:abstractNum>
  <w:abstractNum w:abstractNumId="88">
    <w:nsid w:val="49DA307D"/>
    <w:multiLevelType w:val="hybridMultilevel"/>
    <w:lvl w:ilvl="0">
      <w:lvlJc w:val="left"/>
      <w:lvlText w:val="(%1)"/>
      <w:numFmt w:val="lowerRoman"/>
      <w:start w:val="1"/>
    </w:lvl>
  </w:abstractNum>
  <w:abstractNum w:abstractNumId="89">
    <w:nsid w:val="7055A5F5"/>
    <w:multiLevelType w:val="hybridMultilevel"/>
    <w:lvl w:ilvl="0">
      <w:lvlJc w:val="left"/>
      <w:lvlText w:val="%1"/>
      <w:numFmt w:val="decimal"/>
      <w:start w:val="1"/>
    </w:lvl>
    <w:lvl w:ilvl="1">
      <w:lvlJc w:val="left"/>
      <w:lvlText w:val="(%2)"/>
      <w:numFmt w:val="lowerRoman"/>
      <w:start w:val="2"/>
    </w:lvl>
  </w:abstractNum>
  <w:abstractNum w:abstractNumId="90">
    <w:nsid w:val="5FB8370B"/>
    <w:multiLevelType w:val="hybridMultilevel"/>
    <w:lvl w:ilvl="0">
      <w:lvlJc w:val="left"/>
      <w:lvlText w:val="%1."/>
      <w:numFmt w:val="decimal"/>
      <w:start w:val="3"/>
    </w:lvl>
    <w:lvl w:ilvl="1">
      <w:lvlJc w:val="left"/>
      <w:lvlText w:val="%2"/>
      <w:numFmt w:val="lowerRoman"/>
      <w:start w:val="1"/>
    </w:lvl>
  </w:abstractNum>
  <w:abstractNum w:abstractNumId="91">
    <w:nsid w:val="50801EE1"/>
    <w:multiLevelType w:val="hybridMultilevel"/>
    <w:lvl w:ilvl="0">
      <w:lvlJc w:val="left"/>
      <w:lvlText w:val="%1."/>
      <w:numFmt w:val="decimal"/>
      <w:start w:val="4"/>
    </w:lvl>
  </w:abstractNum>
  <w:abstractNum w:abstractNumId="92">
    <w:nsid w:val="488AC1A"/>
    <w:multiLevelType w:val="hybridMultilevel"/>
    <w:lvl w:ilvl="0">
      <w:lvlJc w:val="left"/>
      <w:lvlText w:val="%1."/>
      <w:numFmt w:val="decimal"/>
      <w:start w:val="5"/>
    </w:lvl>
  </w:abstractNum>
  <w:abstractNum w:abstractNumId="93">
    <w:nsid w:val="5FB8011C"/>
    <w:multiLevelType w:val="hybridMultilevel"/>
    <w:lvl w:ilvl="0">
      <w:lvlJc w:val="left"/>
      <w:lvlText w:val="%1."/>
      <w:numFmt w:val="decimal"/>
      <w:start w:val="6"/>
    </w:lvl>
  </w:abstractNum>
  <w:abstractNum w:abstractNumId="94">
    <w:nsid w:val="6AA78F7F"/>
    <w:multiLevelType w:val="hybridMultilevel"/>
    <w:lvl w:ilvl="0">
      <w:lvlJc w:val="left"/>
      <w:lvlText w:val="%1."/>
      <w:numFmt w:val="decimal"/>
      <w:start w:val="7"/>
    </w:lvl>
  </w:abstractNum>
  <w:abstractNum w:abstractNumId="95">
    <w:nsid w:val="7672BD23"/>
    <w:multiLevelType w:val="hybridMultilevel"/>
    <w:lvl w:ilvl="0">
      <w:lvlJc w:val="left"/>
      <w:lvlText w:val="%1."/>
      <w:numFmt w:val="decimal"/>
      <w:start w:val="8"/>
    </w:lvl>
  </w:abstractNum>
  <w:abstractNum w:abstractNumId="96">
    <w:nsid w:val="6FC75AF8"/>
    <w:multiLevelType w:val="hybridMultilevel"/>
    <w:lvl w:ilvl="0">
      <w:lvlJc w:val="left"/>
      <w:lvlText w:val="%1."/>
      <w:numFmt w:val="decimal"/>
      <w:start w:val="9"/>
    </w:lvl>
  </w:abstractNum>
  <w:abstractNum w:abstractNumId="97">
    <w:nsid w:val="6A5F7029"/>
    <w:multiLevelType w:val="hybridMultilevel"/>
    <w:lvl w:ilvl="0">
      <w:lvlJc w:val="left"/>
      <w:lvlText w:val="%1."/>
      <w:numFmt w:val="decimal"/>
      <w:start w:val="10"/>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50" Type="http://schemas.openxmlformats.org/officeDocument/2006/relationships/hyperlink" Target="https://www.sec.gov/Archives/edgar/data/0001796280/000119312521153455/d116190dex11.htm" TargetMode="External"/><Relationship Id="rId351" Type="http://schemas.openxmlformats.org/officeDocument/2006/relationships/hyperlink" Target="https://www.sec.gov/Archives/edgar/data/0001796280/000156459020019302/oric-ex31_27.htm" TargetMode="External"/><Relationship Id="rId352" Type="http://schemas.openxmlformats.org/officeDocument/2006/relationships/hyperlink" Target="https://www.sec.gov/Archives/edgar/data/0001796280/000156459020019302/oric-ex32_67.htm" TargetMode="External"/><Relationship Id="rId353" Type="http://schemas.openxmlformats.org/officeDocument/2006/relationships/hyperlink" Target="https://www.sec.gov/Archives/edgar/data/0001796280/000119312520057039/d843476dex41.htm" TargetMode="External"/><Relationship Id="rId354" Type="http://schemas.openxmlformats.org/officeDocument/2006/relationships/hyperlink" Target="https://www.sec.gov/Archives/edgar/data/0001796280/000119312520111275/d843476dex42.htm" TargetMode="External"/><Relationship Id="rId355" Type="http://schemas.openxmlformats.org/officeDocument/2006/relationships/hyperlink" Target="https://www.sec.gov/Archives/edgar/data/0001796280/000119312520057039/d843476dex101.htm" TargetMode="External"/><Relationship Id="rId356" Type="http://schemas.openxmlformats.org/officeDocument/2006/relationships/hyperlink" Target="https://www.sec.gov/Archives/edgar/data/0001796280/000119312520057039/d843476dex102.htm" TargetMode="External"/><Relationship Id="rId357" Type="http://schemas.openxmlformats.org/officeDocument/2006/relationships/hyperlink" Target="https://www.sec.gov/Archives/edgar/data/0001796280/000119312520111275/d843476dex103.htm" TargetMode="External"/><Relationship Id="rId358" Type="http://schemas.openxmlformats.org/officeDocument/2006/relationships/hyperlink" Target="https://www.sec.gov/Archives/edgar/data/0001796280/000119312520111275/d843476dex104.htm" TargetMode="External"/><Relationship Id="rId359" Type="http://schemas.openxmlformats.org/officeDocument/2006/relationships/hyperlink" Target="https://www.sec.gov/Archives/edgar/data/0001796280/000119312520057039/d843476dex105.htm" TargetMode="External"/><Relationship Id="rId360" Type="http://schemas.openxmlformats.org/officeDocument/2006/relationships/hyperlink" Target="https://www.sec.gov/Archives/edgar/data/0001796280/000119312520057039/d843476dex106.htm" TargetMode="External"/><Relationship Id="rId361" Type="http://schemas.openxmlformats.org/officeDocument/2006/relationships/hyperlink" Target="https://www.sec.gov/Archives/edgar/data/0001796280/000119312520057039/d843476dex107.htm" TargetMode="External"/><Relationship Id="rId362" Type="http://schemas.openxmlformats.org/officeDocument/2006/relationships/hyperlink" Target="https://www.sec.gov/Archives/edgar/data/0001796280/000119312520057039/d843476dex108.htm" TargetMode="External"/><Relationship Id="rId363" Type="http://schemas.openxmlformats.org/officeDocument/2006/relationships/hyperlink" Target="https://www.sec.gov/Archives/edgar/data/0001796280/000119312520057039/d843476dex109.htm" TargetMode="External"/><Relationship Id="rId364" Type="http://schemas.openxmlformats.org/officeDocument/2006/relationships/hyperlink" Target="https://www.sec.gov/Archives/edgar/data/0001796280/000119312520057039/d843476dex1011.htm" TargetMode="External"/><Relationship Id="rId367" Type="http://schemas.openxmlformats.org/officeDocument/2006/relationships/hyperlink" Target="https://www.sec.gov/Archives/edgar/data/0001796280/000119312521247855/d127312dex101.htm" TargetMode="External"/><Relationship Id="rId368" Type="http://schemas.openxmlformats.org/officeDocument/2006/relationships/hyperlink" Target="https://www.sec.gov/Archives/edgar/data/0001796280/000119312522066051/d2532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2022-03-21T16:01:15Z</dcterms:created>
  <dcterms:modified xsi:type="dcterms:W3CDTF">2022-03-21T16:01:15Z</dcterms:modified>
</cp:coreProperties>
</file>