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70491ds8.htm"/>
      <w:bookmarkStart w:id="1" w:name="ksd170491ds8"/>
      <w:bookmarkEnd w:id="0"/>
      <w:bookmarkEnd w:id="1"/>
      <w:r>
        <w:rPr>
          <w:rFonts w:ascii="Times New Roman" w:hAnsi="Times New Roman"/>
          <w:b/>
          <w:sz w:val="20"/>
        </w:rPr>
        <w:t xml:space="preserve">As filed with the Securities and Exchange Commission on July 30, 2026 </w:t>
      </w:r>
    </w:p>
    <w:p>
      <w:pPr>
        <w:pStyle w:val="TextBody"/>
        <w:bidi w:val="0"/>
        <w:spacing w:before="0" w:after="0"/>
        <w:jc w:val="right"/>
        <w:rPr>
          <w:rFonts w:ascii="Times New Roman" w:hAnsi="Times New Roman"/>
          <w:b/>
          <w:sz w:val="20"/>
        </w:rPr>
      </w:pPr>
      <w:r>
        <w:rPr>
          <w:rFonts w:ascii="Times New Roman" w:hAnsi="Times New Roman"/>
          <w:b/>
          <w:sz w:val="20"/>
        </w:rPr>
        <w:t>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S-8</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ORIC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47-1787157</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240 E. Grand Ave., 2nd Floor </w:t>
      </w:r>
    </w:p>
    <w:p>
      <w:pPr>
        <w:pStyle w:val="TextBody"/>
        <w:bidi w:val="0"/>
        <w:spacing w:before="0" w:after="0"/>
        <w:jc w:val="center"/>
        <w:rPr>
          <w:rFonts w:ascii="Times New Roman" w:hAnsi="Times New Roman"/>
          <w:b/>
          <w:sz w:val="20"/>
        </w:rPr>
      </w:pPr>
      <w:r>
        <w:rPr>
          <w:rFonts w:ascii="Times New Roman" w:hAnsi="Times New Roman"/>
          <w:b/>
          <w:sz w:val="20"/>
        </w:rPr>
        <w:t xml:space="preserve">South San Francisco, California 94080 </w:t>
      </w:r>
    </w:p>
    <w:p>
      <w:pPr>
        <w:pStyle w:val="TextBody"/>
        <w:bidi w:val="0"/>
        <w:spacing w:before="0" w:after="0"/>
        <w:jc w:val="center"/>
        <w:rPr>
          <w:rFonts w:ascii="Times New Roman" w:hAnsi="Times New Roman"/>
          <w:b/>
          <w:sz w:val="20"/>
        </w:rPr>
      </w:pPr>
      <w:r>
        <w:rPr>
          <w:rFonts w:ascii="Times New Roman" w:hAnsi="Times New Roman"/>
          <w:b/>
          <w:sz w:val="20"/>
        </w:rPr>
        <w:t>(650) 388-5600</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including zip code)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2022 Inducement Equity Incentive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 </w:t>
      </w:r>
    </w:p>
    <w:p>
      <w:pPr>
        <w:pStyle w:val="TextBody"/>
        <w:bidi w:val="0"/>
        <w:spacing w:before="240" w:after="0"/>
        <w:jc w:val="center"/>
        <w:rPr>
          <w:rFonts w:ascii="Times New Roman" w:hAnsi="Times New Roman"/>
          <w:b/>
          <w:sz w:val="20"/>
        </w:rPr>
      </w:pPr>
      <w:r>
        <w:rPr>
          <w:rFonts w:ascii="Times New Roman" w:hAnsi="Times New Roman"/>
          <w:b/>
          <w:sz w:val="20"/>
        </w:rPr>
        <w:t xml:space="preserve">Jacob M. Chacko, M.D. </w:t>
      </w:r>
    </w:p>
    <w:p>
      <w:pPr>
        <w:pStyle w:val="TextBody"/>
        <w:bidi w:val="0"/>
        <w:spacing w:before="0" w:after="0"/>
        <w:jc w:val="center"/>
        <w:rPr>
          <w:rFonts w:ascii="Times New Roman" w:hAnsi="Times New Roman"/>
          <w:b/>
          <w:sz w:val="20"/>
        </w:rPr>
      </w:pPr>
      <w:r>
        <w:rPr>
          <w:rFonts w:ascii="Times New Roman" w:hAnsi="Times New Roman"/>
          <w:b/>
          <w:sz w:val="20"/>
        </w:rPr>
        <w:t xml:space="preserve">President and 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ORIC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240 E. Grand Ave, 2nd Floor </w:t>
      </w:r>
    </w:p>
    <w:p>
      <w:pPr>
        <w:pStyle w:val="TextBody"/>
        <w:bidi w:val="0"/>
        <w:spacing w:before="0" w:after="0"/>
        <w:jc w:val="center"/>
        <w:rPr>
          <w:rFonts w:ascii="Times New Roman" w:hAnsi="Times New Roman"/>
          <w:b/>
          <w:sz w:val="20"/>
        </w:rPr>
      </w:pPr>
      <w:r>
        <w:rPr>
          <w:rFonts w:ascii="Times New Roman" w:hAnsi="Times New Roman"/>
          <w:b/>
          <w:sz w:val="20"/>
        </w:rPr>
        <w:t xml:space="preserve">South San Francisco, CA 94080 </w:t>
      </w:r>
    </w:p>
    <w:p>
      <w:pPr>
        <w:pStyle w:val="TextBody"/>
        <w:bidi w:val="0"/>
        <w:spacing w:before="0" w:after="0"/>
        <w:jc w:val="center"/>
        <w:rPr>
          <w:rFonts w:ascii="Times New Roman" w:hAnsi="Times New Roman"/>
          <w:b/>
          <w:sz w:val="20"/>
        </w:rPr>
      </w:pPr>
      <w:r>
        <w:rPr>
          <w:rFonts w:ascii="Times New Roman" w:hAnsi="Times New Roman"/>
          <w:b/>
          <w:sz w:val="20"/>
        </w:rPr>
        <w:t>(650) 388-5600</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Jennifer Knapp</w:t>
            </w:r>
          </w:p>
          <w:p>
            <w:pPr>
              <w:pStyle w:val="TableContents"/>
              <w:bidi w:val="0"/>
              <w:spacing w:before="0" w:after="0"/>
              <w:jc w:val="center"/>
              <w:rPr>
                <w:rFonts w:ascii="Times New Roman" w:hAnsi="Times New Roman"/>
                <w:b/>
                <w:sz w:val="20"/>
              </w:rPr>
            </w:pPr>
            <w:r>
              <w:rPr>
                <w:rFonts w:ascii="Times New Roman" w:hAnsi="Times New Roman"/>
                <w:b/>
                <w:sz w:val="20"/>
              </w:rPr>
              <w:t>Amanda N. Urquiza</w:t>
            </w:r>
          </w:p>
          <w:p>
            <w:pPr>
              <w:pStyle w:val="TableContents"/>
              <w:bidi w:val="0"/>
              <w:spacing w:before="0" w:after="0"/>
              <w:jc w:val="center"/>
              <w:rPr>
                <w:rFonts w:ascii="Times New Roman" w:hAnsi="Times New Roman"/>
                <w:b/>
                <w:sz w:val="20"/>
              </w:rPr>
            </w:pPr>
            <w:r>
              <w:rPr>
                <w:rFonts w:ascii="Times New Roman" w:hAnsi="Times New Roman"/>
                <w:b/>
                <w:sz w:val="20"/>
              </w:rPr>
              <w:t>Wilson Sonsini Goodrich &amp; Rosati,</w:t>
            </w:r>
          </w:p>
          <w:p>
            <w:pPr>
              <w:pStyle w:val="TableContents"/>
              <w:bidi w:val="0"/>
              <w:spacing w:before="0" w:after="0"/>
              <w:jc w:val="center"/>
              <w:rPr>
                <w:rFonts w:ascii="Times New Roman" w:hAnsi="Times New Roman"/>
                <w:b/>
                <w:sz w:val="20"/>
              </w:rPr>
            </w:pPr>
            <w:r>
              <w:rPr>
                <w:rFonts w:ascii="Times New Roman" w:hAnsi="Times New Roman"/>
                <w:b/>
                <w:sz w:val="20"/>
              </w:rPr>
              <w:t>Professional Corporation</w:t>
            </w:r>
          </w:p>
          <w:p>
            <w:pPr>
              <w:pStyle w:val="TableContents"/>
              <w:bidi w:val="0"/>
              <w:spacing w:before="0" w:after="0"/>
              <w:jc w:val="center"/>
              <w:rPr>
                <w:rFonts w:ascii="Times New Roman" w:hAnsi="Times New Roman"/>
                <w:b/>
                <w:sz w:val="20"/>
              </w:rPr>
            </w:pPr>
            <w:r>
              <w:rPr>
                <w:rFonts w:ascii="Times New Roman" w:hAnsi="Times New Roman"/>
                <w:b/>
                <w:sz w:val="20"/>
              </w:rPr>
              <w:t>650 Page Mill Road</w:t>
            </w:r>
          </w:p>
          <w:p>
            <w:pPr>
              <w:pStyle w:val="TableContents"/>
              <w:bidi w:val="0"/>
              <w:spacing w:before="0" w:after="0"/>
              <w:jc w:val="center"/>
              <w:rPr>
                <w:rFonts w:ascii="Times New Roman" w:hAnsi="Times New Roman"/>
                <w:b/>
                <w:sz w:val="20"/>
              </w:rPr>
            </w:pPr>
            <w:r>
              <w:rPr>
                <w:rFonts w:ascii="Times New Roman" w:hAnsi="Times New Roman"/>
                <w:b/>
                <w:sz w:val="20"/>
              </w:rPr>
              <w:t>Palo Alto, CA 94304</w:t>
            </w:r>
          </w:p>
          <w:p>
            <w:pPr>
              <w:pStyle w:val="TableContents"/>
              <w:bidi w:val="0"/>
              <w:spacing w:before="0" w:after="20"/>
              <w:jc w:val="center"/>
              <w:rPr>
                <w:rFonts w:ascii="Times New Roman" w:hAnsi="Times New Roman"/>
                <w:b/>
                <w:sz w:val="20"/>
              </w:rPr>
            </w:pPr>
            <w:r>
              <w:rPr>
                <w:rFonts w:ascii="Times New Roman" w:hAnsi="Times New Roman"/>
                <w:b/>
                <w:sz w:val="20"/>
              </w:rPr>
              <w:t>(650) 493-9300</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20"/>
              </w:rPr>
            </w:pPr>
            <w:r>
              <w:rPr>
                <w:rFonts w:ascii="Times New Roman" w:hAnsi="Times New Roman"/>
                <w:b/>
                <w:sz w:val="20"/>
              </w:rPr>
              <w:t>Dominic Piscitelli</w:t>
            </w:r>
          </w:p>
          <w:p>
            <w:pPr>
              <w:pStyle w:val="TableContents"/>
              <w:bidi w:val="0"/>
              <w:spacing w:before="0" w:after="0"/>
              <w:jc w:val="center"/>
              <w:rPr>
                <w:rFonts w:ascii="Times New Roman" w:hAnsi="Times New Roman"/>
                <w:b/>
                <w:sz w:val="20"/>
              </w:rPr>
            </w:pPr>
            <w:r>
              <w:rPr>
                <w:rFonts w:ascii="Times New Roman" w:hAnsi="Times New Roman"/>
                <w:b/>
                <w:sz w:val="20"/>
              </w:rPr>
              <w:t>Chief Financial Officer</w:t>
            </w:r>
          </w:p>
          <w:p>
            <w:pPr>
              <w:pStyle w:val="TableContents"/>
              <w:bidi w:val="0"/>
              <w:spacing w:before="0" w:after="0"/>
              <w:jc w:val="center"/>
              <w:rPr>
                <w:rFonts w:ascii="Times New Roman" w:hAnsi="Times New Roman"/>
                <w:b/>
                <w:sz w:val="20"/>
              </w:rPr>
            </w:pPr>
            <w:r>
              <w:rPr>
                <w:rFonts w:ascii="Times New Roman" w:hAnsi="Times New Roman"/>
                <w:b/>
                <w:sz w:val="20"/>
              </w:rPr>
              <w:t>ORIC Pharmaceuticals, Inc.</w:t>
            </w:r>
          </w:p>
          <w:p>
            <w:pPr>
              <w:pStyle w:val="TableContents"/>
              <w:bidi w:val="0"/>
              <w:spacing w:before="0" w:after="0"/>
              <w:jc w:val="center"/>
              <w:rPr>
                <w:rFonts w:ascii="Times New Roman" w:hAnsi="Times New Roman"/>
                <w:b/>
                <w:sz w:val="20"/>
              </w:rPr>
            </w:pPr>
            <w:r>
              <w:rPr>
                <w:rFonts w:ascii="Times New Roman" w:hAnsi="Times New Roman"/>
                <w:b/>
                <w:sz w:val="20"/>
              </w:rPr>
              <w:t>240 E. Grand Ave, 2nd Floor</w:t>
            </w:r>
          </w:p>
          <w:p>
            <w:pPr>
              <w:pStyle w:val="TableContents"/>
              <w:bidi w:val="0"/>
              <w:spacing w:before="0" w:after="0"/>
              <w:jc w:val="center"/>
              <w:rPr>
                <w:rFonts w:ascii="Times New Roman" w:hAnsi="Times New Roman"/>
                <w:b/>
                <w:sz w:val="20"/>
              </w:rPr>
            </w:pPr>
            <w:r>
              <w:rPr>
                <w:rFonts w:ascii="Times New Roman" w:hAnsi="Times New Roman"/>
                <w:b/>
                <w:sz w:val="20"/>
              </w:rPr>
              <w:t>South San Francisco, CA 94080</w:t>
            </w:r>
          </w:p>
          <w:p>
            <w:pPr>
              <w:pStyle w:val="TableContents"/>
              <w:bidi w:val="0"/>
              <w:spacing w:before="0" w:after="20"/>
              <w:jc w:val="center"/>
              <w:rPr>
                <w:rFonts w:ascii="Times New Roman" w:hAnsi="Times New Roman"/>
                <w:b/>
                <w:sz w:val="20"/>
              </w:rPr>
            </w:pPr>
            <w:r>
              <w:rPr>
                <w:rFonts w:ascii="Times New Roman" w:hAnsi="Times New Roman"/>
                <w:b/>
                <w:sz w:val="20"/>
              </w:rPr>
              <w:t>(650) 388-5600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4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ORIC Pharmaceuticals, Inc. (the “Registrant”) is filing this Registration Statement on Form S-8 (the “Registration Statement”) with the Securities and Exchange Commission (the “Commission”) to register 1,100,000 additional shares of Common Stock reserved for issuance under the Registrant’s Amended and Restated 2022 Inducement Plan, as amended (the “2022 Inducement Plan”).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Common Stock available for grant under the 2022 Inducement Plan as inducement grants under Nasdaq Listing Rule 5635(c)(4) was increased pursuant to an amendment to the 2022 Inducement Plan approved by the Compensation Committee of the Board of Directors of the Registrant. </w:t>
      </w:r>
    </w:p>
    <w:p>
      <w:pPr>
        <w:pStyle w:val="TextBody"/>
        <w:bidi w:val="0"/>
        <w:spacing w:before="240" w:after="0"/>
        <w:jc w:val="left"/>
        <w:rPr/>
      </w:pPr>
      <w:r>
        <w:rPr>
          <w:rFonts w:ascii="Times New Roman" w:hAnsi="Times New Roman"/>
          <w:sz w:val="20"/>
        </w:rPr>
        <w:t xml:space="preserve">Accordingly, contents of (i)  the Registration Statement on </w:t>
      </w:r>
      <w:hyperlink r:id="rId2">
        <w:r>
          <w:rPr>
            <w:rStyle w:val="InternetLink"/>
            <w:rFonts w:ascii="Times New Roman" w:hAnsi="Times New Roman"/>
            <w:sz w:val="20"/>
          </w:rPr>
          <w:t>Form S-8</w:t>
        </w:r>
      </w:hyperlink>
      <w:r>
        <w:rPr>
          <w:rFonts w:ascii="Times New Roman" w:hAnsi="Times New Roman"/>
          <w:sz w:val="20"/>
        </w:rPr>
        <w:t xml:space="preserve"> filed with the Commission on April 24, 2020 (Registration No. 333-237840), (ii) the Registration Statement on </w:t>
      </w:r>
      <w:hyperlink r:id="rId3">
        <w:r>
          <w:rPr>
            <w:rStyle w:val="InternetLink"/>
            <w:rFonts w:ascii="Times New Roman" w:hAnsi="Times New Roman"/>
            <w:sz w:val="20"/>
          </w:rPr>
          <w:t>Form S-8</w:t>
        </w:r>
      </w:hyperlink>
      <w:r>
        <w:rPr>
          <w:rFonts w:ascii="Times New Roman" w:hAnsi="Times New Roman"/>
          <w:sz w:val="20"/>
        </w:rPr>
        <w:t xml:space="preserve"> (No. 333-254626) filed by the Registrant with the Commission on March 23, 2021, (iii) the Registration Statement on </w:t>
      </w:r>
      <w:hyperlink r:id="rId4">
        <w:r>
          <w:rPr>
            <w:rStyle w:val="InternetLink"/>
            <w:rFonts w:ascii="Times New Roman" w:hAnsi="Times New Roman"/>
            <w:sz w:val="20"/>
          </w:rPr>
          <w:t>Form S-8</w:t>
        </w:r>
      </w:hyperlink>
      <w:r>
        <w:rPr>
          <w:rFonts w:ascii="Times New Roman" w:hAnsi="Times New Roman"/>
          <w:sz w:val="20"/>
        </w:rPr>
        <w:t xml:space="preserve"> (No. 333-263763) filed by the Registrant with the Commission on March  22, 2022, (iv) the Registration Statement on </w:t>
      </w:r>
      <w:hyperlink r:id="rId5">
        <w:r>
          <w:rPr>
            <w:rStyle w:val="InternetLink"/>
            <w:rFonts w:ascii="Times New Roman" w:hAnsi="Times New Roman"/>
            <w:sz w:val="20"/>
          </w:rPr>
          <w:t>Form S-8</w:t>
        </w:r>
      </w:hyperlink>
      <w:r>
        <w:rPr>
          <w:rFonts w:ascii="Times New Roman" w:hAnsi="Times New Roman"/>
          <w:sz w:val="20"/>
        </w:rPr>
        <w:t xml:space="preserve"> (No. 333-270619) filed by the Registrant with the Commission on March 16, 2023, (v) the Registration Statement on </w:t>
      </w:r>
      <w:hyperlink r:id="rId6">
        <w:r>
          <w:rPr>
            <w:rStyle w:val="InternetLink"/>
            <w:rFonts w:ascii="Times New Roman" w:hAnsi="Times New Roman"/>
            <w:sz w:val="20"/>
          </w:rPr>
          <w:t>Form S-8</w:t>
        </w:r>
      </w:hyperlink>
      <w:r>
        <w:rPr>
          <w:rFonts w:ascii="Times New Roman" w:hAnsi="Times New Roman"/>
          <w:sz w:val="20"/>
        </w:rPr>
        <w:t xml:space="preserve"> (No. 333- 278394) filed by the Registrant with the Commission on March 29, 2024, and (vi) the Registration Statement on </w:t>
      </w:r>
      <w:hyperlink r:id="rId7">
        <w:r>
          <w:rPr>
            <w:rStyle w:val="InternetLink"/>
            <w:rFonts w:ascii="Times New Roman" w:hAnsi="Times New Roman"/>
            <w:sz w:val="20"/>
          </w:rPr>
          <w:t>Form S-8</w:t>
        </w:r>
      </w:hyperlink>
      <w:r>
        <w:rPr>
          <w:rFonts w:ascii="Times New Roman" w:hAnsi="Times New Roman"/>
          <w:sz w:val="20"/>
        </w:rPr>
        <w:t xml:space="preserve"> (No. 333- 285959) filed by the Registrant with the Commission on March 20, 2025 are incorporated herein by reference pursuant to General Instruction E of Form S-8 (together, the “Previous Forms S-8”), including the information incorporated by reference therein and the periodic reports filed after the Previous Forms S-8 to maintain current information about the Registrant, are incorporated by reference into this Registration Statement pursuant to General Instruction E of Form S-8.</w:t>
      </w:r>
    </w:p>
    <w:p>
      <w:pPr>
        <w:pStyle w:val="TextBody"/>
        <w:bidi w:val="0"/>
        <w:spacing w:before="480" w:after="0"/>
        <w:jc w:val="center"/>
        <w:rPr>
          <w:rFonts w:ascii="Times New Roman" w:hAnsi="Times New Roman"/>
          <w:b/>
          <w:sz w:val="20"/>
        </w:rPr>
      </w:pPr>
      <w:r>
        <w:rPr>
          <w:rFonts w:ascii="Times New Roman" w:hAnsi="Times New Roman"/>
          <w:b/>
          <w:sz w:val="20"/>
        </w:rPr>
        <w:t xml:space="preserve">PART 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REQUIRED IN THE SECTION 10(a)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specified in Item 1 and Item 2 of Part I of Form S-8 is omitted from this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 These documents and the documents incorporated by reference in this Registration Statement pursuant to Item 3 of Part II of Form S-8, taken together, constitute a prospectus that meets the requirements of Section 10(a) of the Securities Act.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3. Incorporation of Documents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Registrant hereby incorporates by reference into this Registration Statement the following documents previously filed with the Commission: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pPr>
            <w:r>
              <w:rPr>
                <w:rFonts w:ascii="Times New Roman" w:hAnsi="Times New Roman"/>
                <w:sz w:val="20"/>
              </w:rPr>
              <w:t xml:space="preserve">The Registrant’s Annual Report on </w:t>
            </w:r>
            <w:hyperlink r:id="rId8">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Commission on February 23,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reports filed pursuant to Section 13(a) or 15(d) of the Securities Exchange Act of 1934, as amended (the “Exchange Act”), since the end of the fiscal year covered by the Registrant’s Annual Report referred to in (1) above (other than the portions of these documents not deemed to be filed); and </w:t>
            </w:r>
          </w:p>
        </w:tc>
      </w:tr>
    </w:tbl>
    <w:tbl>
      <w:tblPr>
        <w:tblW w:w="5000" w:type="pct"/>
        <w:jc w:val="left"/>
        <w:tblInd w:w="0" w:type="dxa"/>
        <w:tblLayout w:type="fixed"/>
        <w:tblCellMar>
          <w:top w:w="0" w:type="dxa"/>
          <w:left w:w="0" w:type="dxa"/>
          <w:bottom w:w="0" w:type="dxa"/>
          <w:right w:w="0" w:type="dxa"/>
        </w:tblCellMar>
      </w:tblPr>
      <w:tblGrid>
        <w:gridCol w:w="10205"/>
      </w:tblGrid>
      <w:tr>
        <w:trPr/>
        <w:tc>
          <w:tcPr>
            <w:tcW w:w="10205"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pPr>
            <w:r>
              <w:rPr>
                <w:rFonts w:ascii="Times New Roman" w:hAnsi="Times New Roman"/>
                <w:sz w:val="20"/>
              </w:rPr>
              <w:t xml:space="preserve">The description of the Registrant’s Common Stock contained in </w:t>
            </w:r>
            <w:hyperlink r:id="rId9">
              <w:r>
                <w:rPr>
                  <w:rStyle w:val="InternetLink"/>
                  <w:rFonts w:ascii="Times New Roman" w:hAnsi="Times New Roman"/>
                  <w:sz w:val="20"/>
                </w:rPr>
                <w:t>Exhibit 4.3</w:t>
              </w:r>
            </w:hyperlink>
            <w:r>
              <w:rPr>
                <w:rFonts w:ascii="Times New Roman" w:hAnsi="Times New Roman"/>
                <w:sz w:val="20"/>
              </w:rPr>
              <w:t xml:space="preserve"> to the Registrant’s Annual Report on </w:t>
            </w:r>
            <w:hyperlink r:id="rId10">
              <w:r>
                <w:rPr>
                  <w:rStyle w:val="InternetLink"/>
                  <w:rFonts w:ascii="Times New Roman" w:hAnsi="Times New Roman"/>
                  <w:sz w:val="20"/>
                </w:rPr>
                <w:t>Form 10-K</w:t>
              </w:r>
            </w:hyperlink>
            <w:r>
              <w:rPr>
                <w:rFonts w:ascii="Times New Roman" w:hAnsi="Times New Roman"/>
                <w:sz w:val="20"/>
              </w:rPr>
              <w:t xml:space="preserve"> for the fiscal year ended December 31, 2021, filed with the Commission on March 21, 2022, including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a part hereof from the date of filing of such documents; provided, however,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Item 4. Description of Securities.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5. Interests of Named Experts and Counsel. </w:t>
      </w:r>
    </w:p>
    <w:p>
      <w:pPr>
        <w:pStyle w:val="TextBody"/>
        <w:bidi w:val="0"/>
        <w:spacing w:before="120" w:after="0"/>
        <w:jc w:val="left"/>
        <w:rPr>
          <w:rFonts w:ascii="Times New Roman" w:hAnsi="Times New Roman"/>
          <w:sz w:val="20"/>
        </w:rPr>
      </w:pPr>
      <w:r>
        <w:rPr>
          <w:rFonts w:ascii="Times New Roman" w:hAnsi="Times New Roman"/>
          <w:sz w:val="20"/>
        </w:rPr>
        <w:t xml:space="preserve">The validity of the securities offered hereby will be passed upon for us by Wilson Sonsini Goodrich &amp; Rosati, Professional Corporation, Palo Alto, California. Additional legal matters may be passed on for us, or any underwriters, dealers or agents, by counsel that we will name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Item 6.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145 of the Delaware General Corporation Law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our best interests, and, with respect to any criminal action, had no reasonable cause to believe the person’s actions were unlawful. The Delaware General Corporation Law further provides that the indemnification permitted thereunder shall not be deemed exclusive of any other rights to which the directors and officers may be entitled under the corporation’s bylaws, any agreement, a vote of stockholders or otherwise. The Amended and Restated Certificate of Incorporation of the Registrant provides for the indemnification of the Registrant’s directors and officers to the fullest extent permitted under the Delaware General Corporation Law. In addition, the Amended and Restated Bylaws of the Registrant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or redemptions or (4) for any transaction from which the director derived an improper personal benefit. The Amended and Restated Certificate of Incorporation of the Registrant provides that the Registrant’s directors shall not be personally liable to it or its stockholders for monetary damages for breach of fiduciary duty as a director and that if the Delaware General Corporation Law is amended to authorize corporate action further eliminating or limiting the personal liability of directors, then the liability of the Registrant’s directors shall be eliminated or limited to the fullest extent permitted by the Delaware General Corporation Law, as so amended.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174 of the Delaware General Corporation Law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 </w:t>
      </w:r>
    </w:p>
    <w:p>
      <w:pPr>
        <w:pStyle w:val="TextBody"/>
        <w:bidi w:val="0"/>
        <w:spacing w:before="240" w:after="0"/>
        <w:jc w:val="left"/>
        <w:rPr>
          <w:rFonts w:ascii="Times New Roman" w:hAnsi="Times New Roman"/>
          <w:sz w:val="20"/>
        </w:rPr>
      </w:pPr>
      <w:r>
        <w:rPr>
          <w:rFonts w:ascii="Times New Roman" w:hAnsi="Times New Roman"/>
          <w:sz w:val="20"/>
        </w:rPr>
        <w:t xml:space="preserve">As permitted by the Delaware General Corporation Law, the Registrant has entered into separate indemnification agreements with each of the Registrant’s directors and certain of the Registrant’s officers which require the Registrant, among other things, to indemnify them against certain liabilities which may arise by reason of their status as directors, officers or certain other employees.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These indemnification provisions and the indemnification agreements entered into between the Registrant and the Registrant’s officers and directors may be sufficiently broad to permit indemnification of the Registrant’s officers and directors for liabilities (including reimbursement of expenses incurred) arising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Item 7. Exemption from Registration Claimed.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8"/>
        <w:gridCol w:w="207"/>
        <w:gridCol w:w="5338"/>
        <w:gridCol w:w="148"/>
        <w:gridCol w:w="60"/>
        <w:gridCol w:w="573"/>
        <w:gridCol w:w="60"/>
        <w:gridCol w:w="148"/>
        <w:gridCol w:w="60"/>
        <w:gridCol w:w="906"/>
        <w:gridCol w:w="60"/>
        <w:gridCol w:w="148"/>
        <w:gridCol w:w="92"/>
        <w:gridCol w:w="684"/>
        <w:gridCol w:w="59"/>
        <w:gridCol w:w="148"/>
        <w:gridCol w:w="60"/>
        <w:gridCol w:w="760"/>
        <w:gridCol w:w="66"/>
      </w:tblGrid>
      <w:tr>
        <w:trPr/>
        <w:tc>
          <w:tcPr>
            <w:tcW w:w="628"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5338"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62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33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3818" w:type="dxa"/>
            <w:gridSpan w:val="14"/>
            <w:tcBorders/>
            <w:vAlign w:val="bottom"/>
          </w:tcPr>
          <w:p>
            <w:pPr>
              <w:pStyle w:val="TableContents"/>
              <w:bidi w:val="0"/>
              <w:spacing w:before="0" w:after="283"/>
              <w:jc w:val="center"/>
              <w:rPr>
                <w:b/>
              </w:rPr>
            </w:pPr>
            <w:r>
              <w:rPr>
                <w:b/>
              </w:rPr>
              <w:t>Incorporated by Reference</w:t>
            </w:r>
          </w:p>
        </w:tc>
        <w:tc>
          <w:tcPr>
            <w:tcW w:w="66" w:type="dxa"/>
            <w:tcBorders/>
            <w:vAlign w:val="bottom"/>
          </w:tcPr>
          <w:p>
            <w:pPr>
              <w:pStyle w:val="TableContents"/>
              <w:bidi w:val="0"/>
              <w:spacing w:before="0" w:after="283"/>
              <w:jc w:val="left"/>
              <w:rPr/>
            </w:pPr>
            <w:r>
              <w:rPr/>
              <w:t> </w:t>
            </w:r>
          </w:p>
        </w:tc>
      </w:tr>
      <w:tr>
        <w:trPr/>
        <w:tc>
          <w:tcPr>
            <w:tcW w:w="62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Number</w:t>
            </w:r>
          </w:p>
        </w:tc>
        <w:tc>
          <w:tcPr>
            <w:tcW w:w="207" w:type="dxa"/>
            <w:tcBorders/>
            <w:vAlign w:val="bottom"/>
          </w:tcPr>
          <w:p>
            <w:pPr>
              <w:pStyle w:val="TableContents"/>
              <w:bidi w:val="0"/>
              <w:spacing w:before="0" w:after="283"/>
              <w:jc w:val="left"/>
              <w:rPr/>
            </w:pPr>
            <w:r>
              <w:rPr/>
              <w:t>  </w:t>
            </w:r>
          </w:p>
        </w:tc>
        <w:tc>
          <w:tcPr>
            <w:tcW w:w="533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148" w:type="dxa"/>
            <w:tcBorders/>
            <w:vAlign w:val="bottom"/>
          </w:tcPr>
          <w:p>
            <w:pPr>
              <w:pStyle w:val="TableContents"/>
              <w:bidi w:val="0"/>
              <w:spacing w:before="0" w:after="283"/>
              <w:jc w:val="left"/>
              <w:rPr/>
            </w:pPr>
            <w:r>
              <w:rPr/>
              <w:t>  </w:t>
            </w:r>
          </w:p>
        </w:tc>
        <w:tc>
          <w:tcPr>
            <w:tcW w:w="6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 No.</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5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Filing Date</w:t>
            </w:r>
          </w:p>
        </w:tc>
        <w:tc>
          <w:tcPr>
            <w:tcW w:w="66" w:type="dxa"/>
            <w:tcBorders/>
            <w:vAlign w:val="bottom"/>
          </w:tcPr>
          <w:p>
            <w:pPr>
              <w:pStyle w:val="TableContents"/>
              <w:bidi w:val="0"/>
              <w:spacing w:before="0" w:after="283"/>
              <w:jc w:val="left"/>
              <w:rPr/>
            </w:pPr>
            <w:r>
              <w:rPr/>
              <w:t> </w:t>
            </w:r>
          </w:p>
        </w:tc>
      </w:tr>
      <w:tr>
        <w:trPr>
          <w:trHeight w:val="120" w:hRule="atLeast"/>
        </w:trPr>
        <w:tc>
          <w:tcPr>
            <w:tcW w:w="628" w:type="dxa"/>
            <w:tcBorders/>
            <w:vAlign w:val="center"/>
          </w:tcPr>
          <w:p>
            <w:pPr>
              <w:pStyle w:val="TableContents"/>
              <w:bidi w:val="0"/>
              <w:spacing w:before="0" w:after="283"/>
              <w:jc w:val="left"/>
              <w:rPr>
                <w:sz w:val="4"/>
                <w:szCs w:val="4"/>
              </w:rPr>
            </w:pPr>
            <w:r>
              <w:rPr>
                <w:sz w:val="4"/>
                <w:szCs w:val="4"/>
              </w:rPr>
            </w:r>
          </w:p>
        </w:tc>
        <w:tc>
          <w:tcPr>
            <w:tcW w:w="5545" w:type="dxa"/>
            <w:gridSpan w:val="2"/>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1174" w:type="dxa"/>
            <w:gridSpan w:val="4"/>
            <w:tcBorders/>
            <w:vAlign w:val="center"/>
          </w:tcPr>
          <w:p>
            <w:pPr>
              <w:pStyle w:val="TableContents"/>
              <w:bidi w:val="0"/>
              <w:spacing w:before="0" w:after="283"/>
              <w:jc w:val="left"/>
              <w:rPr>
                <w:sz w:val="4"/>
                <w:szCs w:val="4"/>
              </w:rPr>
            </w:pPr>
            <w:r>
              <w:rPr>
                <w:sz w:val="4"/>
                <w:szCs w:val="4"/>
              </w:rPr>
            </w:r>
          </w:p>
        </w:tc>
        <w:tc>
          <w:tcPr>
            <w:tcW w:w="983" w:type="dxa"/>
            <w:gridSpan w:val="4"/>
            <w:tcBorders/>
            <w:vAlign w:val="center"/>
          </w:tcPr>
          <w:p>
            <w:pPr>
              <w:pStyle w:val="TableContents"/>
              <w:bidi w:val="0"/>
              <w:spacing w:before="0" w:after="283"/>
              <w:jc w:val="left"/>
              <w:rPr>
                <w:sz w:val="4"/>
                <w:szCs w:val="4"/>
              </w:rPr>
            </w:pPr>
            <w:r>
              <w:rPr>
                <w:sz w:val="4"/>
                <w:szCs w:val="4"/>
              </w:rPr>
            </w:r>
          </w:p>
        </w:tc>
        <w:tc>
          <w:tcPr>
            <w:tcW w:w="1034" w:type="dxa"/>
            <w:gridSpan w:val="4"/>
            <w:tcBorders/>
            <w:vAlign w:val="center"/>
          </w:tcPr>
          <w:p>
            <w:pPr>
              <w:pStyle w:val="TableContents"/>
              <w:bidi w:val="0"/>
              <w:spacing w:before="0" w:after="283"/>
              <w:jc w:val="left"/>
              <w:rPr>
                <w:sz w:val="4"/>
                <w:szCs w:val="4"/>
              </w:rPr>
            </w:pPr>
            <w:r>
              <w:rPr>
                <w:sz w:val="4"/>
                <w:szCs w:val="4"/>
              </w:rPr>
            </w:r>
          </w:p>
        </w:tc>
      </w:tr>
      <w:tr>
        <w:trPr/>
        <w:tc>
          <w:tcPr>
            <w:tcW w:w="628" w:type="dxa"/>
            <w:tcBorders/>
          </w:tcPr>
          <w:p>
            <w:pPr>
              <w:pStyle w:val="TableContents"/>
              <w:bidi w:val="0"/>
              <w:spacing w:before="0" w:after="283"/>
              <w:jc w:val="left"/>
              <w:rPr/>
            </w:pPr>
            <w:r>
              <w:rPr/>
              <w:t> </w:t>
            </w:r>
            <w:r>
              <w:rPr/>
              <w:t>4.1</w:t>
            </w:r>
          </w:p>
        </w:tc>
        <w:tc>
          <w:tcPr>
            <w:tcW w:w="207" w:type="dxa"/>
            <w:tcBorders/>
            <w:vAlign w:val="bottom"/>
          </w:tcPr>
          <w:p>
            <w:pPr>
              <w:pStyle w:val="TableContents"/>
              <w:bidi w:val="0"/>
              <w:spacing w:before="0" w:after="283"/>
              <w:jc w:val="left"/>
              <w:rPr/>
            </w:pPr>
            <w:r>
              <w:rPr/>
              <w:t>  </w:t>
            </w:r>
          </w:p>
        </w:tc>
        <w:tc>
          <w:tcPr>
            <w:tcW w:w="5338" w:type="dxa"/>
            <w:tcBorders/>
          </w:tcPr>
          <w:p>
            <w:pPr>
              <w:pStyle w:val="TableContents"/>
              <w:bidi w:val="0"/>
              <w:spacing w:before="0" w:after="283"/>
              <w:jc w:val="left"/>
              <w:rPr/>
            </w:pPr>
            <w:hyperlink r:id="rId11">
              <w:r>
                <w:rPr>
                  <w:rStyle w:val="InternetLink"/>
                </w:rPr>
                <w:t xml:space="preserve">Specimen common stock certificate of the Registrant </w:t>
              </w:r>
            </w:hyperlink>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S-1/A</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333-236792</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4.2</w:t>
            </w:r>
          </w:p>
        </w:tc>
        <w:tc>
          <w:tcPr>
            <w:tcW w:w="5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4/20/2020</w:t>
            </w:r>
          </w:p>
        </w:tc>
        <w:tc>
          <w:tcPr>
            <w:tcW w:w="66" w:type="dxa"/>
            <w:tcBorders/>
            <w:vAlign w:val="bottom"/>
          </w:tcPr>
          <w:p>
            <w:pPr>
              <w:pStyle w:val="TableContents"/>
              <w:bidi w:val="0"/>
              <w:spacing w:before="0" w:after="283"/>
              <w:jc w:val="left"/>
              <w:rPr/>
            </w:pPr>
            <w:r>
              <w:rPr/>
              <w:t> </w:t>
            </w:r>
          </w:p>
        </w:tc>
      </w:tr>
      <w:tr>
        <w:trPr>
          <w:trHeight w:val="120" w:hRule="atLeast"/>
        </w:trPr>
        <w:tc>
          <w:tcPr>
            <w:tcW w:w="628" w:type="dxa"/>
            <w:tcBorders/>
            <w:vAlign w:val="center"/>
          </w:tcPr>
          <w:p>
            <w:pPr>
              <w:pStyle w:val="TableContents"/>
              <w:bidi w:val="0"/>
              <w:spacing w:before="0" w:after="283"/>
              <w:jc w:val="left"/>
              <w:rPr>
                <w:sz w:val="4"/>
                <w:szCs w:val="4"/>
              </w:rPr>
            </w:pPr>
            <w:r>
              <w:rPr>
                <w:sz w:val="4"/>
                <w:szCs w:val="4"/>
              </w:rPr>
            </w:r>
          </w:p>
        </w:tc>
        <w:tc>
          <w:tcPr>
            <w:tcW w:w="5545" w:type="dxa"/>
            <w:gridSpan w:val="2"/>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1174" w:type="dxa"/>
            <w:gridSpan w:val="4"/>
            <w:tcBorders/>
            <w:vAlign w:val="center"/>
          </w:tcPr>
          <w:p>
            <w:pPr>
              <w:pStyle w:val="TableContents"/>
              <w:bidi w:val="0"/>
              <w:spacing w:before="0" w:after="283"/>
              <w:jc w:val="left"/>
              <w:rPr>
                <w:sz w:val="4"/>
                <w:szCs w:val="4"/>
              </w:rPr>
            </w:pPr>
            <w:r>
              <w:rPr>
                <w:sz w:val="4"/>
                <w:szCs w:val="4"/>
              </w:rPr>
            </w:r>
          </w:p>
        </w:tc>
        <w:tc>
          <w:tcPr>
            <w:tcW w:w="983" w:type="dxa"/>
            <w:gridSpan w:val="4"/>
            <w:tcBorders/>
            <w:vAlign w:val="center"/>
          </w:tcPr>
          <w:p>
            <w:pPr>
              <w:pStyle w:val="TableContents"/>
              <w:bidi w:val="0"/>
              <w:spacing w:before="0" w:after="283"/>
              <w:jc w:val="left"/>
              <w:rPr>
                <w:sz w:val="4"/>
                <w:szCs w:val="4"/>
              </w:rPr>
            </w:pPr>
            <w:r>
              <w:rPr>
                <w:sz w:val="4"/>
                <w:szCs w:val="4"/>
              </w:rPr>
            </w:r>
          </w:p>
        </w:tc>
        <w:tc>
          <w:tcPr>
            <w:tcW w:w="1034" w:type="dxa"/>
            <w:gridSpan w:val="4"/>
            <w:tcBorders/>
            <w:vAlign w:val="center"/>
          </w:tcPr>
          <w:p>
            <w:pPr>
              <w:pStyle w:val="TableContents"/>
              <w:bidi w:val="0"/>
              <w:spacing w:before="0" w:after="283"/>
              <w:jc w:val="left"/>
              <w:rPr>
                <w:sz w:val="4"/>
                <w:szCs w:val="4"/>
              </w:rPr>
            </w:pPr>
            <w:r>
              <w:rPr>
                <w:sz w:val="4"/>
                <w:szCs w:val="4"/>
              </w:rPr>
            </w:r>
          </w:p>
        </w:tc>
      </w:tr>
      <w:tr>
        <w:trPr/>
        <w:tc>
          <w:tcPr>
            <w:tcW w:w="628" w:type="dxa"/>
            <w:tcBorders/>
          </w:tcPr>
          <w:p>
            <w:pPr>
              <w:pStyle w:val="TableContents"/>
              <w:bidi w:val="0"/>
              <w:spacing w:before="0" w:after="283"/>
              <w:jc w:val="left"/>
              <w:rPr/>
            </w:pPr>
            <w:r>
              <w:rPr/>
              <w:t> </w:t>
            </w:r>
            <w:r>
              <w:rPr/>
              <w:t>5.1*</w:t>
            </w:r>
          </w:p>
        </w:tc>
        <w:tc>
          <w:tcPr>
            <w:tcW w:w="207" w:type="dxa"/>
            <w:tcBorders/>
            <w:vAlign w:val="bottom"/>
          </w:tcPr>
          <w:p>
            <w:pPr>
              <w:pStyle w:val="TableContents"/>
              <w:bidi w:val="0"/>
              <w:spacing w:before="0" w:after="283"/>
              <w:jc w:val="left"/>
              <w:rPr/>
            </w:pPr>
            <w:r>
              <w:rPr/>
              <w:t>  </w:t>
            </w:r>
          </w:p>
        </w:tc>
        <w:tc>
          <w:tcPr>
            <w:tcW w:w="5338" w:type="dxa"/>
            <w:tcBorders/>
          </w:tcPr>
          <w:p>
            <w:pPr>
              <w:pStyle w:val="TableContents"/>
              <w:bidi w:val="0"/>
              <w:spacing w:before="0" w:after="283"/>
              <w:jc w:val="left"/>
              <w:rPr/>
            </w:pPr>
            <w:hyperlink w:anchor="d170491dex51.htm">
              <w:r>
                <w:rPr>
                  <w:rStyle w:val="InternetLink"/>
                </w:rPr>
                <w:t xml:space="preserve">Opinion of Wilson Sonsini Goodrich &amp; Rosati, Professional Corporation </w:t>
              </w:r>
            </w:hyperlink>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684"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28" w:type="dxa"/>
            <w:tcBorders/>
            <w:vAlign w:val="center"/>
          </w:tcPr>
          <w:p>
            <w:pPr>
              <w:pStyle w:val="TableContents"/>
              <w:bidi w:val="0"/>
              <w:spacing w:before="0" w:after="283"/>
              <w:jc w:val="left"/>
              <w:rPr>
                <w:sz w:val="4"/>
                <w:szCs w:val="4"/>
              </w:rPr>
            </w:pPr>
            <w:r>
              <w:rPr>
                <w:sz w:val="4"/>
                <w:szCs w:val="4"/>
              </w:rPr>
            </w:r>
          </w:p>
        </w:tc>
        <w:tc>
          <w:tcPr>
            <w:tcW w:w="5545" w:type="dxa"/>
            <w:gridSpan w:val="2"/>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1174" w:type="dxa"/>
            <w:gridSpan w:val="4"/>
            <w:tcBorders/>
            <w:vAlign w:val="center"/>
          </w:tcPr>
          <w:p>
            <w:pPr>
              <w:pStyle w:val="TableContents"/>
              <w:bidi w:val="0"/>
              <w:spacing w:before="0" w:after="283"/>
              <w:jc w:val="left"/>
              <w:rPr>
                <w:sz w:val="4"/>
                <w:szCs w:val="4"/>
              </w:rPr>
            </w:pPr>
            <w:r>
              <w:rPr>
                <w:sz w:val="4"/>
                <w:szCs w:val="4"/>
              </w:rPr>
            </w:r>
          </w:p>
        </w:tc>
        <w:tc>
          <w:tcPr>
            <w:tcW w:w="983" w:type="dxa"/>
            <w:gridSpan w:val="4"/>
            <w:tcBorders/>
            <w:vAlign w:val="center"/>
          </w:tcPr>
          <w:p>
            <w:pPr>
              <w:pStyle w:val="TableContents"/>
              <w:bidi w:val="0"/>
              <w:spacing w:before="0" w:after="283"/>
              <w:jc w:val="left"/>
              <w:rPr>
                <w:sz w:val="4"/>
                <w:szCs w:val="4"/>
              </w:rPr>
            </w:pPr>
            <w:r>
              <w:rPr>
                <w:sz w:val="4"/>
                <w:szCs w:val="4"/>
              </w:rPr>
            </w:r>
          </w:p>
        </w:tc>
        <w:tc>
          <w:tcPr>
            <w:tcW w:w="1034" w:type="dxa"/>
            <w:gridSpan w:val="4"/>
            <w:tcBorders/>
            <w:vAlign w:val="center"/>
          </w:tcPr>
          <w:p>
            <w:pPr>
              <w:pStyle w:val="TableContents"/>
              <w:bidi w:val="0"/>
              <w:spacing w:before="0" w:after="283"/>
              <w:jc w:val="left"/>
              <w:rPr>
                <w:sz w:val="4"/>
                <w:szCs w:val="4"/>
              </w:rPr>
            </w:pPr>
            <w:r>
              <w:rPr>
                <w:sz w:val="4"/>
                <w:szCs w:val="4"/>
              </w:rPr>
            </w:r>
          </w:p>
        </w:tc>
      </w:tr>
      <w:tr>
        <w:trPr/>
        <w:tc>
          <w:tcPr>
            <w:tcW w:w="628" w:type="dxa"/>
            <w:tcBorders/>
          </w:tcPr>
          <w:p>
            <w:pPr>
              <w:pStyle w:val="TableContents"/>
              <w:bidi w:val="0"/>
              <w:spacing w:before="0" w:after="283"/>
              <w:jc w:val="left"/>
              <w:rPr/>
            </w:pPr>
            <w:r>
              <w:rPr/>
              <w:t>10.1</w:t>
            </w:r>
          </w:p>
        </w:tc>
        <w:tc>
          <w:tcPr>
            <w:tcW w:w="207" w:type="dxa"/>
            <w:tcBorders/>
            <w:vAlign w:val="bottom"/>
          </w:tcPr>
          <w:p>
            <w:pPr>
              <w:pStyle w:val="TableContents"/>
              <w:bidi w:val="0"/>
              <w:spacing w:before="0" w:after="283"/>
              <w:jc w:val="left"/>
              <w:rPr/>
            </w:pPr>
            <w:r>
              <w:rPr/>
              <w:t>  </w:t>
            </w:r>
          </w:p>
        </w:tc>
        <w:tc>
          <w:tcPr>
            <w:tcW w:w="5338" w:type="dxa"/>
            <w:tcBorders/>
          </w:tcPr>
          <w:p>
            <w:pPr>
              <w:pStyle w:val="TableContents"/>
              <w:bidi w:val="0"/>
              <w:spacing w:before="0" w:after="283"/>
              <w:jc w:val="left"/>
              <w:rPr/>
            </w:pPr>
            <w:hyperlink r:id="rId12">
              <w:r>
                <w:rPr>
                  <w:rStyle w:val="InternetLink"/>
                </w:rPr>
                <w:t xml:space="preserve">Amended and Restated 2022 Inducement Equity Incentive Plan, and form agreements thereunder </w:t>
              </w:r>
            </w:hyperlink>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center"/>
              <w:rPr/>
            </w:pPr>
            <w:r>
              <w:rPr/>
              <w:t>8-K</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center"/>
              <w:rPr/>
            </w:pPr>
            <w:r>
              <w:rPr/>
              <w:t>001-39269</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center"/>
              <w:rPr/>
            </w:pPr>
            <w:r>
              <w:rPr/>
              <w:t>10.1</w:t>
            </w:r>
          </w:p>
        </w:tc>
        <w:tc>
          <w:tcPr>
            <w:tcW w:w="5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center"/>
              <w:rPr/>
            </w:pPr>
            <w:r>
              <w:rPr/>
              <w:t>7/30/2026</w:t>
            </w:r>
          </w:p>
        </w:tc>
        <w:tc>
          <w:tcPr>
            <w:tcW w:w="66" w:type="dxa"/>
            <w:tcBorders/>
            <w:vAlign w:val="bottom"/>
          </w:tcPr>
          <w:p>
            <w:pPr>
              <w:pStyle w:val="TableContents"/>
              <w:bidi w:val="0"/>
              <w:spacing w:before="0" w:after="283"/>
              <w:jc w:val="left"/>
              <w:rPr/>
            </w:pPr>
            <w:r>
              <w:rPr/>
              <w:t> </w:t>
            </w:r>
          </w:p>
        </w:tc>
      </w:tr>
      <w:tr>
        <w:trPr>
          <w:trHeight w:val="120" w:hRule="atLeast"/>
        </w:trPr>
        <w:tc>
          <w:tcPr>
            <w:tcW w:w="628" w:type="dxa"/>
            <w:tcBorders/>
            <w:vAlign w:val="center"/>
          </w:tcPr>
          <w:p>
            <w:pPr>
              <w:pStyle w:val="TableContents"/>
              <w:bidi w:val="0"/>
              <w:spacing w:before="0" w:after="283"/>
              <w:jc w:val="left"/>
              <w:rPr>
                <w:sz w:val="4"/>
                <w:szCs w:val="4"/>
              </w:rPr>
            </w:pPr>
            <w:r>
              <w:rPr>
                <w:sz w:val="4"/>
                <w:szCs w:val="4"/>
              </w:rPr>
            </w:r>
          </w:p>
        </w:tc>
        <w:tc>
          <w:tcPr>
            <w:tcW w:w="5545" w:type="dxa"/>
            <w:gridSpan w:val="2"/>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1174" w:type="dxa"/>
            <w:gridSpan w:val="4"/>
            <w:tcBorders/>
            <w:vAlign w:val="center"/>
          </w:tcPr>
          <w:p>
            <w:pPr>
              <w:pStyle w:val="TableContents"/>
              <w:bidi w:val="0"/>
              <w:spacing w:before="0" w:after="283"/>
              <w:jc w:val="left"/>
              <w:rPr>
                <w:sz w:val="4"/>
                <w:szCs w:val="4"/>
              </w:rPr>
            </w:pPr>
            <w:r>
              <w:rPr>
                <w:sz w:val="4"/>
                <w:szCs w:val="4"/>
              </w:rPr>
            </w:r>
          </w:p>
        </w:tc>
        <w:tc>
          <w:tcPr>
            <w:tcW w:w="983" w:type="dxa"/>
            <w:gridSpan w:val="4"/>
            <w:tcBorders/>
            <w:vAlign w:val="center"/>
          </w:tcPr>
          <w:p>
            <w:pPr>
              <w:pStyle w:val="TableContents"/>
              <w:bidi w:val="0"/>
              <w:spacing w:before="0" w:after="283"/>
              <w:jc w:val="left"/>
              <w:rPr>
                <w:sz w:val="4"/>
                <w:szCs w:val="4"/>
              </w:rPr>
            </w:pPr>
            <w:r>
              <w:rPr>
                <w:sz w:val="4"/>
                <w:szCs w:val="4"/>
              </w:rPr>
            </w:r>
          </w:p>
        </w:tc>
        <w:tc>
          <w:tcPr>
            <w:tcW w:w="1034" w:type="dxa"/>
            <w:gridSpan w:val="4"/>
            <w:tcBorders/>
            <w:vAlign w:val="center"/>
          </w:tcPr>
          <w:p>
            <w:pPr>
              <w:pStyle w:val="TableContents"/>
              <w:bidi w:val="0"/>
              <w:spacing w:before="0" w:after="283"/>
              <w:jc w:val="left"/>
              <w:rPr>
                <w:sz w:val="4"/>
                <w:szCs w:val="4"/>
              </w:rPr>
            </w:pPr>
            <w:r>
              <w:rPr>
                <w:sz w:val="4"/>
                <w:szCs w:val="4"/>
              </w:rPr>
            </w:r>
          </w:p>
        </w:tc>
      </w:tr>
      <w:tr>
        <w:trPr/>
        <w:tc>
          <w:tcPr>
            <w:tcW w:w="628" w:type="dxa"/>
            <w:tcBorders/>
          </w:tcPr>
          <w:p>
            <w:pPr>
              <w:pStyle w:val="TableContents"/>
              <w:bidi w:val="0"/>
              <w:spacing w:before="0" w:after="283"/>
              <w:jc w:val="left"/>
              <w:rPr/>
            </w:pPr>
            <w:r>
              <w:rPr/>
              <w:t>23.1*</w:t>
            </w:r>
          </w:p>
        </w:tc>
        <w:tc>
          <w:tcPr>
            <w:tcW w:w="207" w:type="dxa"/>
            <w:tcBorders/>
            <w:vAlign w:val="bottom"/>
          </w:tcPr>
          <w:p>
            <w:pPr>
              <w:pStyle w:val="TableContents"/>
              <w:bidi w:val="0"/>
              <w:spacing w:before="0" w:after="283"/>
              <w:jc w:val="left"/>
              <w:rPr/>
            </w:pPr>
            <w:r>
              <w:rPr/>
              <w:t>  </w:t>
            </w:r>
          </w:p>
        </w:tc>
        <w:tc>
          <w:tcPr>
            <w:tcW w:w="5338" w:type="dxa"/>
            <w:tcBorders/>
          </w:tcPr>
          <w:p>
            <w:pPr>
              <w:pStyle w:val="TableContents"/>
              <w:bidi w:val="0"/>
              <w:spacing w:before="0" w:after="283"/>
              <w:jc w:val="left"/>
              <w:rPr/>
            </w:pPr>
            <w:hyperlink w:anchor="d170491dex231.htm">
              <w:r>
                <w:rPr>
                  <w:rStyle w:val="InternetLink"/>
                </w:rPr>
                <w:t xml:space="preserve">Consent of Independent Registered Public Accounting Firm </w:t>
              </w:r>
            </w:hyperlink>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684"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28" w:type="dxa"/>
            <w:tcBorders/>
            <w:vAlign w:val="center"/>
          </w:tcPr>
          <w:p>
            <w:pPr>
              <w:pStyle w:val="TableContents"/>
              <w:bidi w:val="0"/>
              <w:spacing w:before="0" w:after="283"/>
              <w:jc w:val="left"/>
              <w:rPr>
                <w:sz w:val="4"/>
                <w:szCs w:val="4"/>
              </w:rPr>
            </w:pPr>
            <w:r>
              <w:rPr>
                <w:sz w:val="4"/>
                <w:szCs w:val="4"/>
              </w:rPr>
            </w:r>
          </w:p>
        </w:tc>
        <w:tc>
          <w:tcPr>
            <w:tcW w:w="5545" w:type="dxa"/>
            <w:gridSpan w:val="2"/>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1174" w:type="dxa"/>
            <w:gridSpan w:val="4"/>
            <w:tcBorders/>
            <w:vAlign w:val="center"/>
          </w:tcPr>
          <w:p>
            <w:pPr>
              <w:pStyle w:val="TableContents"/>
              <w:bidi w:val="0"/>
              <w:spacing w:before="0" w:after="283"/>
              <w:jc w:val="left"/>
              <w:rPr>
                <w:sz w:val="4"/>
                <w:szCs w:val="4"/>
              </w:rPr>
            </w:pPr>
            <w:r>
              <w:rPr>
                <w:sz w:val="4"/>
                <w:szCs w:val="4"/>
              </w:rPr>
            </w:r>
          </w:p>
        </w:tc>
        <w:tc>
          <w:tcPr>
            <w:tcW w:w="983" w:type="dxa"/>
            <w:gridSpan w:val="4"/>
            <w:tcBorders/>
            <w:vAlign w:val="center"/>
          </w:tcPr>
          <w:p>
            <w:pPr>
              <w:pStyle w:val="TableContents"/>
              <w:bidi w:val="0"/>
              <w:spacing w:before="0" w:after="283"/>
              <w:jc w:val="left"/>
              <w:rPr>
                <w:sz w:val="4"/>
                <w:szCs w:val="4"/>
              </w:rPr>
            </w:pPr>
            <w:r>
              <w:rPr>
                <w:sz w:val="4"/>
                <w:szCs w:val="4"/>
              </w:rPr>
            </w:r>
          </w:p>
        </w:tc>
        <w:tc>
          <w:tcPr>
            <w:tcW w:w="1034" w:type="dxa"/>
            <w:gridSpan w:val="4"/>
            <w:tcBorders/>
            <w:vAlign w:val="center"/>
          </w:tcPr>
          <w:p>
            <w:pPr>
              <w:pStyle w:val="TableContents"/>
              <w:bidi w:val="0"/>
              <w:spacing w:before="0" w:after="283"/>
              <w:jc w:val="left"/>
              <w:rPr>
                <w:sz w:val="4"/>
                <w:szCs w:val="4"/>
              </w:rPr>
            </w:pPr>
            <w:r>
              <w:rPr>
                <w:sz w:val="4"/>
                <w:szCs w:val="4"/>
              </w:rPr>
            </w:r>
          </w:p>
        </w:tc>
      </w:tr>
      <w:tr>
        <w:trPr/>
        <w:tc>
          <w:tcPr>
            <w:tcW w:w="628" w:type="dxa"/>
            <w:tcBorders/>
          </w:tcPr>
          <w:p>
            <w:pPr>
              <w:pStyle w:val="TableContents"/>
              <w:bidi w:val="0"/>
              <w:spacing w:before="0" w:after="283"/>
              <w:jc w:val="left"/>
              <w:rPr/>
            </w:pPr>
            <w:r>
              <w:rPr/>
              <w:t>23.2*</w:t>
            </w:r>
          </w:p>
        </w:tc>
        <w:tc>
          <w:tcPr>
            <w:tcW w:w="207" w:type="dxa"/>
            <w:tcBorders/>
            <w:vAlign w:val="bottom"/>
          </w:tcPr>
          <w:p>
            <w:pPr>
              <w:pStyle w:val="TableContents"/>
              <w:bidi w:val="0"/>
              <w:spacing w:before="0" w:after="283"/>
              <w:jc w:val="left"/>
              <w:rPr/>
            </w:pPr>
            <w:r>
              <w:rPr/>
              <w:t>  </w:t>
            </w:r>
          </w:p>
        </w:tc>
        <w:tc>
          <w:tcPr>
            <w:tcW w:w="5338" w:type="dxa"/>
            <w:tcBorders/>
          </w:tcPr>
          <w:p>
            <w:pPr>
              <w:pStyle w:val="TableContents"/>
              <w:bidi w:val="0"/>
              <w:spacing w:before="0" w:after="283"/>
              <w:jc w:val="left"/>
              <w:rPr/>
            </w:pPr>
            <w:hyperlink w:anchor="d170491dex51.htm">
              <w:r>
                <w:rPr>
                  <w:rStyle w:val="InternetLink"/>
                </w:rPr>
                <w:t xml:space="preserve">Consent of Wilson Sonsini Goodrich &amp; Rosati, Professional Corporation (contained in Exhibit 5.1 hereto) </w:t>
              </w:r>
            </w:hyperlink>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684"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28" w:type="dxa"/>
            <w:tcBorders/>
            <w:vAlign w:val="center"/>
          </w:tcPr>
          <w:p>
            <w:pPr>
              <w:pStyle w:val="TableContents"/>
              <w:bidi w:val="0"/>
              <w:spacing w:before="0" w:after="283"/>
              <w:jc w:val="left"/>
              <w:rPr>
                <w:sz w:val="4"/>
                <w:szCs w:val="4"/>
              </w:rPr>
            </w:pPr>
            <w:r>
              <w:rPr>
                <w:sz w:val="4"/>
                <w:szCs w:val="4"/>
              </w:rPr>
            </w:r>
          </w:p>
        </w:tc>
        <w:tc>
          <w:tcPr>
            <w:tcW w:w="5545" w:type="dxa"/>
            <w:gridSpan w:val="2"/>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1174" w:type="dxa"/>
            <w:gridSpan w:val="4"/>
            <w:tcBorders/>
            <w:vAlign w:val="center"/>
          </w:tcPr>
          <w:p>
            <w:pPr>
              <w:pStyle w:val="TableContents"/>
              <w:bidi w:val="0"/>
              <w:spacing w:before="0" w:after="283"/>
              <w:jc w:val="left"/>
              <w:rPr>
                <w:sz w:val="4"/>
                <w:szCs w:val="4"/>
              </w:rPr>
            </w:pPr>
            <w:r>
              <w:rPr>
                <w:sz w:val="4"/>
                <w:szCs w:val="4"/>
              </w:rPr>
            </w:r>
          </w:p>
        </w:tc>
        <w:tc>
          <w:tcPr>
            <w:tcW w:w="983" w:type="dxa"/>
            <w:gridSpan w:val="4"/>
            <w:tcBorders/>
            <w:vAlign w:val="center"/>
          </w:tcPr>
          <w:p>
            <w:pPr>
              <w:pStyle w:val="TableContents"/>
              <w:bidi w:val="0"/>
              <w:spacing w:before="0" w:after="283"/>
              <w:jc w:val="left"/>
              <w:rPr>
                <w:sz w:val="4"/>
                <w:szCs w:val="4"/>
              </w:rPr>
            </w:pPr>
            <w:r>
              <w:rPr>
                <w:sz w:val="4"/>
                <w:szCs w:val="4"/>
              </w:rPr>
            </w:r>
          </w:p>
        </w:tc>
        <w:tc>
          <w:tcPr>
            <w:tcW w:w="1034" w:type="dxa"/>
            <w:gridSpan w:val="4"/>
            <w:tcBorders/>
            <w:vAlign w:val="center"/>
          </w:tcPr>
          <w:p>
            <w:pPr>
              <w:pStyle w:val="TableContents"/>
              <w:bidi w:val="0"/>
              <w:spacing w:before="0" w:after="283"/>
              <w:jc w:val="left"/>
              <w:rPr>
                <w:sz w:val="4"/>
                <w:szCs w:val="4"/>
              </w:rPr>
            </w:pPr>
            <w:r>
              <w:rPr>
                <w:sz w:val="4"/>
                <w:szCs w:val="4"/>
              </w:rPr>
            </w:r>
          </w:p>
        </w:tc>
      </w:tr>
      <w:tr>
        <w:trPr/>
        <w:tc>
          <w:tcPr>
            <w:tcW w:w="628" w:type="dxa"/>
            <w:tcBorders/>
          </w:tcPr>
          <w:p>
            <w:pPr>
              <w:pStyle w:val="TableContents"/>
              <w:bidi w:val="0"/>
              <w:spacing w:before="0" w:after="283"/>
              <w:jc w:val="left"/>
              <w:rPr/>
            </w:pPr>
            <w:r>
              <w:rPr/>
              <w:t>24.1*</w:t>
            </w:r>
          </w:p>
        </w:tc>
        <w:tc>
          <w:tcPr>
            <w:tcW w:w="207" w:type="dxa"/>
            <w:tcBorders/>
            <w:vAlign w:val="bottom"/>
          </w:tcPr>
          <w:p>
            <w:pPr>
              <w:pStyle w:val="TableContents"/>
              <w:bidi w:val="0"/>
              <w:spacing w:before="0" w:after="283"/>
              <w:jc w:val="left"/>
              <w:rPr/>
            </w:pPr>
            <w:r>
              <w:rPr/>
              <w:t>  </w:t>
            </w:r>
          </w:p>
        </w:tc>
        <w:tc>
          <w:tcPr>
            <w:tcW w:w="5338" w:type="dxa"/>
            <w:tcBorders/>
          </w:tcPr>
          <w:p>
            <w:pPr>
              <w:pStyle w:val="TableContents"/>
              <w:bidi w:val="0"/>
              <w:spacing w:before="0" w:after="283"/>
              <w:jc w:val="left"/>
              <w:rPr/>
            </w:pPr>
            <w:hyperlink w:anchor="sig">
              <w:r>
                <w:rPr>
                  <w:rStyle w:val="InternetLink"/>
                </w:rPr>
                <w:t xml:space="preserve">Power of Attorney (contained on signature page hereto) </w:t>
              </w:r>
            </w:hyperlink>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684"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28" w:type="dxa"/>
            <w:tcBorders/>
            <w:vAlign w:val="center"/>
          </w:tcPr>
          <w:p>
            <w:pPr>
              <w:pStyle w:val="TableContents"/>
              <w:bidi w:val="0"/>
              <w:spacing w:before="0" w:after="283"/>
              <w:jc w:val="left"/>
              <w:rPr>
                <w:sz w:val="4"/>
                <w:szCs w:val="4"/>
              </w:rPr>
            </w:pPr>
            <w:r>
              <w:rPr>
                <w:sz w:val="4"/>
                <w:szCs w:val="4"/>
              </w:rPr>
            </w:r>
          </w:p>
        </w:tc>
        <w:tc>
          <w:tcPr>
            <w:tcW w:w="5545" w:type="dxa"/>
            <w:gridSpan w:val="2"/>
            <w:tcBorders/>
            <w:vAlign w:val="center"/>
          </w:tcPr>
          <w:p>
            <w:pPr>
              <w:pStyle w:val="TableContents"/>
              <w:bidi w:val="0"/>
              <w:spacing w:before="0" w:after="283"/>
              <w:jc w:val="left"/>
              <w:rPr>
                <w:sz w:val="4"/>
                <w:szCs w:val="4"/>
              </w:rPr>
            </w:pPr>
            <w:r>
              <w:rPr>
                <w:sz w:val="4"/>
                <w:szCs w:val="4"/>
              </w:rPr>
            </w:r>
          </w:p>
        </w:tc>
        <w:tc>
          <w:tcPr>
            <w:tcW w:w="841" w:type="dxa"/>
            <w:gridSpan w:val="4"/>
            <w:tcBorders/>
            <w:vAlign w:val="center"/>
          </w:tcPr>
          <w:p>
            <w:pPr>
              <w:pStyle w:val="TableContents"/>
              <w:bidi w:val="0"/>
              <w:spacing w:before="0" w:after="283"/>
              <w:jc w:val="left"/>
              <w:rPr>
                <w:sz w:val="4"/>
                <w:szCs w:val="4"/>
              </w:rPr>
            </w:pPr>
            <w:r>
              <w:rPr>
                <w:sz w:val="4"/>
                <w:szCs w:val="4"/>
              </w:rPr>
            </w:r>
          </w:p>
        </w:tc>
        <w:tc>
          <w:tcPr>
            <w:tcW w:w="1174" w:type="dxa"/>
            <w:gridSpan w:val="4"/>
            <w:tcBorders/>
            <w:vAlign w:val="center"/>
          </w:tcPr>
          <w:p>
            <w:pPr>
              <w:pStyle w:val="TableContents"/>
              <w:bidi w:val="0"/>
              <w:spacing w:before="0" w:after="283"/>
              <w:jc w:val="left"/>
              <w:rPr>
                <w:sz w:val="4"/>
                <w:szCs w:val="4"/>
              </w:rPr>
            </w:pPr>
            <w:r>
              <w:rPr>
                <w:sz w:val="4"/>
                <w:szCs w:val="4"/>
              </w:rPr>
            </w:r>
          </w:p>
        </w:tc>
        <w:tc>
          <w:tcPr>
            <w:tcW w:w="983" w:type="dxa"/>
            <w:gridSpan w:val="4"/>
            <w:tcBorders/>
            <w:vAlign w:val="center"/>
          </w:tcPr>
          <w:p>
            <w:pPr>
              <w:pStyle w:val="TableContents"/>
              <w:bidi w:val="0"/>
              <w:spacing w:before="0" w:after="283"/>
              <w:jc w:val="left"/>
              <w:rPr>
                <w:sz w:val="4"/>
                <w:szCs w:val="4"/>
              </w:rPr>
            </w:pPr>
            <w:r>
              <w:rPr>
                <w:sz w:val="4"/>
                <w:szCs w:val="4"/>
              </w:rPr>
            </w:r>
          </w:p>
        </w:tc>
        <w:tc>
          <w:tcPr>
            <w:tcW w:w="1034" w:type="dxa"/>
            <w:gridSpan w:val="4"/>
            <w:tcBorders/>
            <w:vAlign w:val="center"/>
          </w:tcPr>
          <w:p>
            <w:pPr>
              <w:pStyle w:val="TableContents"/>
              <w:bidi w:val="0"/>
              <w:spacing w:before="0" w:after="283"/>
              <w:jc w:val="left"/>
              <w:rPr>
                <w:sz w:val="4"/>
                <w:szCs w:val="4"/>
              </w:rPr>
            </w:pPr>
            <w:r>
              <w:rPr>
                <w:sz w:val="4"/>
                <w:szCs w:val="4"/>
              </w:rPr>
            </w:r>
          </w:p>
        </w:tc>
      </w:tr>
      <w:tr>
        <w:trPr/>
        <w:tc>
          <w:tcPr>
            <w:tcW w:w="628" w:type="dxa"/>
            <w:tcBorders/>
          </w:tcPr>
          <w:p>
            <w:pPr>
              <w:pStyle w:val="TableContents"/>
              <w:bidi w:val="0"/>
              <w:spacing w:before="0" w:after="283"/>
              <w:jc w:val="left"/>
              <w:rPr/>
            </w:pPr>
            <w:r>
              <w:rPr/>
              <w:t>107*</w:t>
            </w:r>
          </w:p>
        </w:tc>
        <w:tc>
          <w:tcPr>
            <w:tcW w:w="207" w:type="dxa"/>
            <w:tcBorders/>
            <w:vAlign w:val="bottom"/>
          </w:tcPr>
          <w:p>
            <w:pPr>
              <w:pStyle w:val="TableContents"/>
              <w:bidi w:val="0"/>
              <w:spacing w:before="0" w:after="283"/>
              <w:jc w:val="left"/>
              <w:rPr/>
            </w:pPr>
            <w:r>
              <w:rPr/>
              <w:t>  </w:t>
            </w:r>
          </w:p>
        </w:tc>
        <w:tc>
          <w:tcPr>
            <w:tcW w:w="5338" w:type="dxa"/>
            <w:tcBorders/>
          </w:tcPr>
          <w:p>
            <w:pPr>
              <w:pStyle w:val="TableContents"/>
              <w:bidi w:val="0"/>
              <w:spacing w:before="0" w:after="283"/>
              <w:jc w:val="left"/>
              <w:rPr/>
            </w:pPr>
            <w:hyperlink w:anchor="d170491dexfilingfees.htm">
              <w:r>
                <w:rPr>
                  <w:rStyle w:val="InternetLink"/>
                </w:rPr>
                <w:t xml:space="preserve">Filing Fee Table </w:t>
              </w:r>
            </w:hyperlink>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684"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9. Undertakings. </w:t>
      </w:r>
    </w:p>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 xml:space="preserve">bona fide </w:t>
      </w:r>
      <w:r>
        <w:rPr>
          <w:rFonts w:ascii="Times New Roman" w:hAnsi="Times New Roman"/>
          <w:sz w:val="20"/>
        </w:rPr>
        <w:t xml:space="preserve">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California, on July 30,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89"/>
        <w:gridCol w:w="60"/>
        <w:gridCol w:w="3633"/>
      </w:tblGrid>
      <w:tr>
        <w:trPr/>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ORIC PHARMACEUTICALS, INC.</w:t>
            </w:r>
          </w:p>
        </w:tc>
      </w:tr>
      <w:tr>
        <w:trPr>
          <w:trHeight w:val="240" w:hRule="atLeast"/>
        </w:trPr>
        <w:tc>
          <w:tcPr>
            <w:tcW w:w="389" w:type="dxa"/>
            <w:tcBorders/>
            <w:vAlign w:val="center"/>
          </w:tcPr>
          <w:p>
            <w:pPr>
              <w:pStyle w:val="TableContents"/>
              <w:bidi w:val="0"/>
              <w:spacing w:before="0" w:after="283"/>
              <w:jc w:val="left"/>
              <w:rPr>
                <w:sz w:val="4"/>
                <w:szCs w:val="4"/>
              </w:rPr>
            </w:pPr>
            <w:r>
              <w:rPr>
                <w:sz w:val="4"/>
                <w:szCs w:val="4"/>
              </w:rPr>
            </w:r>
          </w:p>
        </w:tc>
        <w:tc>
          <w:tcPr>
            <w:tcW w:w="3693" w:type="dxa"/>
            <w:gridSpan w:val="2"/>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3" w:type="dxa"/>
            <w:tcBorders>
              <w:bottom w:val="single" w:sz="2" w:space="0" w:color="000000"/>
            </w:tcBorders>
            <w:tcMar>
              <w:bottom w:w="28" w:type="dxa"/>
            </w:tcMar>
          </w:tcPr>
          <w:p>
            <w:pPr>
              <w:pStyle w:val="TableContents"/>
              <w:bidi w:val="0"/>
              <w:spacing w:before="0" w:after="283"/>
              <w:jc w:val="left"/>
              <w:rPr/>
            </w:pPr>
            <w:r>
              <w:rPr/>
              <w:t>/s/ Jacob M. Chacko</w:t>
            </w:r>
          </w:p>
        </w:tc>
      </w:tr>
      <w:tr>
        <w:trPr/>
        <w:tc>
          <w:tcPr>
            <w:tcW w:w="38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3" w:type="dxa"/>
            <w:tcBorders/>
            <w:vAlign w:val="bottom"/>
          </w:tcPr>
          <w:p>
            <w:pPr>
              <w:pStyle w:val="TableContents"/>
              <w:bidi w:val="0"/>
              <w:spacing w:before="0" w:after="283"/>
              <w:jc w:val="left"/>
              <w:rPr/>
            </w:pPr>
            <w:r>
              <w:rPr/>
              <w:t>Jacob M. Chacko, M.D.</w:t>
            </w:r>
          </w:p>
        </w:tc>
      </w:tr>
      <w:tr>
        <w:trPr/>
        <w:tc>
          <w:tcPr>
            <w:tcW w:w="38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3" w:type="dxa"/>
            <w:tcBorders/>
            <w:vAlign w:val="bottom"/>
          </w:tcPr>
          <w:p>
            <w:pPr>
              <w:pStyle w:val="TableContents"/>
              <w:bidi w:val="0"/>
              <w:spacing w:before="0" w:after="283"/>
              <w:jc w:val="left"/>
              <w:rPr/>
            </w:pPr>
            <w:r>
              <w:rPr/>
              <w:t>President and 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hereby constitutes and appoints Jacob M. Chacko, M.D. and Dominic Piscitelli, and each of them, as his or her true and lawful attorney-in-fact and agent,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all other documents in connection therewith, with the Securities and Exchange Commission, granting unto said attorney-in-fact and agent and each of them, full power and authority to do and perform each and every act and thing requisite and necessary to be done in connection therewith and about the premises, as fully for all intents and purposes as they, he or she might or could do in person, hereby ratifying and confirming all that said attorney-in-fact and agent or any of them, or their, his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768"/>
        <w:gridCol w:w="121"/>
        <w:gridCol w:w="4389"/>
        <w:gridCol w:w="107"/>
        <w:gridCol w:w="1820"/>
      </w:tblGrid>
      <w:tr>
        <w:trPr/>
        <w:tc>
          <w:tcPr>
            <w:tcW w:w="376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89"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r>
      <w:tr>
        <w:trPr/>
        <w:tc>
          <w:tcPr>
            <w:tcW w:w="376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1" w:type="dxa"/>
            <w:tcBorders/>
            <w:vAlign w:val="bottom"/>
          </w:tcPr>
          <w:p>
            <w:pPr>
              <w:pStyle w:val="TableContents"/>
              <w:bidi w:val="0"/>
              <w:spacing w:before="0" w:after="283"/>
              <w:jc w:val="left"/>
              <w:rPr/>
            </w:pPr>
            <w:r>
              <w:rPr/>
              <w:t>  </w:t>
            </w:r>
          </w:p>
        </w:tc>
        <w:tc>
          <w:tcPr>
            <w:tcW w:w="438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68" w:type="dxa"/>
            <w:tcBorders/>
            <w:vAlign w:val="center"/>
          </w:tcPr>
          <w:p>
            <w:pPr>
              <w:pStyle w:val="TableContents"/>
              <w:bidi w:val="0"/>
              <w:spacing w:before="0" w:after="283"/>
              <w:jc w:val="left"/>
              <w:rPr>
                <w:sz w:val="4"/>
                <w:szCs w:val="4"/>
              </w:rPr>
            </w:pPr>
            <w:r>
              <w:rPr>
                <w:sz w:val="4"/>
                <w:szCs w:val="4"/>
              </w:rPr>
            </w:r>
          </w:p>
        </w:tc>
        <w:tc>
          <w:tcPr>
            <w:tcW w:w="4510" w:type="dxa"/>
            <w:gridSpan w:val="2"/>
            <w:tcBorders/>
            <w:vAlign w:val="center"/>
          </w:tcPr>
          <w:p>
            <w:pPr>
              <w:pStyle w:val="TableContents"/>
              <w:bidi w:val="0"/>
              <w:spacing w:before="0" w:after="283"/>
              <w:jc w:val="left"/>
              <w:rPr>
                <w:sz w:val="4"/>
                <w:szCs w:val="4"/>
              </w:rPr>
            </w:pPr>
            <w:r>
              <w:rPr>
                <w:sz w:val="4"/>
                <w:szCs w:val="4"/>
              </w:rPr>
            </w:r>
          </w:p>
        </w:tc>
        <w:tc>
          <w:tcPr>
            <w:tcW w:w="1927" w:type="dxa"/>
            <w:gridSpan w:val="2"/>
            <w:tcBorders/>
            <w:vAlign w:val="center"/>
          </w:tcPr>
          <w:p>
            <w:pPr>
              <w:pStyle w:val="TableContents"/>
              <w:bidi w:val="0"/>
              <w:spacing w:before="0" w:after="283"/>
              <w:jc w:val="left"/>
              <w:rPr>
                <w:sz w:val="4"/>
                <w:szCs w:val="4"/>
              </w:rPr>
            </w:pPr>
            <w:r>
              <w:rPr>
                <w:sz w:val="4"/>
                <w:szCs w:val="4"/>
              </w:rPr>
            </w:r>
          </w:p>
        </w:tc>
      </w:tr>
      <w:tr>
        <w:trPr/>
        <w:tc>
          <w:tcPr>
            <w:tcW w:w="3768"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Jacob M. Chacko</w:t>
            </w:r>
          </w:p>
          <w:p>
            <w:pPr>
              <w:pStyle w:val="TableContents"/>
              <w:bidi w:val="0"/>
              <w:spacing w:before="0" w:after="20"/>
              <w:jc w:val="left"/>
              <w:rPr>
                <w:rFonts w:ascii="Times New Roman" w:hAnsi="Times New Roman"/>
                <w:sz w:val="20"/>
              </w:rPr>
            </w:pPr>
            <w:r>
              <w:rPr>
                <w:rFonts w:ascii="Times New Roman" w:hAnsi="Times New Roman"/>
                <w:sz w:val="20"/>
              </w:rPr>
              <w:t>Jacob M. Chacko, M.D.</w:t>
            </w:r>
          </w:p>
        </w:tc>
        <w:tc>
          <w:tcPr>
            <w:tcW w:w="121" w:type="dxa"/>
            <w:tcBorders/>
            <w:vAlign w:val="bottom"/>
          </w:tcPr>
          <w:p>
            <w:pPr>
              <w:pStyle w:val="TableContents"/>
              <w:bidi w:val="0"/>
              <w:spacing w:before="0" w:after="283"/>
              <w:jc w:val="left"/>
              <w:rPr/>
            </w:pPr>
            <w:r>
              <w:rPr/>
              <w:t>  </w:t>
            </w:r>
          </w:p>
        </w:tc>
        <w:tc>
          <w:tcPr>
            <w:tcW w:w="4389" w:type="dxa"/>
            <w:tcBorders/>
          </w:tcPr>
          <w:p>
            <w:pPr>
              <w:pStyle w:val="TableContents"/>
              <w:bidi w:val="0"/>
              <w:spacing w:before="0" w:after="0"/>
              <w:jc w:val="center"/>
              <w:rPr>
                <w:rFonts w:ascii="Times New Roman" w:hAnsi="Times New Roman"/>
                <w:sz w:val="20"/>
              </w:rPr>
            </w:pPr>
            <w:r>
              <w:rPr>
                <w:rFonts w:ascii="Times New Roman" w:hAnsi="Times New Roman"/>
                <w:sz w:val="20"/>
              </w:rPr>
              <w:t>President, Chief Executive Officer and Director</w:t>
            </w:r>
          </w:p>
          <w:p>
            <w:pPr>
              <w:pStyle w:val="TableContents"/>
              <w:bidi w:val="0"/>
              <w:spacing w:before="0" w:after="20"/>
              <w:jc w:val="center"/>
              <w:rPr>
                <w:rFonts w:ascii="Times New Roman" w:hAnsi="Times New Roman"/>
                <w:sz w:val="20"/>
              </w:rPr>
            </w:pPr>
            <w:r>
              <w:rPr>
                <w:rFonts w:ascii="Times New Roman" w:hAnsi="Times New Roman"/>
                <w:sz w:val="20"/>
              </w:rPr>
              <w:t>(</w:t>
            </w:r>
            <w:r>
              <w:rPr>
                <w:rFonts w:ascii="Times New Roman" w:hAnsi="Times New Roman"/>
                <w:i/>
                <w:sz w:val="20"/>
              </w:rPr>
              <w:t>Principal Executive Officer)</w:t>
            </w:r>
          </w:p>
        </w:tc>
        <w:tc>
          <w:tcPr>
            <w:tcW w:w="107"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283"/>
              <w:jc w:val="center"/>
              <w:rPr/>
            </w:pPr>
            <w:r>
              <w:rPr/>
              <w:t>July 30, 2026</w:t>
            </w:r>
          </w:p>
        </w:tc>
      </w:tr>
      <w:tr>
        <w:trPr>
          <w:trHeight w:val="240" w:hRule="atLeast"/>
        </w:trPr>
        <w:tc>
          <w:tcPr>
            <w:tcW w:w="3768" w:type="dxa"/>
            <w:tcBorders/>
            <w:vAlign w:val="center"/>
          </w:tcPr>
          <w:p>
            <w:pPr>
              <w:pStyle w:val="TableContents"/>
              <w:bidi w:val="0"/>
              <w:spacing w:before="0" w:after="283"/>
              <w:jc w:val="left"/>
              <w:rPr>
                <w:sz w:val="4"/>
                <w:szCs w:val="4"/>
              </w:rPr>
            </w:pPr>
            <w:r>
              <w:rPr>
                <w:sz w:val="4"/>
                <w:szCs w:val="4"/>
              </w:rPr>
            </w:r>
          </w:p>
        </w:tc>
        <w:tc>
          <w:tcPr>
            <w:tcW w:w="4510" w:type="dxa"/>
            <w:gridSpan w:val="2"/>
            <w:tcBorders/>
            <w:vAlign w:val="center"/>
          </w:tcPr>
          <w:p>
            <w:pPr>
              <w:pStyle w:val="TableContents"/>
              <w:bidi w:val="0"/>
              <w:spacing w:before="0" w:after="283"/>
              <w:jc w:val="left"/>
              <w:rPr>
                <w:sz w:val="4"/>
                <w:szCs w:val="4"/>
              </w:rPr>
            </w:pPr>
            <w:r>
              <w:rPr>
                <w:sz w:val="4"/>
                <w:szCs w:val="4"/>
              </w:rPr>
            </w:r>
          </w:p>
        </w:tc>
        <w:tc>
          <w:tcPr>
            <w:tcW w:w="1927" w:type="dxa"/>
            <w:gridSpan w:val="2"/>
            <w:tcBorders/>
            <w:vAlign w:val="center"/>
          </w:tcPr>
          <w:p>
            <w:pPr>
              <w:pStyle w:val="TableContents"/>
              <w:bidi w:val="0"/>
              <w:spacing w:before="0" w:after="283"/>
              <w:jc w:val="left"/>
              <w:rPr>
                <w:sz w:val="4"/>
                <w:szCs w:val="4"/>
              </w:rPr>
            </w:pPr>
            <w:r>
              <w:rPr>
                <w:sz w:val="4"/>
                <w:szCs w:val="4"/>
              </w:rPr>
            </w:r>
          </w:p>
        </w:tc>
      </w:tr>
      <w:tr>
        <w:trPr/>
        <w:tc>
          <w:tcPr>
            <w:tcW w:w="3768"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Dominic Piscitelli</w:t>
            </w:r>
          </w:p>
          <w:p>
            <w:pPr>
              <w:pStyle w:val="TableContents"/>
              <w:bidi w:val="0"/>
              <w:spacing w:before="0" w:after="20"/>
              <w:jc w:val="left"/>
              <w:rPr>
                <w:rFonts w:ascii="Times New Roman" w:hAnsi="Times New Roman"/>
                <w:sz w:val="20"/>
              </w:rPr>
            </w:pPr>
            <w:r>
              <w:rPr>
                <w:rFonts w:ascii="Times New Roman" w:hAnsi="Times New Roman"/>
                <w:sz w:val="20"/>
              </w:rPr>
              <w:t>Dominic Piscitelli</w:t>
            </w:r>
          </w:p>
        </w:tc>
        <w:tc>
          <w:tcPr>
            <w:tcW w:w="121" w:type="dxa"/>
            <w:tcBorders/>
            <w:vAlign w:val="bottom"/>
          </w:tcPr>
          <w:p>
            <w:pPr>
              <w:pStyle w:val="TableContents"/>
              <w:bidi w:val="0"/>
              <w:spacing w:before="0" w:after="283"/>
              <w:jc w:val="left"/>
              <w:rPr/>
            </w:pPr>
            <w:r>
              <w:rPr/>
              <w:t>  </w:t>
            </w:r>
          </w:p>
        </w:tc>
        <w:tc>
          <w:tcPr>
            <w:tcW w:w="4389"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i/>
                <w:sz w:val="20"/>
              </w:rPr>
            </w:pPr>
            <w:r>
              <w:rPr>
                <w:rFonts w:ascii="Times New Roman" w:hAnsi="Times New Roman"/>
                <w:i/>
                <w:sz w:val="20"/>
              </w:rPr>
              <w:t>(Principal Financial and Accounting Officer)</w:t>
            </w:r>
          </w:p>
        </w:tc>
        <w:tc>
          <w:tcPr>
            <w:tcW w:w="107"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283"/>
              <w:jc w:val="center"/>
              <w:rPr/>
            </w:pPr>
            <w:r>
              <w:rPr/>
              <w:t>July 30, 2026</w:t>
            </w:r>
          </w:p>
        </w:tc>
      </w:tr>
      <w:tr>
        <w:trPr>
          <w:trHeight w:val="240" w:hRule="atLeast"/>
        </w:trPr>
        <w:tc>
          <w:tcPr>
            <w:tcW w:w="3768" w:type="dxa"/>
            <w:tcBorders/>
            <w:vAlign w:val="center"/>
          </w:tcPr>
          <w:p>
            <w:pPr>
              <w:pStyle w:val="TableContents"/>
              <w:bidi w:val="0"/>
              <w:spacing w:before="0" w:after="283"/>
              <w:jc w:val="left"/>
              <w:rPr>
                <w:sz w:val="4"/>
                <w:szCs w:val="4"/>
              </w:rPr>
            </w:pPr>
            <w:r>
              <w:rPr>
                <w:sz w:val="4"/>
                <w:szCs w:val="4"/>
              </w:rPr>
            </w:r>
          </w:p>
        </w:tc>
        <w:tc>
          <w:tcPr>
            <w:tcW w:w="4510" w:type="dxa"/>
            <w:gridSpan w:val="2"/>
            <w:tcBorders/>
            <w:vAlign w:val="center"/>
          </w:tcPr>
          <w:p>
            <w:pPr>
              <w:pStyle w:val="TableContents"/>
              <w:bidi w:val="0"/>
              <w:spacing w:before="0" w:after="283"/>
              <w:jc w:val="left"/>
              <w:rPr>
                <w:sz w:val="4"/>
                <w:szCs w:val="4"/>
              </w:rPr>
            </w:pPr>
            <w:r>
              <w:rPr>
                <w:sz w:val="4"/>
                <w:szCs w:val="4"/>
              </w:rPr>
            </w:r>
          </w:p>
        </w:tc>
        <w:tc>
          <w:tcPr>
            <w:tcW w:w="1927" w:type="dxa"/>
            <w:gridSpan w:val="2"/>
            <w:tcBorders/>
            <w:vAlign w:val="center"/>
          </w:tcPr>
          <w:p>
            <w:pPr>
              <w:pStyle w:val="TableContents"/>
              <w:bidi w:val="0"/>
              <w:spacing w:before="0" w:after="283"/>
              <w:jc w:val="left"/>
              <w:rPr>
                <w:sz w:val="4"/>
                <w:szCs w:val="4"/>
              </w:rPr>
            </w:pPr>
            <w:r>
              <w:rPr>
                <w:sz w:val="4"/>
                <w:szCs w:val="4"/>
              </w:rPr>
            </w:r>
          </w:p>
        </w:tc>
      </w:tr>
      <w:tr>
        <w:trPr/>
        <w:tc>
          <w:tcPr>
            <w:tcW w:w="3768"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Richard Heyman</w:t>
            </w:r>
          </w:p>
          <w:p>
            <w:pPr>
              <w:pStyle w:val="TableContents"/>
              <w:bidi w:val="0"/>
              <w:spacing w:before="0" w:after="20"/>
              <w:jc w:val="left"/>
              <w:rPr>
                <w:rFonts w:ascii="Times New Roman" w:hAnsi="Times New Roman"/>
                <w:sz w:val="20"/>
              </w:rPr>
            </w:pPr>
            <w:r>
              <w:rPr>
                <w:rFonts w:ascii="Times New Roman" w:hAnsi="Times New Roman"/>
                <w:sz w:val="20"/>
              </w:rPr>
              <w:t>Richard Heyman, Ph.D.</w:t>
            </w:r>
          </w:p>
        </w:tc>
        <w:tc>
          <w:tcPr>
            <w:tcW w:w="121" w:type="dxa"/>
            <w:tcBorders/>
            <w:vAlign w:val="bottom"/>
          </w:tcPr>
          <w:p>
            <w:pPr>
              <w:pStyle w:val="TableContents"/>
              <w:bidi w:val="0"/>
              <w:spacing w:before="0" w:after="283"/>
              <w:jc w:val="left"/>
              <w:rPr/>
            </w:pPr>
            <w:r>
              <w:rPr/>
              <w:t>  </w:t>
            </w:r>
          </w:p>
        </w:tc>
        <w:tc>
          <w:tcPr>
            <w:tcW w:w="4389" w:type="dxa"/>
            <w:tcBorders/>
          </w:tcPr>
          <w:p>
            <w:pPr>
              <w:pStyle w:val="TableContents"/>
              <w:bidi w:val="0"/>
              <w:spacing w:before="0" w:after="283"/>
              <w:jc w:val="center"/>
              <w:rPr/>
            </w:pPr>
            <w:r>
              <w:rPr/>
              <w:t>Chair of the Board</w:t>
            </w:r>
          </w:p>
        </w:tc>
        <w:tc>
          <w:tcPr>
            <w:tcW w:w="107"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283"/>
              <w:jc w:val="center"/>
              <w:rPr/>
            </w:pPr>
            <w:r>
              <w:rPr/>
              <w:t>July 30, 2026</w:t>
            </w:r>
          </w:p>
        </w:tc>
      </w:tr>
      <w:tr>
        <w:trPr>
          <w:trHeight w:val="240" w:hRule="atLeast"/>
        </w:trPr>
        <w:tc>
          <w:tcPr>
            <w:tcW w:w="3768" w:type="dxa"/>
            <w:tcBorders/>
            <w:vAlign w:val="center"/>
          </w:tcPr>
          <w:p>
            <w:pPr>
              <w:pStyle w:val="TableContents"/>
              <w:bidi w:val="0"/>
              <w:spacing w:before="0" w:after="283"/>
              <w:jc w:val="left"/>
              <w:rPr>
                <w:sz w:val="4"/>
                <w:szCs w:val="4"/>
              </w:rPr>
            </w:pPr>
            <w:r>
              <w:rPr>
                <w:sz w:val="4"/>
                <w:szCs w:val="4"/>
              </w:rPr>
            </w:r>
          </w:p>
        </w:tc>
        <w:tc>
          <w:tcPr>
            <w:tcW w:w="4510" w:type="dxa"/>
            <w:gridSpan w:val="2"/>
            <w:tcBorders/>
            <w:vAlign w:val="center"/>
          </w:tcPr>
          <w:p>
            <w:pPr>
              <w:pStyle w:val="TableContents"/>
              <w:bidi w:val="0"/>
              <w:spacing w:before="0" w:after="283"/>
              <w:jc w:val="left"/>
              <w:rPr>
                <w:sz w:val="4"/>
                <w:szCs w:val="4"/>
              </w:rPr>
            </w:pPr>
            <w:r>
              <w:rPr>
                <w:sz w:val="4"/>
                <w:szCs w:val="4"/>
              </w:rPr>
            </w:r>
          </w:p>
        </w:tc>
        <w:tc>
          <w:tcPr>
            <w:tcW w:w="1927" w:type="dxa"/>
            <w:gridSpan w:val="2"/>
            <w:tcBorders/>
            <w:vAlign w:val="center"/>
          </w:tcPr>
          <w:p>
            <w:pPr>
              <w:pStyle w:val="TableContents"/>
              <w:bidi w:val="0"/>
              <w:spacing w:before="0" w:after="283"/>
              <w:jc w:val="left"/>
              <w:rPr>
                <w:sz w:val="4"/>
                <w:szCs w:val="4"/>
              </w:rPr>
            </w:pPr>
            <w:r>
              <w:rPr>
                <w:sz w:val="4"/>
                <w:szCs w:val="4"/>
              </w:rPr>
            </w:r>
          </w:p>
        </w:tc>
      </w:tr>
      <w:tr>
        <w:trPr/>
        <w:tc>
          <w:tcPr>
            <w:tcW w:w="3768"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Mardi Dier</w:t>
            </w:r>
          </w:p>
          <w:p>
            <w:pPr>
              <w:pStyle w:val="TableContents"/>
              <w:bidi w:val="0"/>
              <w:spacing w:before="0" w:after="20"/>
              <w:jc w:val="left"/>
              <w:rPr>
                <w:rFonts w:ascii="Times New Roman" w:hAnsi="Times New Roman"/>
                <w:sz w:val="20"/>
              </w:rPr>
            </w:pPr>
            <w:r>
              <w:rPr>
                <w:rFonts w:ascii="Times New Roman" w:hAnsi="Times New Roman"/>
                <w:sz w:val="20"/>
              </w:rPr>
              <w:t>Mardi Dier</w:t>
            </w:r>
          </w:p>
        </w:tc>
        <w:tc>
          <w:tcPr>
            <w:tcW w:w="121" w:type="dxa"/>
            <w:tcBorders/>
            <w:vAlign w:val="bottom"/>
          </w:tcPr>
          <w:p>
            <w:pPr>
              <w:pStyle w:val="TableContents"/>
              <w:bidi w:val="0"/>
              <w:spacing w:before="0" w:after="283"/>
              <w:jc w:val="left"/>
              <w:rPr/>
            </w:pPr>
            <w:r>
              <w:rPr/>
              <w:t>  </w:t>
            </w:r>
          </w:p>
        </w:tc>
        <w:tc>
          <w:tcPr>
            <w:tcW w:w="4389" w:type="dxa"/>
            <w:tcBorders/>
          </w:tcPr>
          <w:p>
            <w:pPr>
              <w:pStyle w:val="TableContents"/>
              <w:bidi w:val="0"/>
              <w:spacing w:before="0" w:after="283"/>
              <w:jc w:val="center"/>
              <w:rPr/>
            </w:pPr>
            <w:r>
              <w:rPr/>
              <w:t>Director</w:t>
            </w:r>
          </w:p>
        </w:tc>
        <w:tc>
          <w:tcPr>
            <w:tcW w:w="107"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283"/>
              <w:jc w:val="center"/>
              <w:rPr/>
            </w:pPr>
            <w:r>
              <w:rPr/>
              <w:t>July 30, 2026</w:t>
            </w:r>
          </w:p>
        </w:tc>
      </w:tr>
      <w:tr>
        <w:trPr>
          <w:trHeight w:val="240" w:hRule="atLeast"/>
        </w:trPr>
        <w:tc>
          <w:tcPr>
            <w:tcW w:w="3768" w:type="dxa"/>
            <w:tcBorders/>
            <w:vAlign w:val="center"/>
          </w:tcPr>
          <w:p>
            <w:pPr>
              <w:pStyle w:val="TableContents"/>
              <w:bidi w:val="0"/>
              <w:spacing w:before="0" w:after="283"/>
              <w:jc w:val="left"/>
              <w:rPr>
                <w:sz w:val="4"/>
                <w:szCs w:val="4"/>
              </w:rPr>
            </w:pPr>
            <w:r>
              <w:rPr>
                <w:sz w:val="4"/>
                <w:szCs w:val="4"/>
              </w:rPr>
            </w:r>
          </w:p>
        </w:tc>
        <w:tc>
          <w:tcPr>
            <w:tcW w:w="4510" w:type="dxa"/>
            <w:gridSpan w:val="2"/>
            <w:tcBorders/>
            <w:vAlign w:val="center"/>
          </w:tcPr>
          <w:p>
            <w:pPr>
              <w:pStyle w:val="TableContents"/>
              <w:bidi w:val="0"/>
              <w:spacing w:before="0" w:after="283"/>
              <w:jc w:val="left"/>
              <w:rPr>
                <w:sz w:val="4"/>
                <w:szCs w:val="4"/>
              </w:rPr>
            </w:pPr>
            <w:r>
              <w:rPr>
                <w:sz w:val="4"/>
                <w:szCs w:val="4"/>
              </w:rPr>
            </w:r>
          </w:p>
        </w:tc>
        <w:tc>
          <w:tcPr>
            <w:tcW w:w="1927" w:type="dxa"/>
            <w:gridSpan w:val="2"/>
            <w:tcBorders/>
            <w:vAlign w:val="center"/>
          </w:tcPr>
          <w:p>
            <w:pPr>
              <w:pStyle w:val="TableContents"/>
              <w:bidi w:val="0"/>
              <w:spacing w:before="0" w:after="283"/>
              <w:jc w:val="left"/>
              <w:rPr>
                <w:sz w:val="4"/>
                <w:szCs w:val="4"/>
              </w:rPr>
            </w:pPr>
            <w:r>
              <w:rPr>
                <w:sz w:val="4"/>
                <w:szCs w:val="4"/>
              </w:rPr>
            </w:r>
          </w:p>
        </w:tc>
      </w:tr>
      <w:tr>
        <w:trPr/>
        <w:tc>
          <w:tcPr>
            <w:tcW w:w="3768"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Steven Hoerter</w:t>
            </w:r>
          </w:p>
          <w:p>
            <w:pPr>
              <w:pStyle w:val="TableContents"/>
              <w:bidi w:val="0"/>
              <w:spacing w:before="0" w:after="20"/>
              <w:jc w:val="left"/>
              <w:rPr>
                <w:rFonts w:ascii="Times New Roman" w:hAnsi="Times New Roman"/>
                <w:sz w:val="20"/>
              </w:rPr>
            </w:pPr>
            <w:r>
              <w:rPr>
                <w:rFonts w:ascii="Times New Roman" w:hAnsi="Times New Roman"/>
                <w:sz w:val="20"/>
              </w:rPr>
              <w:t>Steven Hoerter</w:t>
            </w:r>
          </w:p>
        </w:tc>
        <w:tc>
          <w:tcPr>
            <w:tcW w:w="121" w:type="dxa"/>
            <w:tcBorders/>
            <w:vAlign w:val="bottom"/>
          </w:tcPr>
          <w:p>
            <w:pPr>
              <w:pStyle w:val="TableContents"/>
              <w:bidi w:val="0"/>
              <w:spacing w:before="0" w:after="283"/>
              <w:jc w:val="left"/>
              <w:rPr/>
            </w:pPr>
            <w:r>
              <w:rPr/>
              <w:t>  </w:t>
            </w:r>
          </w:p>
        </w:tc>
        <w:tc>
          <w:tcPr>
            <w:tcW w:w="4389" w:type="dxa"/>
            <w:tcBorders/>
          </w:tcPr>
          <w:p>
            <w:pPr>
              <w:pStyle w:val="TableContents"/>
              <w:bidi w:val="0"/>
              <w:spacing w:before="0" w:after="283"/>
              <w:jc w:val="center"/>
              <w:rPr/>
            </w:pPr>
            <w:r>
              <w:rPr/>
              <w:t>Director</w:t>
            </w:r>
          </w:p>
        </w:tc>
        <w:tc>
          <w:tcPr>
            <w:tcW w:w="107"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283"/>
              <w:jc w:val="center"/>
              <w:rPr/>
            </w:pPr>
            <w:r>
              <w:rPr/>
              <w:t>July 30, 2026</w:t>
            </w:r>
          </w:p>
        </w:tc>
      </w:tr>
      <w:tr>
        <w:trPr>
          <w:trHeight w:val="240" w:hRule="atLeast"/>
        </w:trPr>
        <w:tc>
          <w:tcPr>
            <w:tcW w:w="3768" w:type="dxa"/>
            <w:tcBorders/>
            <w:vAlign w:val="center"/>
          </w:tcPr>
          <w:p>
            <w:pPr>
              <w:pStyle w:val="TableContents"/>
              <w:bidi w:val="0"/>
              <w:spacing w:before="0" w:after="283"/>
              <w:jc w:val="left"/>
              <w:rPr>
                <w:sz w:val="4"/>
                <w:szCs w:val="4"/>
              </w:rPr>
            </w:pPr>
            <w:r>
              <w:rPr>
                <w:sz w:val="4"/>
                <w:szCs w:val="4"/>
              </w:rPr>
            </w:r>
          </w:p>
        </w:tc>
        <w:tc>
          <w:tcPr>
            <w:tcW w:w="4510" w:type="dxa"/>
            <w:gridSpan w:val="2"/>
            <w:tcBorders/>
            <w:vAlign w:val="center"/>
          </w:tcPr>
          <w:p>
            <w:pPr>
              <w:pStyle w:val="TableContents"/>
              <w:bidi w:val="0"/>
              <w:spacing w:before="0" w:after="283"/>
              <w:jc w:val="left"/>
              <w:rPr>
                <w:sz w:val="4"/>
                <w:szCs w:val="4"/>
              </w:rPr>
            </w:pPr>
            <w:r>
              <w:rPr>
                <w:sz w:val="4"/>
                <w:szCs w:val="4"/>
              </w:rPr>
            </w:r>
          </w:p>
        </w:tc>
        <w:tc>
          <w:tcPr>
            <w:tcW w:w="1927" w:type="dxa"/>
            <w:gridSpan w:val="2"/>
            <w:tcBorders/>
            <w:vAlign w:val="center"/>
          </w:tcPr>
          <w:p>
            <w:pPr>
              <w:pStyle w:val="TableContents"/>
              <w:bidi w:val="0"/>
              <w:spacing w:before="0" w:after="283"/>
              <w:jc w:val="left"/>
              <w:rPr>
                <w:sz w:val="4"/>
                <w:szCs w:val="4"/>
              </w:rPr>
            </w:pPr>
            <w:r>
              <w:rPr>
                <w:sz w:val="4"/>
                <w:szCs w:val="4"/>
              </w:rPr>
            </w:r>
          </w:p>
        </w:tc>
      </w:tr>
      <w:tr>
        <w:trPr/>
        <w:tc>
          <w:tcPr>
            <w:tcW w:w="3768"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Lori Kunkel</w:t>
            </w:r>
          </w:p>
          <w:p>
            <w:pPr>
              <w:pStyle w:val="TableContents"/>
              <w:bidi w:val="0"/>
              <w:spacing w:before="0" w:after="20"/>
              <w:jc w:val="left"/>
              <w:rPr>
                <w:rFonts w:ascii="Times New Roman" w:hAnsi="Times New Roman"/>
                <w:sz w:val="20"/>
              </w:rPr>
            </w:pPr>
            <w:r>
              <w:rPr>
                <w:rFonts w:ascii="Times New Roman" w:hAnsi="Times New Roman"/>
                <w:sz w:val="20"/>
              </w:rPr>
              <w:t>Lori Kunkel, M.D.</w:t>
            </w:r>
          </w:p>
        </w:tc>
        <w:tc>
          <w:tcPr>
            <w:tcW w:w="121" w:type="dxa"/>
            <w:tcBorders/>
            <w:vAlign w:val="bottom"/>
          </w:tcPr>
          <w:p>
            <w:pPr>
              <w:pStyle w:val="TableContents"/>
              <w:bidi w:val="0"/>
              <w:spacing w:before="0" w:after="283"/>
              <w:jc w:val="left"/>
              <w:rPr/>
            </w:pPr>
            <w:r>
              <w:rPr/>
              <w:t>  </w:t>
            </w:r>
          </w:p>
        </w:tc>
        <w:tc>
          <w:tcPr>
            <w:tcW w:w="4389" w:type="dxa"/>
            <w:tcBorders/>
          </w:tcPr>
          <w:p>
            <w:pPr>
              <w:pStyle w:val="TableContents"/>
              <w:bidi w:val="0"/>
              <w:spacing w:before="0" w:after="283"/>
              <w:jc w:val="center"/>
              <w:rPr/>
            </w:pPr>
            <w:r>
              <w:rPr/>
              <w:t>Director</w:t>
            </w:r>
          </w:p>
        </w:tc>
        <w:tc>
          <w:tcPr>
            <w:tcW w:w="107"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283"/>
              <w:jc w:val="center"/>
              <w:rPr/>
            </w:pPr>
            <w:r>
              <w:rPr/>
              <w:t>July 30, 2026</w:t>
            </w:r>
          </w:p>
        </w:tc>
      </w:tr>
      <w:tr>
        <w:trPr>
          <w:trHeight w:val="240" w:hRule="atLeast"/>
        </w:trPr>
        <w:tc>
          <w:tcPr>
            <w:tcW w:w="3768" w:type="dxa"/>
            <w:tcBorders/>
            <w:vAlign w:val="center"/>
          </w:tcPr>
          <w:p>
            <w:pPr>
              <w:pStyle w:val="TableContents"/>
              <w:bidi w:val="0"/>
              <w:spacing w:before="0" w:after="283"/>
              <w:jc w:val="left"/>
              <w:rPr>
                <w:sz w:val="4"/>
                <w:szCs w:val="4"/>
              </w:rPr>
            </w:pPr>
            <w:r>
              <w:rPr>
                <w:sz w:val="4"/>
                <w:szCs w:val="4"/>
              </w:rPr>
            </w:r>
          </w:p>
        </w:tc>
        <w:tc>
          <w:tcPr>
            <w:tcW w:w="4510" w:type="dxa"/>
            <w:gridSpan w:val="2"/>
            <w:tcBorders/>
            <w:vAlign w:val="center"/>
          </w:tcPr>
          <w:p>
            <w:pPr>
              <w:pStyle w:val="TableContents"/>
              <w:bidi w:val="0"/>
              <w:spacing w:before="0" w:after="283"/>
              <w:jc w:val="left"/>
              <w:rPr>
                <w:sz w:val="4"/>
                <w:szCs w:val="4"/>
              </w:rPr>
            </w:pPr>
            <w:r>
              <w:rPr>
                <w:sz w:val="4"/>
                <w:szCs w:val="4"/>
              </w:rPr>
            </w:r>
          </w:p>
        </w:tc>
        <w:tc>
          <w:tcPr>
            <w:tcW w:w="1927" w:type="dxa"/>
            <w:gridSpan w:val="2"/>
            <w:tcBorders/>
            <w:vAlign w:val="center"/>
          </w:tcPr>
          <w:p>
            <w:pPr>
              <w:pStyle w:val="TableContents"/>
              <w:bidi w:val="0"/>
              <w:spacing w:before="0" w:after="283"/>
              <w:jc w:val="left"/>
              <w:rPr>
                <w:sz w:val="4"/>
                <w:szCs w:val="4"/>
              </w:rPr>
            </w:pPr>
            <w:r>
              <w:rPr>
                <w:sz w:val="4"/>
                <w:szCs w:val="4"/>
              </w:rPr>
            </w:r>
          </w:p>
        </w:tc>
      </w:tr>
      <w:tr>
        <w:trPr/>
        <w:tc>
          <w:tcPr>
            <w:tcW w:w="3768"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Angie You</w:t>
            </w:r>
          </w:p>
          <w:p>
            <w:pPr>
              <w:pStyle w:val="TableContents"/>
              <w:bidi w:val="0"/>
              <w:spacing w:before="0" w:after="20"/>
              <w:jc w:val="left"/>
              <w:rPr>
                <w:rFonts w:ascii="Times New Roman" w:hAnsi="Times New Roman"/>
                <w:sz w:val="20"/>
              </w:rPr>
            </w:pPr>
            <w:r>
              <w:rPr>
                <w:rFonts w:ascii="Times New Roman" w:hAnsi="Times New Roman"/>
                <w:sz w:val="20"/>
              </w:rPr>
              <w:t>Angie You, Ph.D.</w:t>
            </w:r>
          </w:p>
        </w:tc>
        <w:tc>
          <w:tcPr>
            <w:tcW w:w="121" w:type="dxa"/>
            <w:tcBorders/>
            <w:vAlign w:val="bottom"/>
          </w:tcPr>
          <w:p>
            <w:pPr>
              <w:pStyle w:val="TableContents"/>
              <w:bidi w:val="0"/>
              <w:spacing w:before="0" w:after="283"/>
              <w:jc w:val="left"/>
              <w:rPr/>
            </w:pPr>
            <w:r>
              <w:rPr/>
              <w:t>  </w:t>
            </w:r>
          </w:p>
        </w:tc>
        <w:tc>
          <w:tcPr>
            <w:tcW w:w="4389" w:type="dxa"/>
            <w:tcBorders/>
          </w:tcPr>
          <w:p>
            <w:pPr>
              <w:pStyle w:val="TableContents"/>
              <w:bidi w:val="0"/>
              <w:spacing w:before="0" w:after="283"/>
              <w:jc w:val="center"/>
              <w:rPr/>
            </w:pPr>
            <w:r>
              <w:rPr/>
              <w:t>Director</w:t>
            </w:r>
          </w:p>
        </w:tc>
        <w:tc>
          <w:tcPr>
            <w:tcW w:w="107"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283"/>
              <w:jc w:val="center"/>
              <w:rPr/>
            </w:pPr>
            <w:r>
              <w:rPr/>
              <w:t>July 30, 2026</w:t>
            </w:r>
          </w:p>
        </w:tc>
      </w:tr>
    </w:tbl>
    <w:p>
      <w:pPr>
        <w:pStyle w:val="TextBody"/>
        <w:bidi w:val="0"/>
        <w:spacing w:before="0" w:after="0"/>
        <w:jc w:val="right"/>
        <w:rPr>
          <w:rFonts w:ascii="Times New Roman" w:hAnsi="Times New Roman"/>
          <w:b/>
          <w:sz w:val="20"/>
        </w:rPr>
      </w:pPr>
      <w:bookmarkStart w:id="3" w:name="d170491dex51.htm"/>
      <w:bookmarkStart w:id="4" w:name="ksd170491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60"/>
        <w:gridCol w:w="122"/>
        <w:gridCol w:w="2953"/>
        <w:gridCol w:w="122"/>
        <w:gridCol w:w="3248"/>
      </w:tblGrid>
      <w:tr>
        <w:trPr/>
        <w:tc>
          <w:tcPr>
            <w:tcW w:w="376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48" w:type="dxa"/>
            <w:tcBorders/>
            <w:vAlign w:val="center"/>
          </w:tcPr>
          <w:p>
            <w:pPr>
              <w:pStyle w:val="TableContents"/>
              <w:bidi w:val="0"/>
              <w:spacing w:before="0" w:after="283"/>
              <w:jc w:val="left"/>
              <w:rPr>
                <w:sz w:val="4"/>
                <w:szCs w:val="4"/>
              </w:rPr>
            </w:pPr>
            <w:r>
              <w:rPr>
                <w:sz w:val="4"/>
                <w:szCs w:val="4"/>
              </w:rPr>
            </w:r>
          </w:p>
        </w:tc>
      </w:tr>
      <w:tr>
        <w:trPr/>
        <w:tc>
          <w:tcPr>
            <w:tcW w:w="3760" w:type="dxa"/>
            <w:tcBorders/>
          </w:tcPr>
          <w:p>
            <w:pPr>
              <w:pStyle w:val="TableContents"/>
              <w:bidi w:val="0"/>
              <w:spacing w:before="0" w:after="283"/>
              <w:jc w:val="left"/>
              <w:rPr/>
            </w:pPr>
            <w:r>
              <w:rPr/>
              <w:drawing>
                <wp:inline distT="0" distB="0" distL="0" distR="0">
                  <wp:extent cx="135255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3"/>
                          <a:stretch>
                            <a:fillRect/>
                          </a:stretch>
                        </pic:blipFill>
                        <pic:spPr bwMode="auto">
                          <a:xfrm>
                            <a:off x="0" y="0"/>
                            <a:ext cx="1352550" cy="571500"/>
                          </a:xfrm>
                          <a:prstGeom prst="rect">
                            <a:avLst/>
                          </a:prstGeom>
                        </pic:spPr>
                      </pic:pic>
                    </a:graphicData>
                  </a:graphic>
                </wp:inline>
              </w:drawing>
            </w:r>
            <w:r>
              <w:rPr/>
              <w:t xml:space="preserve"> </w:t>
            </w:r>
          </w:p>
        </w:tc>
        <w:tc>
          <w:tcPr>
            <w:tcW w:w="122" w:type="dxa"/>
            <w:tcBorders/>
            <w:vAlign w:val="bottom"/>
          </w:tcPr>
          <w:p>
            <w:pPr>
              <w:pStyle w:val="TableContents"/>
              <w:bidi w:val="0"/>
              <w:spacing w:before="0" w:after="283"/>
              <w:jc w:val="left"/>
              <w:rPr/>
            </w:pPr>
            <w:r>
              <w:rPr/>
              <w:t>  </w:t>
            </w:r>
          </w:p>
        </w:tc>
        <w:tc>
          <w:tcPr>
            <w:tcW w:w="295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48" w:type="dxa"/>
            <w:tcBorders/>
          </w:tcPr>
          <w:p>
            <w:pPr>
              <w:pStyle w:val="TableContents"/>
              <w:bidi w:val="0"/>
              <w:spacing w:before="0" w:after="0"/>
              <w:jc w:val="left"/>
              <w:rPr>
                <w:rFonts w:ascii="Times New Roman" w:hAnsi="Times New Roman"/>
                <w:sz w:val="20"/>
              </w:rPr>
            </w:pPr>
            <w:r>
              <w:rPr>
                <w:rFonts w:ascii="Times New Roman" w:hAnsi="Times New Roman"/>
                <w:sz w:val="20"/>
              </w:rPr>
              <w:t>Wilson Sonsini Goodrich &amp; Rosati</w:t>
            </w:r>
          </w:p>
          <w:p>
            <w:pPr>
              <w:pStyle w:val="TableContents"/>
              <w:bidi w:val="0"/>
              <w:spacing w:before="0" w:after="0"/>
              <w:jc w:val="left"/>
              <w:rPr>
                <w:rFonts w:ascii="Times New Roman" w:hAnsi="Times New Roman"/>
                <w:sz w:val="20"/>
              </w:rPr>
            </w:pPr>
            <w:r>
              <w:rPr>
                <w:rFonts w:ascii="Times New Roman" w:hAnsi="Times New Roman"/>
                <w:sz w:val="20"/>
              </w:rPr>
              <w:t>Professional Corporation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650 Page Mill Road</w:t>
            </w:r>
          </w:p>
          <w:p>
            <w:pPr>
              <w:pStyle w:val="TableContents"/>
              <w:bidi w:val="0"/>
              <w:spacing w:before="0" w:after="0"/>
              <w:jc w:val="left"/>
              <w:rPr>
                <w:rFonts w:ascii="Times New Roman" w:hAnsi="Times New Roman"/>
                <w:sz w:val="20"/>
              </w:rPr>
            </w:pPr>
            <w:r>
              <w:rPr>
                <w:rFonts w:ascii="Times New Roman" w:hAnsi="Times New Roman"/>
                <w:sz w:val="20"/>
              </w:rPr>
              <w:t>Palo Alto, California 94304-1050</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xml:space="preserve">O: 650.493.9300 </w:t>
            </w:r>
          </w:p>
          <w:p>
            <w:pPr>
              <w:pStyle w:val="TableContents"/>
              <w:bidi w:val="0"/>
              <w:spacing w:before="0" w:after="20"/>
              <w:jc w:val="left"/>
              <w:rPr>
                <w:rFonts w:ascii="Times New Roman" w:hAnsi="Times New Roman"/>
                <w:sz w:val="20"/>
              </w:rPr>
            </w:pPr>
            <w:r>
              <w:rPr>
                <w:rFonts w:ascii="Times New Roman" w:hAnsi="Times New Roman"/>
                <w:sz w:val="20"/>
              </w:rPr>
              <w:t>F: 866.974.7329</w:t>
            </w:r>
          </w:p>
        </w:tc>
      </w:tr>
    </w:tbl>
    <w:p>
      <w:pPr>
        <w:pStyle w:val="TextBody"/>
        <w:bidi w:val="0"/>
        <w:spacing w:before="240" w:after="0"/>
        <w:jc w:val="center"/>
        <w:rPr>
          <w:rFonts w:ascii="Times New Roman" w:hAnsi="Times New Roman"/>
          <w:sz w:val="20"/>
        </w:rPr>
      </w:pPr>
      <w:r>
        <w:rPr>
          <w:rFonts w:ascii="Times New Roman" w:hAnsi="Times New Roman"/>
          <w:sz w:val="20"/>
        </w:rPr>
        <w:t xml:space="preserve">July 30, 2026 </w:t>
      </w:r>
    </w:p>
    <w:p>
      <w:pPr>
        <w:pStyle w:val="TextBody"/>
        <w:bidi w:val="0"/>
        <w:spacing w:before="240" w:after="0"/>
        <w:jc w:val="left"/>
        <w:rPr>
          <w:rFonts w:ascii="Times New Roman" w:hAnsi="Times New Roman"/>
          <w:sz w:val="20"/>
        </w:rPr>
      </w:pPr>
      <w:r>
        <w:rPr>
          <w:rFonts w:ascii="Times New Roman" w:hAnsi="Times New Roman"/>
          <w:sz w:val="20"/>
        </w:rPr>
        <w:t xml:space="preserve">ORIC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240 E. Grand Avenue, 2nd Floor </w:t>
      </w:r>
    </w:p>
    <w:p>
      <w:pPr>
        <w:pStyle w:val="TextBody"/>
        <w:bidi w:val="0"/>
        <w:spacing w:before="0" w:after="0"/>
        <w:jc w:val="left"/>
        <w:rPr>
          <w:rFonts w:ascii="Times New Roman" w:hAnsi="Times New Roman"/>
          <w:sz w:val="20"/>
        </w:rPr>
      </w:pPr>
      <w:r>
        <w:rPr>
          <w:rFonts w:ascii="Times New Roman" w:hAnsi="Times New Roman"/>
          <w:sz w:val="20"/>
        </w:rPr>
        <w:t xml:space="preserve">South San Francisco, CA 94080 </w:t>
      </w:r>
    </w:p>
    <w:p>
      <w:pPr>
        <w:pStyle w:val="TextBody"/>
        <w:bidi w:val="0"/>
        <w:spacing w:before="0" w:after="0"/>
        <w:jc w:val="left"/>
        <w:rPr>
          <w:rFonts w:ascii="Times New Roman" w:hAnsi="Times New Roman"/>
          <w:sz w:val="20"/>
        </w:rPr>
      </w:pPr>
      <w:r>
        <w:rPr>
          <w:rFonts w:ascii="Times New Roman" w:hAnsi="Times New Roman"/>
          <w:sz w:val="20"/>
        </w:rPr>
        <w:t xml:space="preserve">(650) 388-5600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Re: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Registration Statement on Form S-8</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examined the Registration Statement on Form S-8 (the “</w:t>
      </w:r>
      <w:r>
        <w:rPr>
          <w:rFonts w:ascii="Times New Roman" w:hAnsi="Times New Roman"/>
          <w:b/>
          <w:sz w:val="20"/>
        </w:rPr>
        <w:t>Registration Statement</w:t>
      </w:r>
      <w:r>
        <w:rPr>
          <w:rFonts w:ascii="Times New Roman" w:hAnsi="Times New Roman"/>
          <w:sz w:val="20"/>
        </w:rPr>
        <w:t>”) to be filed by ORIC Pharmaceuticals, Inc., a Delaware corporation (the “</w:t>
      </w:r>
      <w:r>
        <w:rPr>
          <w:rFonts w:ascii="Times New Roman" w:hAnsi="Times New Roman"/>
          <w:b/>
          <w:sz w:val="20"/>
        </w:rPr>
        <w:t>Company</w:t>
      </w:r>
      <w:r>
        <w:rPr>
          <w:rFonts w:ascii="Times New Roman" w:hAnsi="Times New Roman"/>
          <w:sz w:val="20"/>
        </w:rPr>
        <w:t>”), with the Securities and Exchange Commission on or about the date hereof, relating to the registration under the Securities Act of 1933, as amended, of 1,100,000 shares of Common Stock reserved for issuance pursuant to the Company’s Amended and Restated 2022 Inducement Equity Incentive Plan, as amended (which plan is referred to herein as the “</w:t>
      </w:r>
      <w:r>
        <w:rPr>
          <w:rFonts w:ascii="Times New Roman" w:hAnsi="Times New Roman"/>
          <w:b/>
          <w:sz w:val="20"/>
        </w:rPr>
        <w:t>Plan</w:t>
      </w:r>
      <w:r>
        <w:rPr>
          <w:rFonts w:ascii="Times New Roman" w:hAnsi="Times New Roman"/>
          <w:sz w:val="20"/>
        </w:rPr>
        <w:t>” and which shares of Common Stock are referred to herein as the “</w:t>
      </w:r>
      <w:r>
        <w:rPr>
          <w:rFonts w:ascii="Times New Roman" w:hAnsi="Times New Roman"/>
          <w:b/>
          <w:sz w:val="20"/>
        </w:rPr>
        <w:t>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and in reliance thereon, we are of the opinion that the Shares, when issued and sold in the manner referred to in the Plan and pursuant to the agreements that accompany the Plan, will be legally and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this opinion as an exhibit to the Registration Statement, and further consent to the use of our name wherever appearing in the Registration Statement and any amendments thereto.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Wilson Sonsini Goodrich &amp; Rosati</w:t>
            </w:r>
          </w:p>
        </w:tc>
      </w:tr>
      <w:tr>
        <w:trPr/>
        <w:tc>
          <w:tcPr>
            <w:tcW w:w="4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WILSON SONSINI GOODRICH &amp; ROSATI</w:t>
            </w:r>
          </w:p>
          <w:p>
            <w:pPr>
              <w:pStyle w:val="TableContents"/>
              <w:bidi w:val="0"/>
              <w:spacing w:before="0" w:after="20"/>
              <w:jc w:val="left"/>
              <w:rPr>
                <w:rFonts w:ascii="Times New Roman" w:hAnsi="Times New Roman"/>
                <w:sz w:val="20"/>
              </w:rPr>
            </w:pPr>
            <w:r>
              <w:rPr>
                <w:rFonts w:ascii="Times New Roman" w:hAnsi="Times New Roman"/>
                <w:sz w:val="20"/>
              </w:rPr>
              <w:t>Professional Corporation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AUSTIN  BEIJING  BOSTON  BOULDER  BRUSSELS  HONG KONG  LONDON  LOS ANGELES  NEW YORK  PALO ALTO </w:t>
      </w:r>
    </w:p>
    <w:p>
      <w:pPr>
        <w:pStyle w:val="TextBody"/>
        <w:bidi w:val="0"/>
        <w:spacing w:before="0" w:after="0"/>
        <w:jc w:val="center"/>
        <w:rPr>
          <w:rFonts w:ascii="Times New Roman" w:hAnsi="Times New Roman"/>
          <w:sz w:val="16"/>
        </w:rPr>
      </w:pPr>
      <w:r>
        <w:rPr>
          <w:rFonts w:ascii="Times New Roman" w:hAnsi="Times New Roman"/>
          <w:sz w:val="16"/>
        </w:rPr>
        <w:t xml:space="preserve">SALT LAKE CITY  SAN DIEGO  SAN FRANCISCO  SEATTLE  SHANGHAI  WASHINGTON, DC  WILMINGTON, DE </w:t>
      </w:r>
    </w:p>
    <w:p>
      <w:pPr>
        <w:pStyle w:val="TextBody"/>
        <w:bidi w:val="0"/>
        <w:spacing w:before="0" w:after="0"/>
        <w:jc w:val="right"/>
        <w:rPr>
          <w:rFonts w:ascii="Times New Roman" w:hAnsi="Times New Roman"/>
          <w:b/>
          <w:sz w:val="20"/>
        </w:rPr>
      </w:pPr>
      <w:bookmarkStart w:id="5" w:name="d170491dex231.htm"/>
      <w:bookmarkStart w:id="6" w:name="ksd170491dex231"/>
      <w:bookmarkEnd w:id="5"/>
      <w:bookmarkEnd w:id="6"/>
      <w:r>
        <w:rPr>
          <w:rFonts w:ascii="Times New Roman" w:hAnsi="Times New Roman"/>
          <w:b/>
          <w:sz w:val="20"/>
        </w:rPr>
        <w:t xml:space="preserve">Exhibit 23.1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69"/>
        <w:gridCol w:w="123"/>
        <w:gridCol w:w="3840"/>
        <w:gridCol w:w="123"/>
        <w:gridCol w:w="3650"/>
      </w:tblGrid>
      <w:tr>
        <w:trPr/>
        <w:tc>
          <w:tcPr>
            <w:tcW w:w="246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84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2469" w:type="dxa"/>
            <w:tcBorders/>
          </w:tcPr>
          <w:p>
            <w:pPr>
              <w:pStyle w:val="TableContents"/>
              <w:bidi w:val="0"/>
              <w:spacing w:before="0" w:after="283"/>
              <w:jc w:val="left"/>
              <w:rPr/>
            </w:pPr>
            <w:r>
              <w:rPr/>
              <w:drawing>
                <wp:inline distT="0" distB="0" distL="0" distR="0">
                  <wp:extent cx="971550"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971550" cy="447675"/>
                          </a:xfrm>
                          <a:prstGeom prst="rect">
                            <a:avLst/>
                          </a:prstGeom>
                        </pic:spPr>
                      </pic:pic>
                    </a:graphicData>
                  </a:graphic>
                </wp:inline>
              </w:drawing>
            </w:r>
            <w:r>
              <w:rPr/>
              <w:t xml:space="preserve"> </w:t>
            </w:r>
          </w:p>
        </w:tc>
        <w:tc>
          <w:tcPr>
            <w:tcW w:w="123" w:type="dxa"/>
            <w:tcBorders/>
            <w:vAlign w:val="bottom"/>
          </w:tcPr>
          <w:p>
            <w:pPr>
              <w:pStyle w:val="TableContents"/>
              <w:bidi w:val="0"/>
              <w:spacing w:before="0" w:after="283"/>
              <w:jc w:val="left"/>
              <w:rPr/>
            </w:pPr>
            <w:r>
              <w:rPr/>
              <w:t>  </w:t>
            </w:r>
          </w:p>
        </w:tc>
        <w:tc>
          <w:tcPr>
            <w:tcW w:w="3840"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KPMG LLP</w:t>
            </w:r>
          </w:p>
          <w:p>
            <w:pPr>
              <w:pStyle w:val="TableContents"/>
              <w:bidi w:val="0"/>
              <w:spacing w:before="0" w:after="0"/>
              <w:jc w:val="left"/>
              <w:rPr>
                <w:rFonts w:ascii="Times New Roman" w:hAnsi="Times New Roman"/>
                <w:sz w:val="20"/>
              </w:rPr>
            </w:pPr>
            <w:r>
              <w:rPr>
                <w:rFonts w:ascii="Times New Roman" w:hAnsi="Times New Roman"/>
                <w:sz w:val="20"/>
              </w:rPr>
              <w:t>Suite 1100</w:t>
            </w:r>
          </w:p>
          <w:p>
            <w:pPr>
              <w:pStyle w:val="TableContents"/>
              <w:bidi w:val="0"/>
              <w:spacing w:before="0" w:after="0"/>
              <w:jc w:val="left"/>
              <w:rPr>
                <w:rFonts w:ascii="Times New Roman" w:hAnsi="Times New Roman"/>
                <w:sz w:val="20"/>
              </w:rPr>
            </w:pPr>
            <w:r>
              <w:rPr>
                <w:rFonts w:ascii="Times New Roman" w:hAnsi="Times New Roman"/>
                <w:sz w:val="20"/>
              </w:rPr>
              <w:t>4655 Executive Drive</w:t>
            </w:r>
          </w:p>
          <w:p>
            <w:pPr>
              <w:pStyle w:val="TableContents"/>
              <w:bidi w:val="0"/>
              <w:spacing w:before="0" w:after="20"/>
              <w:jc w:val="left"/>
              <w:rPr>
                <w:rFonts w:ascii="Times New Roman" w:hAnsi="Times New Roman"/>
                <w:sz w:val="20"/>
              </w:rPr>
            </w:pPr>
            <w:r>
              <w:rPr>
                <w:rFonts w:ascii="Times New Roman" w:hAnsi="Times New Roman"/>
                <w:sz w:val="20"/>
              </w:rPr>
              <w:t>San Diego, CA 92121-3132</w:t>
            </w:r>
          </w:p>
        </w:tc>
        <w:tc>
          <w:tcPr>
            <w:tcW w:w="123"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sz w:val="4"/>
                <w:szCs w:val="4"/>
              </w:rPr>
            </w:pPr>
            <w:r>
              <w:rPr>
                <w:sz w:val="4"/>
                <w:szCs w:val="4"/>
              </w:rPr>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our report dated February 23, 2026, with respect to the financial statements of ORIC Pharmaceuticals, Inc.,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 KPMG LLP </w:t>
      </w:r>
    </w:p>
    <w:p>
      <w:pPr>
        <w:pStyle w:val="TextBody"/>
        <w:bidi w:val="0"/>
        <w:spacing w:before="240" w:after="0"/>
        <w:jc w:val="left"/>
        <w:rPr>
          <w:rFonts w:ascii="Times New Roman" w:hAnsi="Times New Roman"/>
          <w:sz w:val="20"/>
        </w:rPr>
      </w:pPr>
      <w:r>
        <w:rPr>
          <w:rFonts w:ascii="Times New Roman" w:hAnsi="Times New Roman"/>
          <w:sz w:val="20"/>
        </w:rPr>
        <w:t xml:space="preserve">San Diego, California </w:t>
      </w:r>
    </w:p>
    <w:p>
      <w:pPr>
        <w:pStyle w:val="TextBody"/>
        <w:bidi w:val="0"/>
        <w:spacing w:before="0" w:after="0"/>
        <w:jc w:val="left"/>
        <w:rPr>
          <w:rFonts w:ascii="Times New Roman" w:hAnsi="Times New Roman"/>
          <w:sz w:val="20"/>
        </w:rPr>
      </w:pPr>
      <w:r>
        <w:rPr>
          <w:rFonts w:ascii="Times New Roman" w:hAnsi="Times New Roman"/>
          <w:sz w:val="20"/>
        </w:rPr>
        <w:t xml:space="preserve">July 30, 2026 </w:t>
      </w:r>
    </w:p>
    <w:p>
      <w:pPr>
        <w:pStyle w:val="Normal"/>
        <w:bidi w:val="0"/>
        <w:spacing w:before="0" w:after="0"/>
        <w:jc w:val="left"/>
        <w:rPr>
          <w:sz w:val="4"/>
          <w:szCs w:val="4"/>
        </w:rPr>
      </w:pPr>
      <w:r>
        <w:rPr>
          <w:sz w:val="4"/>
          <w:szCs w:val="4"/>
        </w:rPr>
      </w:r>
      <w:bookmarkStart w:id="7" w:name="d170491dexfilingfees.htm"/>
      <w:bookmarkStart w:id="8" w:name="ksd170491dexfilingfees"/>
      <w:bookmarkStart w:id="9" w:name="d170491dexfilingfees.htm"/>
      <w:bookmarkStart w:id="10" w:name="ksd170491dexfilingfees"/>
      <w:bookmarkEnd w:id="9"/>
      <w:bookmarkEnd w:id="10"/>
      <w:r>
        <w:br w:type="page"/>
      </w:r>
    </w:p>
    <w:tbl>
      <w:tblPr>
        <w:tblW w:w="3577" w:type="dxa"/>
        <w:jc w:val="left"/>
        <w:tblInd w:w="0" w:type="dxa"/>
        <w:tblLayout w:type="fixed"/>
        <w:tblCellMar>
          <w:top w:w="28" w:type="dxa"/>
          <w:left w:w="28" w:type="dxa"/>
          <w:bottom w:w="28" w:type="dxa"/>
          <w:right w:w="28" w:type="dxa"/>
        </w:tblCellMar>
      </w:tblPr>
      <w:tblGrid>
        <w:gridCol w:w="3423"/>
        <w:gridCol w:w="154"/>
      </w:tblGrid>
      <w:tr>
        <w:trPr/>
        <w:tc>
          <w:tcPr>
            <w:tcW w:w="357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3"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3" w:type="dxa"/>
            <w:tcBorders/>
            <w:vAlign w:val="center"/>
          </w:tcPr>
          <w:p>
            <w:pPr>
              <w:pStyle w:val="TableContents"/>
              <w:bidi w:val="0"/>
              <w:spacing w:before="0" w:after="283"/>
              <w:jc w:val="left"/>
              <w:rPr>
                <w:b/>
              </w:rPr>
            </w:pPr>
            <w:r>
              <w:rPr>
                <w:b/>
              </w:rPr>
              <w:t xml:space="preserve">Oric Pharmaceuticals,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479" w:type="dxa"/>
        <w:jc w:val="left"/>
        <w:tblInd w:w="0" w:type="dxa"/>
        <w:tblLayout w:type="fixed"/>
        <w:tblCellMar>
          <w:top w:w="28" w:type="dxa"/>
          <w:left w:w="28" w:type="dxa"/>
          <w:bottom w:w="28" w:type="dxa"/>
          <w:right w:w="28" w:type="dxa"/>
        </w:tblCellMar>
      </w:tblPr>
      <w:tblGrid>
        <w:gridCol w:w="241"/>
        <w:gridCol w:w="946"/>
        <w:gridCol w:w="1486"/>
        <w:gridCol w:w="1276"/>
        <w:gridCol w:w="1186"/>
        <w:gridCol w:w="1156"/>
        <w:gridCol w:w="1666"/>
        <w:gridCol w:w="1126"/>
        <w:gridCol w:w="1396"/>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48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9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486" w:type="dxa"/>
            <w:tcBorders/>
            <w:shd w:fill="E7E7E2" w:val="clear"/>
            <w:vAlign w:val="center"/>
          </w:tcPr>
          <w:p>
            <w:pPr>
              <w:pStyle w:val="TableContents"/>
              <w:bidi w:val="0"/>
              <w:spacing w:before="0" w:after="283"/>
              <w:jc w:val="left"/>
              <w:rPr/>
            </w:pPr>
            <w:r>
              <w:rPr/>
              <w:t xml:space="preserve">Common Stock, $0.0001 par value, reserved for issuance pursuant to the Amended and Restated 2022 Inducement Equity Incentive Plan 12,078,000.00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1,100,000 </w:t>
            </w:r>
          </w:p>
        </w:tc>
        <w:tc>
          <w:tcPr>
            <w:tcW w:w="1156" w:type="dxa"/>
            <w:tcBorders/>
            <w:shd w:fill="E7E7E2" w:val="clear"/>
            <w:vAlign w:val="center"/>
          </w:tcPr>
          <w:p>
            <w:pPr>
              <w:pStyle w:val="TableContents"/>
              <w:bidi w:val="0"/>
              <w:spacing w:before="0" w:after="283"/>
              <w:jc w:val="right"/>
              <w:rPr/>
            </w:pPr>
            <w:r>
              <w:rPr/>
              <w:t xml:space="preserve">$ 10.98 </w:t>
            </w:r>
          </w:p>
        </w:tc>
        <w:tc>
          <w:tcPr>
            <w:tcW w:w="1666" w:type="dxa"/>
            <w:tcBorders/>
            <w:shd w:fill="E7E7E2" w:val="clear"/>
            <w:vAlign w:val="center"/>
          </w:tcPr>
          <w:p>
            <w:pPr>
              <w:pStyle w:val="TableContents"/>
              <w:bidi w:val="0"/>
              <w:spacing w:before="0" w:after="283"/>
              <w:jc w:val="right"/>
              <w:rPr/>
            </w:pPr>
            <w:r>
              <w:rPr/>
              <w:t xml:space="preserve">$ 12,078,000.00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$ 1,667.98 </w:t>
            </w:r>
          </w:p>
        </w:tc>
      </w:tr>
      <w:tr>
        <w:trPr/>
        <w:tc>
          <w:tcPr>
            <w:tcW w:w="5135" w:type="dxa"/>
            <w:gridSpan w:val="5"/>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11" w:name="MaxAggtOfferingPrice"/>
            <w:bookmarkEnd w:id="11"/>
            <w:r>
              <w:rPr/>
              <w:t xml:space="preserve">$ 12,078,000.00 </w:t>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$ 1,667.98 </w:t>
            </w:r>
          </w:p>
        </w:tc>
      </w:tr>
      <w:tr>
        <w:trPr/>
        <w:tc>
          <w:tcPr>
            <w:tcW w:w="5135" w:type="dxa"/>
            <w:gridSpan w:val="5"/>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5135" w:type="dxa"/>
            <w:gridSpan w:val="5"/>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14" w:name="NetFeeAmt"/>
            <w:bookmarkEnd w:id="14"/>
            <w:r>
              <w:rPr/>
              <w:t xml:space="preserve">$ 1,667.98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8"/>
        <w:gridCol w:w="8707"/>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(a) Represents shares of common stock, par value $0.0001 per share ("Common Stock") of ORIC Pharmaceuticals, Inc. (the "Registrant") available for issuance pursuant to awards granted pursuant to the Registrant's Amended and Restated 2022 Inducement Equity Incentive Plan (the "Inducement Plan"). In addition, pursuant to Rule 416(a) under the Securities Act of 1933, as amended (the "Securities Act"), this Registration Statement shall also cover any additional shares of the Registrant's Common Stock that become issuable under the Inducement Plan by reason of an event such as any stock split, stock dividend or similar adjustment effected without the Registrant's receipt of consideration that increases the number of the Registrant's outstanding shares of Common Stock. (b) The Amount Registered reflects an increase of 1,100,000 shares of Common Stock reserved for issuance under the Inducement Plan. (c) The Proposed Maximum Offering Price Per Unit is estimated in accordance with paragraphs (c) and (h) of Rule 457 under the Securities Act solely for the purpose of calculating the registration fee on the basis of $10.98 per share, which represents the average of the high and low price per share of the Registrant's Common Stock on July 23, 2026, as reported on the Nasdaq Global Select Market.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96280/000119312520119249/d919005ds8.htm" TargetMode="External"/><Relationship Id="rId3" Type="http://schemas.openxmlformats.org/officeDocument/2006/relationships/hyperlink" Target="http://www.sec.gov/Archives/edgar/data/1796280/000119312521091284/d107557ds8.htm" TargetMode="External"/><Relationship Id="rId4" Type="http://schemas.openxmlformats.org/officeDocument/2006/relationships/hyperlink" Target="http://www.sec.gov/Archives/edgar/data/1796280/000119312522081616/d336037ds8.htm" TargetMode="External"/><Relationship Id="rId5" Type="http://schemas.openxmlformats.org/officeDocument/2006/relationships/hyperlink" Target="http://www.sec.gov/Archives/edgar/data/1796280/000119312523072705/d480523ds8.htm" TargetMode="External"/><Relationship Id="rId6" Type="http://schemas.openxmlformats.org/officeDocument/2006/relationships/hyperlink" Target="http://www.sec.gov/Archives/edgar/data/1796280/000119312524082131/d807137ds8.htm" TargetMode="External"/><Relationship Id="rId7" Type="http://schemas.openxmlformats.org/officeDocument/2006/relationships/hyperlink" Target="http://www.sec.gov/Archives/edgar/data/1796280/000119312525059251/d903685ds8.htm" TargetMode="External"/><Relationship Id="rId8" Type="http://schemas.openxmlformats.org/officeDocument/2006/relationships/hyperlink" Target="http://www.sec.gov/Archives/edgar/data/../../../ix?doc=/Archives/edgar/data/0001796280/000119312526064005/oric-20251231.htm" TargetMode="External"/><Relationship Id="rId9" Type="http://schemas.openxmlformats.org/officeDocument/2006/relationships/hyperlink" Target="http://www.sec.gov/Archives/edgar/data/1796280/000095017022004239/oric-ex4_3.htm" TargetMode="External"/><Relationship Id="rId10" Type="http://schemas.openxmlformats.org/officeDocument/2006/relationships/hyperlink" Target="http://www.sec.gov/Archives/edgar/data/../../../ix?doc=/Archives/edgar/data/0001796280/000095017022004239/oric-20211231.htm" TargetMode="External"/><Relationship Id="rId11" Type="http://schemas.openxmlformats.org/officeDocument/2006/relationships/hyperlink" Target="http://www.sec.gov/Archives/edgar/data/1796280/000119312520111275/d843476dex42.htm" TargetMode="External"/><Relationship Id="rId12" Type="http://schemas.openxmlformats.org/officeDocument/2006/relationships/hyperlink" Target="http://www.sec.gov/Archives/edgar/data/1796280/000119312526326309/d169933dex101.htm" TargetMode="External"/><Relationship Id="rId13" Type="http://schemas.openxmlformats.org/officeDocument/2006/relationships/image" Target="media/image1.jpeg"/><Relationship Id="rId14" Type="http://schemas.openxmlformats.org/officeDocument/2006/relationships/image" Target="media/image2.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3705</Words>
  <Characters>20186</Characters>
  <CharactersWithSpaces>23997</CharactersWithSpaces>
  <Paragraphs>392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