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40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49" w:lineRule="exact"/>
        <w:rPr>
          <w:sz w:val="24"/>
          <w:szCs w:val="24"/>
          <w:color w:val="auto"/>
        </w:rPr>
      </w:pPr>
    </w:p>
    <w:p>
      <w:pPr>
        <w:ind w:left="3500" w:right="1600" w:hanging="3479"/>
        <w:spacing w:after="0" w:line="375"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189230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1200" w:type="dxa"/>
        <w:tblCellMar>
          <w:top w:w="0" w:type="dxa"/>
          <w:left w:w="0" w:type="dxa"/>
          <w:bottom w:w="0" w:type="dxa"/>
          <w:right w:w="0" w:type="dxa"/>
        </w:tblCellMar>
      </w:tblPr>
      <w:tr>
        <w:trPr>
          <w:trHeight w:val="166"/>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tcPr>
          <w:p>
            <w:pPr>
              <w:jc w:val="right"/>
              <w:ind w:right="553"/>
              <w:spacing w:after="0"/>
              <w:rPr>
                <w:sz w:val="20"/>
                <w:szCs w:val="20"/>
                <w:color w:val="auto"/>
              </w:rPr>
            </w:pPr>
            <w:r>
              <w:rPr>
                <w:rFonts w:ascii="Arial" w:cs="Arial" w:eastAsia="Arial" w:hAnsi="Arial"/>
                <w:sz w:val="14"/>
                <w:szCs w:val="14"/>
                <w:b w:val="1"/>
                <w:bCs w:val="1"/>
                <w:color w:val="auto"/>
              </w:rPr>
              <w:t>47-1787157</w:t>
            </w: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1"/>
              </w:rPr>
              <w:t>(I.R.S. Employer Identification No.)</w:t>
            </w:r>
          </w:p>
        </w:tc>
        <w:tc>
          <w:tcPr>
            <w:tcW w:w="0" w:type="dxa"/>
            <w:vAlign w:val="bottom"/>
          </w:tcPr>
          <w:p>
            <w:pPr>
              <w:spacing w:after="0"/>
              <w:rPr>
                <w:sz w:val="1"/>
                <w:szCs w:val="1"/>
                <w:color w:val="auto"/>
              </w:rPr>
            </w:pPr>
          </w:p>
        </w:tc>
      </w:tr>
      <w:tr>
        <w:trPr>
          <w:trHeight w:val="209"/>
        </w:trPr>
        <w:tc>
          <w:tcPr>
            <w:tcW w:w="4760" w:type="dxa"/>
            <w:vAlign w:val="bottom"/>
          </w:tcPr>
          <w:p>
            <w:pPr>
              <w:jc w:val="center"/>
              <w:ind w:right="1512"/>
              <w:spacing w:after="0"/>
              <w:rPr>
                <w:sz w:val="20"/>
                <w:szCs w:val="20"/>
                <w:color w:val="auto"/>
              </w:rPr>
            </w:pPr>
            <w:r>
              <w:rPr>
                <w:rFonts w:ascii="Arial" w:cs="Arial" w:eastAsia="Arial" w:hAnsi="Arial"/>
                <w:sz w:val="14"/>
                <w:szCs w:val="14"/>
                <w:b w:val="1"/>
                <w:bCs w:val="1"/>
                <w:color w:val="auto"/>
                <w:w w:val="93"/>
              </w:rPr>
              <w:t>240 E. Grand Ave, 2</w:t>
            </w:r>
            <w:r>
              <w:rPr>
                <w:rFonts w:ascii="Arial" w:cs="Arial" w:eastAsia="Arial" w:hAnsi="Arial"/>
                <w:sz w:val="16"/>
                <w:szCs w:val="16"/>
                <w:b w:val="1"/>
                <w:bCs w:val="1"/>
                <w:color w:val="auto"/>
                <w:w w:val="93"/>
                <w:vertAlign w:val="superscript"/>
              </w:rPr>
              <w:t>nd</w:t>
            </w:r>
            <w:r>
              <w:rPr>
                <w:rFonts w:ascii="Arial" w:cs="Arial" w:eastAsia="Arial" w:hAnsi="Arial"/>
                <w:sz w:val="14"/>
                <w:szCs w:val="14"/>
                <w:b w:val="1"/>
                <w:bCs w:val="1"/>
                <w:color w:val="auto"/>
                <w:w w:val="93"/>
              </w:rPr>
              <w:t xml:space="preserve"> Floor</w:t>
            </w:r>
          </w:p>
        </w:tc>
        <w:tc>
          <w:tcPr>
            <w:tcW w:w="344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66"/>
        </w:trPr>
        <w:tc>
          <w:tcPr>
            <w:tcW w:w="4760" w:type="dxa"/>
            <w:vAlign w:val="bottom"/>
          </w:tcPr>
          <w:p>
            <w:pPr>
              <w:ind w:left="820"/>
              <w:spacing w:after="0"/>
              <w:rPr>
                <w:sz w:val="20"/>
                <w:szCs w:val="20"/>
                <w:color w:val="auto"/>
              </w:rPr>
            </w:pPr>
            <w:r>
              <w:rPr>
                <w:rFonts w:ascii="Arial" w:cs="Arial" w:eastAsia="Arial" w:hAnsi="Arial"/>
                <w:sz w:val="14"/>
                <w:szCs w:val="14"/>
                <w:b w:val="1"/>
                <w:bCs w:val="1"/>
                <w:color w:val="auto"/>
              </w:rPr>
              <w:t>South San Francisco, CA</w:t>
            </w: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2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83"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75"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2022, the registrant had 39,576,657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8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8"/>
            <w:vMerge w:val="restart"/>
          </w:tcPr>
          <w:p>
            <w:pPr>
              <w:spacing w:after="0"/>
              <w:rPr>
                <w:sz w:val="20"/>
                <w:szCs w:val="20"/>
                <w:color w:val="auto"/>
              </w:rPr>
            </w:pPr>
            <w:r>
              <w:rPr>
                <w:rFonts w:ascii="Arial" w:cs="Arial" w:eastAsia="Arial" w:hAnsi="Arial"/>
                <w:sz w:val="18"/>
                <w:szCs w:val="18"/>
                <w:color w:val="0563C1"/>
              </w:rPr>
              <w:t>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260" w:type="dxa"/>
            <w:vAlign w:val="bottom"/>
            <w:gridSpan w:val="18"/>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40" w:type="dxa"/>
            <w:vAlign w:val="bottom"/>
            <w:tcBorders>
              <w:top w:val="single" w:sz="8" w:color="0563C1"/>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83"/>
              </w:rPr>
              <w:t>Financial Statements (Unaudited)</w:t>
            </w:r>
          </w:p>
        </w:tc>
        <w:tc>
          <w:tcPr>
            <w:tcW w:w="80" w:type="dxa"/>
            <w:vAlign w:val="bottom"/>
            <w:tcBorders>
              <w:bottom w:val="single" w:sz="8" w:color="0563C1"/>
            </w:tcBorders>
          </w:tcPr>
          <w:p>
            <w:pPr>
              <w:spacing w:after="0"/>
              <w:rPr>
                <w:sz w:val="15"/>
                <w:szCs w:val="15"/>
                <w:color w:val="auto"/>
              </w:rPr>
            </w:pPr>
          </w:p>
        </w:tc>
        <w:tc>
          <w:tcPr>
            <w:tcW w:w="100" w:type="dxa"/>
            <w:vAlign w:val="bottom"/>
            <w:tcBorders>
              <w:bottom w:val="single" w:sz="8" w:color="0563C1"/>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gridSpan w:val="11"/>
          </w:tcPr>
          <w:p>
            <w:pPr>
              <w:spacing w:after="0" w:line="182" w:lineRule="exact"/>
              <w:rPr>
                <w:sz w:val="20"/>
                <w:szCs w:val="20"/>
                <w:color w:val="auto"/>
              </w:rPr>
            </w:pPr>
            <w:r>
              <w:rPr>
                <w:rFonts w:ascii="Arial" w:cs="Arial" w:eastAsia="Arial" w:hAnsi="Arial"/>
                <w:sz w:val="18"/>
                <w:szCs w:val="18"/>
                <w:color w:val="0563C1"/>
              </w:rPr>
              <w:t>Balance Sheets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180" w:type="dxa"/>
            <w:vAlign w:val="bottom"/>
            <w:gridSpan w:val="15"/>
            <w:vMerge w:val="restart"/>
          </w:tcPr>
          <w:p>
            <w:pPr>
              <w:spacing w:after="0" w:line="202" w:lineRule="exact"/>
              <w:rPr>
                <w:sz w:val="20"/>
                <w:szCs w:val="20"/>
                <w:color w:val="auto"/>
              </w:rPr>
            </w:pPr>
            <w:r>
              <w:rPr>
                <w:rFonts w:ascii="Arial" w:cs="Arial" w:eastAsia="Arial" w:hAnsi="Arial"/>
                <w:sz w:val="18"/>
                <w:szCs w:val="18"/>
                <w:color w:val="0563C1"/>
              </w:rPr>
              <w:t>Operations and Comprehensive Loss</w:t>
            </w: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spacing w:after="0" w:line="182" w:lineRule="exact"/>
              <w:rPr>
                <w:sz w:val="20"/>
                <w:szCs w:val="20"/>
                <w:color w:val="auto"/>
              </w:rPr>
            </w:pPr>
            <w:r>
              <w:rPr>
                <w:rFonts w:ascii="Arial" w:cs="Arial" w:eastAsia="Arial" w:hAnsi="Arial"/>
                <w:sz w:val="18"/>
                <w:szCs w:val="18"/>
                <w:color w:val="0563C1"/>
                <w:w w:val="95"/>
              </w:rPr>
              <w:t>Statements of</w:t>
            </w:r>
          </w:p>
        </w:tc>
        <w:tc>
          <w:tcPr>
            <w:tcW w:w="8180" w:type="dxa"/>
            <w:vAlign w:val="bottom"/>
            <w:gridSpan w:val="15"/>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800" w:type="dxa"/>
            <w:vAlign w:val="bottom"/>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gridSpan w:val="14"/>
          </w:tcPr>
          <w:p>
            <w:pPr>
              <w:spacing w:after="0" w:line="182" w:lineRule="exact"/>
              <w:rPr>
                <w:sz w:val="20"/>
                <w:szCs w:val="20"/>
                <w:color w:val="auto"/>
              </w:rPr>
            </w:pPr>
            <w:r>
              <w:rPr>
                <w:rFonts w:ascii="Arial" w:cs="Arial" w:eastAsia="Arial" w:hAnsi="Arial"/>
                <w:sz w:val="18"/>
                <w:szCs w:val="18"/>
                <w:color w:val="0563C1"/>
              </w:rPr>
              <w:t>Statements of Stockholders’ Equity</w:t>
            </w:r>
          </w:p>
        </w:tc>
        <w:tc>
          <w:tcPr>
            <w:tcW w:w="6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800" w:type="dxa"/>
            <w:vAlign w:val="bottom"/>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12"/>
          </w:tcPr>
          <w:p>
            <w:pPr>
              <w:spacing w:after="0" w:line="182" w:lineRule="exact"/>
              <w:rPr>
                <w:sz w:val="20"/>
                <w:szCs w:val="20"/>
                <w:color w:val="auto"/>
              </w:rPr>
            </w:pPr>
            <w:r>
              <w:rPr>
                <w:rFonts w:ascii="Arial" w:cs="Arial" w:eastAsia="Arial" w:hAnsi="Arial"/>
                <w:sz w:val="18"/>
                <w:szCs w:val="18"/>
                <w:color w:val="0563C1"/>
              </w:rPr>
              <w:t>Statements of Cash Flows</w:t>
            </w:r>
          </w:p>
        </w:tc>
        <w:tc>
          <w:tcPr>
            <w:tcW w:w="40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60" w:type="dxa"/>
            <w:vAlign w:val="bottom"/>
            <w:gridSpan w:val="18"/>
          </w:tcPr>
          <w:p>
            <w:pPr>
              <w:spacing w:after="0" w:line="182" w:lineRule="exact"/>
              <w:rPr>
                <w:sz w:val="20"/>
                <w:szCs w:val="20"/>
                <w:color w:val="auto"/>
              </w:rPr>
            </w:pPr>
            <w:r>
              <w:rPr>
                <w:rFonts w:ascii="Arial" w:cs="Arial" w:eastAsia="Arial" w:hAnsi="Arial"/>
                <w:sz w:val="18"/>
                <w:szCs w:val="18"/>
                <w:color w:val="0563C1"/>
              </w:rPr>
              <w:t>Notes to Unaudited Financial Statements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gridSpan w:val="3"/>
            <w:shd w:val="clear" w:color="auto" w:fill="0563C1"/>
          </w:tcPr>
          <w:p>
            <w:pPr>
              <w:spacing w:after="0" w:line="20" w:lineRule="exact"/>
              <w:rPr>
                <w:sz w:val="1"/>
                <w:szCs w:val="1"/>
                <w:color w:val="auto"/>
              </w:rPr>
            </w:pPr>
          </w:p>
        </w:tc>
        <w:tc>
          <w:tcPr>
            <w:tcW w:w="6320" w:type="dxa"/>
            <w:vAlign w:val="bottom"/>
            <w:gridSpan w:val="5"/>
            <w:vMerge w:val="restart"/>
          </w:tcPr>
          <w:p>
            <w:pPr>
              <w:spacing w:after="0" w:line="202" w:lineRule="exact"/>
              <w:rPr>
                <w:sz w:val="20"/>
                <w:szCs w:val="20"/>
                <w:color w:val="auto"/>
              </w:rPr>
            </w:pPr>
            <w:r>
              <w:rPr>
                <w:rFonts w:ascii="Arial" w:cs="Arial" w:eastAsia="Arial" w:hAnsi="Arial"/>
                <w:sz w:val="18"/>
                <w:szCs w:val="18"/>
                <w:color w:val="0563C1"/>
              </w:rPr>
              <w:t>of Financial Condition and Results of Operations</w:t>
            </w: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940" w:type="dxa"/>
            <w:vAlign w:val="bottom"/>
            <w:gridSpan w:val="13"/>
          </w:tcPr>
          <w:p>
            <w:pPr>
              <w:spacing w:after="0" w:line="182" w:lineRule="exact"/>
              <w:rPr>
                <w:sz w:val="20"/>
                <w:szCs w:val="20"/>
                <w:color w:val="auto"/>
              </w:rPr>
            </w:pPr>
            <w:r>
              <w:rPr>
                <w:rFonts w:ascii="Arial" w:cs="Arial" w:eastAsia="Arial" w:hAnsi="Arial"/>
                <w:sz w:val="18"/>
                <w:szCs w:val="18"/>
                <w:color w:val="0563C1"/>
                <w:w w:val="92"/>
              </w:rPr>
              <w:t>Management’s Discussion and Analysis</w:t>
            </w:r>
          </w:p>
        </w:tc>
        <w:tc>
          <w:tcPr>
            <w:tcW w:w="6320" w:type="dxa"/>
            <w:vAlign w:val="bottom"/>
            <w:gridSpan w:val="5"/>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2800" w:type="dxa"/>
            <w:vAlign w:val="bottom"/>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900" w:type="dxa"/>
            <w:vAlign w:val="bottom"/>
            <w:gridSpan w:val="2"/>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6"/>
          </w:tcPr>
          <w:p>
            <w:pPr>
              <w:spacing w:after="0" w:line="182" w:lineRule="exact"/>
              <w:rPr>
                <w:sz w:val="20"/>
                <w:szCs w:val="20"/>
                <w:color w:val="auto"/>
              </w:rPr>
            </w:pPr>
            <w:r>
              <w:rPr>
                <w:rFonts w:ascii="Arial" w:cs="Arial" w:eastAsia="Arial" w:hAnsi="Arial"/>
                <w:sz w:val="18"/>
                <w:szCs w:val="18"/>
                <w:color w:val="0563C1"/>
              </w:rPr>
              <w:t>Controls and Procedures</w:t>
            </w:r>
          </w:p>
        </w:tc>
        <w:tc>
          <w:tcPr>
            <w:tcW w:w="49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563C1"/>
              </w:rPr>
              <w:t>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20" w:type="dxa"/>
            <w:vAlign w:val="bottom"/>
            <w:gridSpan w:val="3"/>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8"/>
          </w:tcPr>
          <w:p>
            <w:pPr>
              <w:spacing w:after="0" w:line="182" w:lineRule="exact"/>
              <w:rPr>
                <w:sz w:val="20"/>
                <w:szCs w:val="20"/>
                <w:color w:val="auto"/>
              </w:rPr>
            </w:pPr>
            <w:r>
              <w:rPr>
                <w:rFonts w:ascii="Arial" w:cs="Arial" w:eastAsia="Arial" w:hAnsi="Arial"/>
                <w:sz w:val="18"/>
                <w:szCs w:val="18"/>
                <w:color w:val="0563C1"/>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20" w:type="dxa"/>
            <w:vAlign w:val="bottom"/>
            <w:gridSpan w:val="3"/>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36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0563C1"/>
                <w:w w:val="85"/>
              </w:rPr>
              <w:t>Unregistered</w:t>
            </w:r>
          </w:p>
        </w:tc>
        <w:tc>
          <w:tcPr>
            <w:tcW w:w="8360" w:type="dxa"/>
            <w:vAlign w:val="bottom"/>
            <w:gridSpan w:val="16"/>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20" w:type="dxa"/>
            <w:vAlign w:val="bottom"/>
            <w:gridSpan w:val="3"/>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5"/>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92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6940" w:type="dxa"/>
            <w:vAlign w:val="bottom"/>
            <w:gridSpan w:val="8"/>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Arial" w:cs="Arial" w:eastAsia="Arial" w:hAnsi="Arial"/>
                <w:sz w:val="18"/>
                <w:szCs w:val="18"/>
                <w:color w:val="0563C1"/>
              </w:rPr>
              <w:t>Mine Safety Disclosures</w:t>
            </w:r>
          </w:p>
        </w:tc>
        <w:tc>
          <w:tcPr>
            <w:tcW w:w="6940" w:type="dxa"/>
            <w:vAlign w:val="bottom"/>
            <w:gridSpan w:val="8"/>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7500" w:type="dxa"/>
            <w:vAlign w:val="bottom"/>
            <w:gridSpan w:val="12"/>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500" w:type="dxa"/>
            <w:vAlign w:val="bottom"/>
            <w:gridSpan w:val="1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7960" w:type="dxa"/>
            <w:vAlign w:val="bottom"/>
            <w:gridSpan w:val="14"/>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7960" w:type="dxa"/>
            <w:vAlign w:val="bottom"/>
            <w:gridSpan w:val="14"/>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563C1"/>
                <w:w w:val="93"/>
              </w:rPr>
              <w:t>SIGNATURES</w:t>
            </w: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64" w:lineRule="exact"/>
        <w:rPr>
          <w:sz w:val="20"/>
          <w:szCs w:val="20"/>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03" w:lineRule="exact"/>
        <w:rPr>
          <w:rFonts w:ascii="Arial" w:cs="Arial" w:eastAsia="Arial" w:hAnsi="Arial"/>
          <w:sz w:val="18"/>
          <w:szCs w:val="18"/>
          <w:color w:val="auto"/>
        </w:rPr>
      </w:pPr>
    </w:p>
    <w:p>
      <w:pPr>
        <w:ind w:left="1260" w:hanging="503"/>
        <w:spacing w:after="0" w:line="303"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32" w:lineRule="exact"/>
        <w:rPr>
          <w:rFonts w:ascii="Arial" w:cs="Arial" w:eastAsia="Arial" w:hAnsi="Arial"/>
          <w:sz w:val="16"/>
          <w:szCs w:val="16"/>
          <w:color w:val="auto"/>
        </w:rPr>
      </w:pPr>
    </w:p>
    <w:p>
      <w:pPr>
        <w:ind w:left="1260" w:right="120" w:hanging="503"/>
        <w:spacing w:after="0" w:line="256"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03" w:lineRule="exact"/>
        <w:rPr>
          <w:rFonts w:ascii="Arial" w:cs="Arial" w:eastAsia="Arial" w:hAnsi="Arial"/>
          <w:sz w:val="18"/>
          <w:szCs w:val="18"/>
          <w:color w:val="auto"/>
        </w:rPr>
      </w:pPr>
    </w:p>
    <w:p>
      <w:pPr>
        <w:ind w:left="1260" w:right="4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1260" w:right="220" w:hanging="503"/>
        <w:spacing w:after="0" w:line="24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2" w:lineRule="exact"/>
        <w:rPr>
          <w:rFonts w:ascii="Arial" w:cs="Arial" w:eastAsia="Arial" w:hAnsi="Arial"/>
          <w:sz w:val="18"/>
          <w:szCs w:val="18"/>
          <w:color w:val="auto"/>
        </w:rPr>
      </w:pPr>
    </w:p>
    <w:p>
      <w:pPr>
        <w:ind w:left="1260" w:right="50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6" w:lineRule="exact"/>
        <w:rPr>
          <w:rFonts w:ascii="Arial" w:cs="Arial" w:eastAsia="Arial" w:hAnsi="Arial"/>
          <w:sz w:val="18"/>
          <w:szCs w:val="18"/>
          <w:color w:val="auto"/>
        </w:rPr>
      </w:pPr>
    </w:p>
    <w:p>
      <w:pPr>
        <w:ind w:left="1260" w:right="5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pricing and reimbursement of ORIC-533, ORIC-114, ORIC-944 and other product candidates we may develop, if approved;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260" w:right="260" w:hanging="503"/>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ORIC-533, ORIC-114, ORIC-944 and other product candidates we may develop;</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right="440" w:hanging="503"/>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investments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104" w:lineRule="exact"/>
        <w:rPr>
          <w:sz w:val="20"/>
          <w:szCs w:val="20"/>
          <w:color w:val="auto"/>
        </w:rPr>
      </w:pPr>
    </w:p>
    <w:p>
      <w:pPr>
        <w:ind w:right="20" w:firstLine="749"/>
        <w:spacing w:after="0" w:line="26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65"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September 30, 2022</w:t>
            </w:r>
          </w:p>
        </w:tc>
        <w:tc>
          <w:tcPr>
            <w:tcW w:w="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860" w:type="dxa"/>
            <w:vAlign w:val="bottom"/>
            <w:shd w:val="clear" w:color="auto" w:fill="CFF0FC"/>
          </w:tcPr>
          <w:p>
            <w:pPr>
              <w:ind w:left="536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29,076</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164,583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198,685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Long-term investments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24,310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237,997</w:t>
            </w:r>
          </w:p>
        </w:tc>
        <w:tc>
          <w:tcPr>
            <w:tcW w:w="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4320"/>
              <w:spacing w:after="0"/>
              <w:rPr>
                <w:sz w:val="20"/>
                <w:szCs w:val="20"/>
                <w:color w:val="auto"/>
              </w:rPr>
            </w:pPr>
            <w:r>
              <w:rPr>
                <w:rFonts w:ascii="Arial" w:cs="Arial" w:eastAsia="Arial" w:hAnsi="Arial"/>
                <w:sz w:val="16"/>
                <w:szCs w:val="16"/>
                <w:b w:val="1"/>
                <w:bCs w:val="1"/>
                <w:color w:val="auto"/>
                <w:w w:val="93"/>
              </w:rPr>
              <w:t>Liabilities and Stockholders' Equity</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1,532</w:t>
            </w:r>
          </w:p>
        </w:tc>
        <w:tc>
          <w:tcPr>
            <w:tcW w:w="4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13,284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23,178</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8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Preferred stock, $0.0001 par value; 200,000,000 shares authorized; no shares issued and</w:t>
            </w:r>
          </w:p>
        </w:tc>
        <w:tc>
          <w:tcPr>
            <w:tcW w:w="240" w:type="dxa"/>
            <w:vAlign w:val="bottom"/>
            <w:shd w:val="clear" w:color="auto" w:fill="CFF0FC"/>
          </w:tcPr>
          <w:p>
            <w:pPr>
              <w:spacing w:after="0"/>
              <w:rPr>
                <w:sz w:val="13"/>
                <w:szCs w:val="13"/>
                <w:color w:val="auto"/>
              </w:rPr>
            </w:pPr>
          </w:p>
        </w:tc>
        <w:tc>
          <w:tcPr>
            <w:tcW w:w="216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3"/>
                <w:szCs w:val="13"/>
                <w:color w:val="auto"/>
              </w:rPr>
            </w:pPr>
          </w:p>
        </w:tc>
        <w:tc>
          <w:tcPr>
            <w:tcW w:w="1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outstanding at September 30, 2022 and December 31, 2021</w:t>
            </w:r>
          </w:p>
        </w:tc>
        <w:tc>
          <w:tcPr>
            <w:tcW w:w="240" w:type="dxa"/>
            <w:vAlign w:val="bottom"/>
            <w:shd w:val="clear" w:color="auto" w:fill="CFF0FC"/>
          </w:tcPr>
          <w:p>
            <w:pPr>
              <w:spacing w:after="0"/>
              <w:rPr>
                <w:sz w:val="18"/>
                <w:szCs w:val="18"/>
                <w:color w:val="auto"/>
              </w:rPr>
            </w:pPr>
          </w:p>
        </w:tc>
        <w:tc>
          <w:tcPr>
            <w:tcW w:w="21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860" w:type="dxa"/>
            <w:vAlign w:val="bottom"/>
          </w:tcPr>
          <w:p>
            <w:pPr>
              <w:ind w:left="200"/>
              <w:spacing w:after="0" w:line="152" w:lineRule="exact"/>
              <w:rPr>
                <w:sz w:val="20"/>
                <w:szCs w:val="20"/>
                <w:color w:val="auto"/>
              </w:rPr>
            </w:pPr>
            <w:r>
              <w:rPr>
                <w:rFonts w:ascii="Arial" w:cs="Arial" w:eastAsia="Arial" w:hAnsi="Arial"/>
                <w:sz w:val="16"/>
                <w:szCs w:val="16"/>
                <w:color w:val="auto"/>
              </w:rPr>
              <w:t>Common stock, $0.0001 par value; 1,000,000,000 shares authorized; 39,576,047 and</w:t>
            </w: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60" w:type="dxa"/>
            <w:vAlign w:val="bottom"/>
          </w:tcPr>
          <w:p>
            <w:pPr>
              <w:ind w:left="200"/>
              <w:spacing w:after="0" w:line="175" w:lineRule="exact"/>
              <w:rPr>
                <w:sz w:val="20"/>
                <w:szCs w:val="20"/>
                <w:color w:val="auto"/>
              </w:rPr>
            </w:pPr>
            <w:r>
              <w:rPr>
                <w:rFonts w:ascii="Arial" w:cs="Arial" w:eastAsia="Arial" w:hAnsi="Arial"/>
                <w:sz w:val="16"/>
                <w:szCs w:val="16"/>
                <w:color w:val="auto"/>
              </w:rPr>
              <w:t>39,430,120 shares issued and outstanding at September 30, 2022 and December 31, 2021,</w:t>
            </w:r>
          </w:p>
        </w:tc>
        <w:tc>
          <w:tcPr>
            <w:tcW w:w="2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86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529,945</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2160" w:type="dxa"/>
            <w:vAlign w:val="bottom"/>
            <w:gridSpan w:val="2"/>
          </w:tcPr>
          <w:p>
            <w:pPr>
              <w:jc w:val="right"/>
              <w:ind w:right="360"/>
              <w:spacing w:after="0"/>
              <w:rPr>
                <w:sz w:val="20"/>
                <w:szCs w:val="20"/>
                <w:color w:val="auto"/>
              </w:rPr>
            </w:pPr>
            <w:r>
              <w:rPr>
                <w:rFonts w:ascii="Arial" w:cs="Arial" w:eastAsia="Arial" w:hAnsi="Arial"/>
                <w:sz w:val="18"/>
                <w:szCs w:val="18"/>
                <w:color w:val="auto"/>
              </w:rPr>
              <w:t>(313,383 )</w:t>
            </w: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(245,108 )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(1,747 )</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9"/>
        </w:trPr>
        <w:tc>
          <w:tcPr>
            <w:tcW w:w="686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214,819</w:t>
            </w:r>
          </w:p>
        </w:tc>
        <w:tc>
          <w:tcPr>
            <w:tcW w:w="4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237,997</w:t>
            </w:r>
          </w:p>
        </w:tc>
        <w:tc>
          <w:tcPr>
            <w:tcW w:w="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-3899535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-3068320</wp:posOffset>
            </wp:positionV>
            <wp:extent cx="153416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160" cy="1543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-2253615</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-316230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200"/>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54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jc w:val="right"/>
              <w:ind w:right="97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2"/>
                <w:szCs w:val="22"/>
                <w:color w:val="auto"/>
              </w:rPr>
            </w:pPr>
          </w:p>
        </w:tc>
        <w:tc>
          <w:tcPr>
            <w:tcW w:w="254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rPr>
              <w:t>September 30,</w:t>
            </w:r>
          </w:p>
        </w:tc>
      </w:tr>
      <w:tr>
        <w:trPr>
          <w:trHeight w:val="216"/>
        </w:trPr>
        <w:tc>
          <w:tcPr>
            <w:tcW w:w="5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14,723</w:t>
            </w: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12,899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45,385</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40,113</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w:t>
            </w: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0"/>
        </w:trPr>
        <w:tc>
          <w:tcPr>
            <w:tcW w:w="5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25,694</w:t>
            </w:r>
          </w:p>
        </w:tc>
        <w:tc>
          <w:tcPr>
            <w:tcW w:w="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69,648</w:t>
            </w:r>
          </w:p>
        </w:tc>
        <w:tc>
          <w:tcPr>
            <w:tcW w:w="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auto"/>
              </w:rPr>
              <w:t>(25,694 )</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(18,456 )</w:t>
            </w:r>
          </w:p>
        </w:tc>
        <w:tc>
          <w:tcPr>
            <w:tcW w:w="180" w:type="dxa"/>
            <w:vAlign w:val="bottom"/>
          </w:tcPr>
          <w:p>
            <w:pPr>
              <w:spacing w:after="0"/>
              <w:rPr>
                <w:sz w:val="18"/>
                <w:szCs w:val="18"/>
                <w:color w:val="auto"/>
              </w:rPr>
            </w:pP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(69,648 )</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(56,066 )</w:t>
            </w:r>
          </w:p>
        </w:tc>
      </w:tr>
      <w:tr>
        <w:trPr>
          <w:trHeight w:val="216"/>
        </w:trPr>
        <w:tc>
          <w:tcPr>
            <w:tcW w:w="5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09"/>
        </w:trPr>
        <w:tc>
          <w:tcPr>
            <w:tcW w:w="5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auto"/>
              </w:rPr>
              <w:t>(24,829 )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(18,426 )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(68,275 )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(55,944 )</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8"/>
                <w:szCs w:val="18"/>
                <w:color w:val="auto"/>
              </w:rPr>
              <w:t>Unrealized (loss) gain on investments</w:t>
            </w:r>
          </w:p>
        </w:tc>
        <w:tc>
          <w:tcPr>
            <w:tcW w:w="200" w:type="dxa"/>
            <w:vAlign w:val="bottom"/>
          </w:tcPr>
          <w:p>
            <w:pPr>
              <w:spacing w:after="0"/>
              <w:rPr>
                <w:sz w:val="18"/>
                <w:szCs w:val="18"/>
                <w:color w:val="auto"/>
              </w:rPr>
            </w:pP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auto"/>
              </w:rPr>
              <w:t>(516 )</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18"/>
                <w:szCs w:val="18"/>
                <w:color w:val="auto"/>
              </w:rPr>
            </w:pP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(1,644 )</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4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(25,345</w:t>
            </w:r>
          </w:p>
        </w:tc>
        <w:tc>
          <w:tcPr>
            <w:tcW w:w="50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(69,919</w:t>
            </w:r>
          </w:p>
        </w:tc>
        <w:tc>
          <w:tcPr>
            <w:tcW w:w="48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56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rPr>
              <w:t>(0.63 )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(0.47 )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rPr>
              <w:t>(1.73 )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(1.49 )</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shares outstanding,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39,575,660</w:t>
            </w:r>
          </w:p>
        </w:tc>
        <w:tc>
          <w:tcPr>
            <w:tcW w:w="5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39,008,114</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39,496,864</w:t>
            </w:r>
          </w:p>
        </w:tc>
        <w:tc>
          <w:tcPr>
            <w:tcW w:w="4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37,471,740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-1782445</wp:posOffset>
            </wp:positionV>
            <wp:extent cx="7683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-1782445</wp:posOffset>
            </wp:positionV>
            <wp:extent cx="7747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-1782445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-942340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-942340</wp:posOffset>
            </wp:positionV>
            <wp:extent cx="77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-942340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-350520</wp:posOffset>
            </wp:positionV>
            <wp:extent cx="291465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4650" cy="1885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29146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0" cy="17145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200"/>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STATEMENTS OF STOCKHOLDERS’ EQUITY</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21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35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2100" w:type="dxa"/>
            <w:vAlign w:val="bottom"/>
            <w:tcBorders>
              <w:bottom w:val="single" w:sz="8" w:color="auto"/>
            </w:tcBorders>
            <w:gridSpan w:val="7"/>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4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39,430,120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518,183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(245,108</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60" w:type="dxa"/>
            <w:vAlign w:val="bottom"/>
            <w:tcBorders>
              <w:right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8,482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3,945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4"/>
                <w:szCs w:val="14"/>
                <w:color w:val="auto"/>
              </w:rPr>
              <w:t>(699 )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(699 )</w:t>
            </w:r>
          </w:p>
        </w:tc>
        <w:tc>
          <w:tcPr>
            <w:tcW w:w="0" w:type="dxa"/>
            <w:vAlign w:val="bottom"/>
          </w:tcPr>
          <w:p>
            <w:pPr>
              <w:spacing w:after="0"/>
              <w:rPr>
                <w:sz w:val="1"/>
                <w:szCs w:val="1"/>
                <w:color w:val="auto"/>
              </w:rPr>
            </w:pPr>
          </w:p>
        </w:tc>
      </w:tr>
      <w:tr>
        <w:trPr>
          <w:trHeight w:val="176"/>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8"/>
              <w:spacing w:after="0"/>
              <w:rPr>
                <w:sz w:val="20"/>
                <w:szCs w:val="20"/>
                <w:color w:val="auto"/>
              </w:rPr>
            </w:pPr>
            <w:r>
              <w:rPr>
                <w:rFonts w:ascii="Arial" w:cs="Arial" w:eastAsia="Arial" w:hAnsi="Arial"/>
                <w:sz w:val="14"/>
                <w:szCs w:val="14"/>
                <w:color w:val="auto"/>
              </w:rPr>
              <w:t>(23,159 )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(23,159 )</w:t>
            </w:r>
          </w:p>
        </w:tc>
        <w:tc>
          <w:tcPr>
            <w:tcW w:w="0" w:type="dxa"/>
            <w:vAlign w:val="bottom"/>
          </w:tcPr>
          <w:p>
            <w:pPr>
              <w:spacing w:after="0"/>
              <w:rPr>
                <w:sz w:val="1"/>
                <w:szCs w:val="1"/>
                <w:color w:val="auto"/>
              </w:rPr>
            </w:pPr>
          </w:p>
        </w:tc>
      </w:tr>
      <w:tr>
        <w:trPr>
          <w:trHeight w:val="20"/>
        </w:trPr>
        <w:tc>
          <w:tcPr>
            <w:tcW w:w="340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39,438,602</w:t>
            </w:r>
          </w:p>
        </w:tc>
        <w:tc>
          <w:tcPr>
            <w:tcW w:w="30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8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522,144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28"/>
              <w:spacing w:after="0"/>
              <w:rPr>
                <w:sz w:val="20"/>
                <w:szCs w:val="20"/>
                <w:color w:val="auto"/>
              </w:rPr>
            </w:pPr>
            <w:r>
              <w:rPr>
                <w:rFonts w:ascii="Arial" w:cs="Arial" w:eastAsia="Arial" w:hAnsi="Arial"/>
                <w:sz w:val="14"/>
                <w:szCs w:val="14"/>
                <w:color w:val="auto"/>
              </w:rPr>
              <w:t>(268,267 )</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79"/>
              <w:spacing w:after="0"/>
              <w:rPr>
                <w:sz w:val="20"/>
                <w:szCs w:val="20"/>
                <w:color w:val="auto"/>
              </w:rPr>
            </w:pPr>
            <w:r>
              <w:rPr>
                <w:rFonts w:ascii="Arial" w:cs="Arial" w:eastAsia="Arial" w:hAnsi="Arial"/>
                <w:sz w:val="14"/>
                <w:szCs w:val="14"/>
                <w:color w:val="auto"/>
              </w:rPr>
              <w:t>(802 )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tcBorders>
              <w:right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Exercise of common stock options</w:t>
            </w:r>
          </w:p>
        </w:tc>
        <w:tc>
          <w:tcPr>
            <w:tcW w:w="8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38,407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61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0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 the Employee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Stock Purchase Plan</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98,445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354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4,092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4"/>
                <w:szCs w:val="14"/>
                <w:color w:val="auto"/>
              </w:rPr>
              <w:t>(429 )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(429 )</w:t>
            </w: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8"/>
              <w:spacing w:after="0"/>
              <w:rPr>
                <w:sz w:val="20"/>
                <w:szCs w:val="20"/>
                <w:color w:val="auto"/>
              </w:rPr>
            </w:pPr>
            <w:r>
              <w:rPr>
                <w:rFonts w:ascii="Arial" w:cs="Arial" w:eastAsia="Arial" w:hAnsi="Arial"/>
                <w:sz w:val="14"/>
                <w:szCs w:val="14"/>
                <w:color w:val="auto"/>
              </w:rPr>
              <w:t>(20,287 )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(20,287 )</w:t>
            </w:r>
          </w:p>
        </w:tc>
        <w:tc>
          <w:tcPr>
            <w:tcW w:w="0" w:type="dxa"/>
            <w:vAlign w:val="bottom"/>
          </w:tcPr>
          <w:p>
            <w:pPr>
              <w:spacing w:after="0"/>
              <w:rPr>
                <w:sz w:val="1"/>
                <w:szCs w:val="1"/>
                <w:color w:val="auto"/>
              </w:rPr>
            </w:pPr>
          </w:p>
        </w:tc>
      </w:tr>
      <w:tr>
        <w:trPr>
          <w:trHeight w:val="20"/>
        </w:trPr>
        <w:tc>
          <w:tcPr>
            <w:tcW w:w="340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39,575,454</w:t>
            </w:r>
          </w:p>
        </w:tc>
        <w:tc>
          <w:tcPr>
            <w:tcW w:w="30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8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526,651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28"/>
              <w:spacing w:after="0"/>
              <w:rPr>
                <w:sz w:val="20"/>
                <w:szCs w:val="20"/>
                <w:color w:val="auto"/>
              </w:rPr>
            </w:pPr>
            <w:r>
              <w:rPr>
                <w:rFonts w:ascii="Arial" w:cs="Arial" w:eastAsia="Arial" w:hAnsi="Arial"/>
                <w:sz w:val="14"/>
                <w:szCs w:val="14"/>
                <w:color w:val="auto"/>
              </w:rPr>
              <w:t>(288,554 )</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79"/>
              <w:spacing w:after="0"/>
              <w:rPr>
                <w:sz w:val="20"/>
                <w:szCs w:val="20"/>
                <w:color w:val="auto"/>
              </w:rPr>
            </w:pPr>
            <w:r>
              <w:rPr>
                <w:rFonts w:ascii="Arial" w:cs="Arial" w:eastAsia="Arial" w:hAnsi="Arial"/>
                <w:sz w:val="14"/>
                <w:szCs w:val="14"/>
                <w:color w:val="auto"/>
              </w:rPr>
              <w:t>(1,231 )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236,870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tcBorders>
              <w:right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Exercise of common stock options</w:t>
            </w:r>
          </w:p>
        </w:tc>
        <w:tc>
          <w:tcPr>
            <w:tcW w:w="8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593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3,293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(516 )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(516 )</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28"/>
              <w:spacing w:after="0"/>
              <w:rPr>
                <w:sz w:val="20"/>
                <w:szCs w:val="20"/>
                <w:color w:val="auto"/>
              </w:rPr>
            </w:pPr>
            <w:r>
              <w:rPr>
                <w:rFonts w:ascii="Arial" w:cs="Arial" w:eastAsia="Arial" w:hAnsi="Arial"/>
                <w:sz w:val="14"/>
                <w:szCs w:val="14"/>
                <w:color w:val="auto"/>
              </w:rPr>
              <w:t>(24,829 )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(24,829 )</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39,576,047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529,945</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(313,383</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(1,747</w:t>
            </w:r>
          </w:p>
        </w:tc>
        <w:tc>
          <w:tcPr>
            <w:tcW w:w="260" w:type="dxa"/>
            <w:vAlign w:val="bottom"/>
            <w:tcBorders>
              <w:bottom w:val="single" w:sz="8" w:color="CFF0FC"/>
              <w:right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214,819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00" w:type="dxa"/>
            <w:vAlign w:val="bottom"/>
          </w:tcPr>
          <w:p>
            <w:pPr>
              <w:spacing w:after="0"/>
              <w:rPr>
                <w:sz w:val="24"/>
                <w:szCs w:val="24"/>
                <w:color w:val="auto"/>
              </w:rPr>
            </w:pPr>
          </w:p>
        </w:tc>
        <w:tc>
          <w:tcPr>
            <w:tcW w:w="210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w w:val="95"/>
              </w:rPr>
              <w:t>Accumulated</w:t>
            </w: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10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8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7"/>
        </w:trPr>
        <w:tc>
          <w:tcPr>
            <w:tcW w:w="3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36,672,41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456,196</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(166,393 )</w:t>
            </w:r>
          </w:p>
        </w:tc>
        <w:tc>
          <w:tcPr>
            <w:tcW w:w="1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59"/>
              <w:spacing w:after="0"/>
              <w:rPr>
                <w:sz w:val="20"/>
                <w:szCs w:val="20"/>
                <w:color w:val="auto"/>
              </w:rPr>
            </w:pPr>
            <w:r>
              <w:rPr>
                <w:rFonts w:ascii="Arial" w:cs="Arial" w:eastAsia="Arial" w:hAnsi="Arial"/>
                <w:sz w:val="14"/>
                <w:szCs w:val="14"/>
                <w:color w:val="auto"/>
              </w:rPr>
              <w:t>(31 )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289,776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Exercise of common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18,411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Unrealized gain on investments</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(16,509 )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(16,509 )</w:t>
            </w:r>
          </w:p>
        </w:tc>
        <w:tc>
          <w:tcPr>
            <w:tcW w:w="0" w:type="dxa"/>
            <w:vAlign w:val="bottom"/>
          </w:tcPr>
          <w:p>
            <w:pPr>
              <w:spacing w:after="0"/>
              <w:rPr>
                <w:sz w:val="1"/>
                <w:szCs w:val="1"/>
                <w:color w:val="auto"/>
              </w:rPr>
            </w:pPr>
          </w:p>
        </w:tc>
      </w:tr>
      <w:tr>
        <w:trPr>
          <w:trHeight w:val="137"/>
        </w:trPr>
        <w:tc>
          <w:tcPr>
            <w:tcW w:w="3400" w:type="dxa"/>
            <w:vAlign w:val="bottom"/>
            <w:tcBorders>
              <w:right w:val="single" w:sz="8" w:color="CFF0FC"/>
            </w:tcBorders>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Balance at March 31, 2021</w:t>
            </w:r>
          </w:p>
        </w:tc>
        <w:tc>
          <w:tcPr>
            <w:tcW w:w="7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36,690,82</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right w:val="single" w:sz="8" w:color="CFF0FC"/>
            </w:tcBorders>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400" w:type="dxa"/>
            <w:vAlign w:val="bottom"/>
            <w:tcBorders>
              <w:righ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458,956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(182,902 )</w:t>
            </w:r>
          </w:p>
        </w:tc>
        <w:tc>
          <w:tcPr>
            <w:tcW w:w="1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0" w:type="dxa"/>
            <w:vAlign w:val="bottom"/>
            <w:tcBorders>
              <w:top w:val="single" w:sz="8" w:color="CFF0FC"/>
            </w:tcBorders>
          </w:tcPr>
          <w:p>
            <w:pPr>
              <w:ind w:left="200"/>
              <w:spacing w:after="0" w:line="156" w:lineRule="exact"/>
              <w:rPr>
                <w:sz w:val="20"/>
                <w:szCs w:val="20"/>
                <w:color w:val="auto"/>
              </w:rPr>
            </w:pPr>
            <w:r>
              <w:rPr>
                <w:rFonts w:ascii="Arial" w:cs="Arial" w:eastAsia="Arial" w:hAnsi="Arial"/>
                <w:sz w:val="14"/>
                <w:szCs w:val="14"/>
                <w:color w:val="auto"/>
              </w:rPr>
              <w:t>Exercise of common stock options</w:t>
            </w: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24,786</w:t>
            </w:r>
          </w:p>
        </w:tc>
        <w:tc>
          <w:tcPr>
            <w:tcW w:w="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58</w:t>
            </w: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gridSpan w:val="2"/>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58</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159"/>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(21,009 )</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(21,009 )</w:t>
            </w:r>
          </w:p>
        </w:tc>
        <w:tc>
          <w:tcPr>
            <w:tcW w:w="0" w:type="dxa"/>
            <w:vAlign w:val="bottom"/>
          </w:tcPr>
          <w:p>
            <w:pPr>
              <w:spacing w:after="0"/>
              <w:rPr>
                <w:sz w:val="1"/>
                <w:szCs w:val="1"/>
                <w:color w:val="auto"/>
              </w:rPr>
            </w:pPr>
          </w:p>
        </w:tc>
      </w:tr>
      <w:tr>
        <w:trPr>
          <w:trHeight w:val="137"/>
        </w:trPr>
        <w:tc>
          <w:tcPr>
            <w:tcW w:w="340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b w:val="1"/>
                <w:bCs w:val="1"/>
                <w:color w:val="auto"/>
              </w:rPr>
              <w:t>Balance at June 30, 2021</w:t>
            </w:r>
          </w:p>
        </w:tc>
        <w:tc>
          <w:tcPr>
            <w:tcW w:w="7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36,715,61</w:t>
            </w: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462,227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(203,911 )</w:t>
            </w:r>
          </w:p>
        </w:tc>
        <w:tc>
          <w:tcPr>
            <w:tcW w:w="1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258,323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tcBorders>
              <w:right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Issuance of common stock</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2,597,402</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00" w:type="dxa"/>
            <w:vAlign w:val="bottom"/>
          </w:tcPr>
          <w:p>
            <w:pPr>
              <w:ind w:left="200"/>
              <w:spacing w:after="0" w:line="143" w:lineRule="exact"/>
              <w:rPr>
                <w:sz w:val="20"/>
                <w:szCs w:val="20"/>
                <w:color w:val="auto"/>
              </w:rPr>
            </w:pPr>
            <w:r>
              <w:rPr>
                <w:rFonts w:ascii="Arial" w:cs="Arial" w:eastAsia="Arial" w:hAnsi="Arial"/>
                <w:sz w:val="14"/>
                <w:szCs w:val="14"/>
                <w:color w:val="auto"/>
              </w:rPr>
              <w:t>Issuance costs associated with offering of common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stock</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(1,852 )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(1,852 )</w:t>
            </w:r>
          </w:p>
        </w:tc>
        <w:tc>
          <w:tcPr>
            <w:tcW w:w="0" w:type="dxa"/>
            <w:vAlign w:val="bottom"/>
          </w:tcPr>
          <w:p>
            <w:pPr>
              <w:spacing w:after="0"/>
              <w:rPr>
                <w:sz w:val="1"/>
                <w:szCs w:val="1"/>
                <w:color w:val="auto"/>
              </w:rPr>
            </w:pPr>
          </w:p>
        </w:tc>
      </w:tr>
      <w:tr>
        <w:trPr>
          <w:trHeight w:val="176"/>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Exercise of common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(18,426 )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(18,426 )</w:t>
            </w:r>
          </w:p>
        </w:tc>
        <w:tc>
          <w:tcPr>
            <w:tcW w:w="0" w:type="dxa"/>
            <w:vAlign w:val="bottom"/>
          </w:tcPr>
          <w:p>
            <w:pPr>
              <w:spacing w:after="0"/>
              <w:rPr>
                <w:sz w:val="1"/>
                <w:szCs w:val="1"/>
                <w:color w:val="auto"/>
              </w:rPr>
            </w:pPr>
          </w:p>
        </w:tc>
      </w:tr>
      <w:tr>
        <w:trPr>
          <w:trHeight w:val="137"/>
        </w:trPr>
        <w:tc>
          <w:tcPr>
            <w:tcW w:w="3400" w:type="dxa"/>
            <w:vAlign w:val="bottom"/>
            <w:tcBorders>
              <w:right w:val="single" w:sz="8" w:color="CFF0FC"/>
            </w:tcBorders>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Balance at September 30, 2021</w:t>
            </w:r>
          </w:p>
        </w:tc>
        <w:tc>
          <w:tcPr>
            <w:tcW w:w="76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39,331,58</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right w:val="single" w:sz="8" w:color="CFF0FC"/>
            </w:tcBorders>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4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513,871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(222,337 )</w:t>
            </w:r>
          </w:p>
        </w:tc>
        <w:tc>
          <w:tcPr>
            <w:tcW w:w="1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-4568190</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-4568190</wp:posOffset>
            </wp:positionV>
            <wp:extent cx="7747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-4568190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-4568190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-4568190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-3771265</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-3771265</wp:posOffset>
            </wp:positionV>
            <wp:extent cx="7747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-3771265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-3771265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-3771265</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-3059430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-3042285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-3059430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-3042285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-3059430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-3042285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-3059430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-3042285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-3059430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-3042285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-1713865</wp:posOffset>
            </wp:positionV>
            <wp:extent cx="450024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00245"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-1242695</wp:posOffset>
            </wp:positionV>
            <wp:extent cx="7747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-1242695</wp:posOffset>
            </wp:positionV>
            <wp:extent cx="7747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-1242695</wp:posOffset>
            </wp:positionV>
            <wp:extent cx="685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-1242695</wp:posOffset>
            </wp:positionV>
            <wp:extent cx="6858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-1242695</wp:posOffset>
            </wp:positionV>
            <wp:extent cx="6858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(68,275 )</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(55,944 )</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Loss on fixed asset disposals</w:t>
            </w:r>
          </w:p>
        </w:tc>
        <w:tc>
          <w:tcPr>
            <w:tcW w:w="36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discount) amortization of premium on investments, net</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other liabilities</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(2,919 )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(1,791 )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(550 )</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(206,492 )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(32,866 )</w:t>
            </w:r>
          </w:p>
        </w:tc>
      </w:tr>
      <w:tr>
        <w:trPr>
          <w:trHeight w:val="216"/>
        </w:trPr>
        <w:tc>
          <w:tcPr>
            <w:tcW w:w="7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70,735</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191,500</w:t>
            </w:r>
          </w:p>
        </w:tc>
        <w:tc>
          <w:tcPr>
            <w:tcW w:w="100" w:type="dxa"/>
            <w:vAlign w:val="bottom"/>
            <w:tcBorders>
              <w:bottom w:val="single" w:sz="8" w:color="CFF0FC"/>
            </w:tcBorders>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costs associated with financings</w:t>
            </w:r>
          </w:p>
        </w:tc>
        <w:tc>
          <w:tcPr>
            <w:tcW w:w="3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(1,852 )</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under the Employee Stock Purchase Plan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48,321</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(196,930 )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163,148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-2545080</wp:posOffset>
            </wp:positionV>
            <wp:extent cx="685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-1863725</wp:posOffset>
            </wp:positionV>
            <wp:extent cx="7145020" cy="304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-873760</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00" w:firstLine="749"/>
        <w:spacing w:after="0" w:line="250" w:lineRule="auto"/>
        <w:rPr>
          <w:sz w:val="20"/>
          <w:szCs w:val="20"/>
          <w:color w:val="auto"/>
        </w:rPr>
      </w:pPr>
      <w:r>
        <w:rPr>
          <w:rFonts w:ascii="Arial" w:cs="Arial" w:eastAsia="Arial" w:hAnsi="Arial"/>
          <w:sz w:val="18"/>
          <w:szCs w:val="18"/>
          <w:color w:val="auto"/>
        </w:rPr>
        <w:t>The following table provides a reconciliation of cash, cash equivalents and restricted cash within the balance sheets to the amounts shown in the statements of cash flows above,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29,076</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241,126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29,544</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8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08" w:lineRule="exact"/>
        <w:rPr>
          <w:sz w:val="20"/>
          <w:szCs w:val="20"/>
          <w:color w:val="auto"/>
        </w:rPr>
      </w:pPr>
    </w:p>
    <w:p>
      <w:pPr>
        <w:jc w:val="both"/>
        <w:ind w:right="300" w:firstLine="749"/>
        <w:spacing w:after="0" w:line="278"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0"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77" w:lineRule="exact"/>
        <w:rPr>
          <w:sz w:val="20"/>
          <w:szCs w:val="20"/>
          <w:color w:val="auto"/>
        </w:rPr>
      </w:pPr>
    </w:p>
    <w:p>
      <w:pPr>
        <w:ind w:right="480" w:firstLine="749"/>
        <w:spacing w:after="0" w:line="261" w:lineRule="auto"/>
        <w:rPr>
          <w:sz w:val="20"/>
          <w:szCs w:val="20"/>
          <w:color w:val="auto"/>
        </w:rPr>
      </w:pPr>
      <w:r>
        <w:rPr>
          <w:rFonts w:ascii="Arial" w:cs="Arial" w:eastAsia="Arial" w:hAnsi="Arial"/>
          <w:sz w:val="18"/>
          <w:szCs w:val="18"/>
          <w:color w:val="auto"/>
        </w:rPr>
        <w:t>As of September 30, 2022, the Company had an accumulated deficit of $313.4 million. Through September 30, 2022, all of the Company’s financial support has been provided by proceeds from the issuance of common stock and convertible preferred stock.</w:t>
      </w:r>
    </w:p>
    <w:p>
      <w:pPr>
        <w:spacing w:after="0" w:line="76"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04" w:lineRule="exact"/>
        <w:rPr>
          <w:sz w:val="20"/>
          <w:szCs w:val="20"/>
          <w:color w:val="auto"/>
        </w:rPr>
      </w:pPr>
    </w:p>
    <w:p>
      <w:pPr>
        <w:ind w:right="200" w:firstLine="749"/>
        <w:spacing w:after="0" w:line="279" w:lineRule="auto"/>
        <w:rPr>
          <w:sz w:val="20"/>
          <w:szCs w:val="20"/>
          <w:color w:val="auto"/>
        </w:rPr>
      </w:pPr>
      <w:r>
        <w:rPr>
          <w:rFonts w:ascii="Arial" w:cs="Arial" w:eastAsia="Arial" w:hAnsi="Arial"/>
          <w:sz w:val="16"/>
          <w:szCs w:val="16"/>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63" w:lineRule="exact"/>
        <w:rPr>
          <w:sz w:val="20"/>
          <w:szCs w:val="20"/>
          <w:color w:val="auto"/>
        </w:rPr>
      </w:pPr>
    </w:p>
    <w:p>
      <w:pPr>
        <w:ind w:left="760" w:right="5680" w:hanging="752"/>
        <w:spacing w:after="0" w:line="362" w:lineRule="auto"/>
        <w:tabs>
          <w:tab w:leader="none" w:pos="19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spacing w:after="0" w:line="65"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the related notes thereto for the year ended December 31, 2021, which are included in the Company’s Annual Report on Form 10-K filed with the SEC. Furthermore, the Company’s significant accounting policies are disclosed in the audited financial statements for the periods ended December 31, 2021 and 2020, included in the Company’s Annual Report on Form 10-K. Since the date of those financial statements, there have been no changes to its significant accounting policies, except as noted below.</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80" w:firstLine="749"/>
        <w:spacing w:after="0" w:line="256" w:lineRule="auto"/>
        <w:rPr>
          <w:sz w:val="20"/>
          <w:szCs w:val="20"/>
          <w:color w:val="auto"/>
        </w:rPr>
      </w:pPr>
      <w:r>
        <w:rPr>
          <w:rFonts w:ascii="Arial" w:cs="Arial" w:eastAsia="Arial" w:hAnsi="Arial"/>
          <w:sz w:val="18"/>
          <w:szCs w:val="18"/>
          <w:color w:val="auto"/>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The Company recognizes forfeitures as they occur.</w:t>
      </w:r>
    </w:p>
    <w:p>
      <w:pPr>
        <w:spacing w:after="0" w:line="67" w:lineRule="exact"/>
        <w:rPr>
          <w:sz w:val="20"/>
          <w:szCs w:val="20"/>
          <w:color w:val="auto"/>
        </w:rPr>
      </w:pPr>
    </w:p>
    <w:p>
      <w:pPr>
        <w:ind w:right="100" w:firstLine="749"/>
        <w:spacing w:after="0" w:line="256" w:lineRule="auto"/>
        <w:rPr>
          <w:sz w:val="20"/>
          <w:szCs w:val="20"/>
          <w:color w:val="auto"/>
        </w:rPr>
      </w:pPr>
      <w:r>
        <w:rPr>
          <w:rFonts w:ascii="Arial" w:cs="Arial" w:eastAsia="Arial" w:hAnsi="Arial"/>
          <w:sz w:val="18"/>
          <w:szCs w:val="18"/>
          <w:color w:val="auto"/>
        </w:rPr>
        <w:t>The fair value of stock options is estimated using a Black-Scholes-Merton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line="246" w:lineRule="auto"/>
        <w:rPr>
          <w:sz w:val="20"/>
          <w:szCs w:val="20"/>
          <w:color w:val="auto"/>
        </w:rPr>
      </w:pPr>
      <w:r>
        <w:rPr>
          <w:rFonts w:ascii="Arial" w:cs="Arial" w:eastAsia="Arial" w:hAnsi="Arial"/>
          <w:sz w:val="18"/>
          <w:szCs w:val="18"/>
          <w:color w:val="auto"/>
        </w:rPr>
        <w:t>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 and generally vest over a four-year period.</w:t>
      </w:r>
    </w:p>
    <w:p>
      <w:pPr>
        <w:spacing w:after="0" w:line="7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The fair value of restricted stock units is equal to the closing price of the Company's stock on the date of grant. Restricted stock units generally vest over a three-year period.</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800" w:firstLine="749"/>
        <w:spacing w:after="0" w:line="261" w:lineRule="auto"/>
        <w:rPr>
          <w:sz w:val="20"/>
          <w:szCs w:val="20"/>
          <w:color w:val="auto"/>
        </w:rPr>
      </w:pPr>
      <w:r>
        <w:rPr>
          <w:rFonts w:ascii="Arial" w:cs="Arial" w:eastAsia="Arial" w:hAnsi="Arial"/>
          <w:sz w:val="18"/>
          <w:szCs w:val="18"/>
          <w:color w:val="auto"/>
        </w:rPr>
        <w:t>There are no recently issued accounting pronouncements that would materially impact the Company’s financial statements and related disclosures.</w:t>
      </w:r>
    </w:p>
    <w:p>
      <w:pPr>
        <w:spacing w:after="0" w:line="7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October 19, 2020, the Company entered into a license and collaboration agreement (Voronoi License Agreement) with Voronoi Inc.</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87"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79" w:lineRule="exact"/>
        <w:rPr>
          <w:sz w:val="20"/>
          <w:szCs w:val="20"/>
          <w:color w:val="auto"/>
        </w:rPr>
      </w:pPr>
    </w:p>
    <w:p>
      <w:pPr>
        <w:ind w:firstLine="749"/>
        <w:spacing w:after="0" w:line="260" w:lineRule="auto"/>
        <w:rPr>
          <w:sz w:val="20"/>
          <w:szCs w:val="20"/>
          <w:color w:val="auto"/>
        </w:rPr>
      </w:pPr>
      <w:r>
        <w:rPr>
          <w:rFonts w:ascii="Arial" w:cs="Arial" w:eastAsia="Arial" w:hAnsi="Arial"/>
          <w:sz w:val="17"/>
          <w:szCs w:val="17"/>
          <w:color w:val="auto"/>
        </w:rPr>
        <w:t>Under the Voronoi License Agreement, Voronoi was responsible for certain research and development costs up to a predetermined threshold. Upon achievement of the predetermined threshold during the quarter ended June 30,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 During the quarter ended September 30, 2022, the Company made a development milestone payment to Voronoi in the amount of $5.0 million, which was recorded in acquired in-process research and development expense.</w:t>
      </w:r>
    </w:p>
    <w:p>
      <w:pPr>
        <w:spacing w:after="0" w:line="65"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65" w:lineRule="exact"/>
        <w:rPr>
          <w:sz w:val="20"/>
          <w:szCs w:val="20"/>
          <w:color w:val="auto"/>
        </w:rPr>
      </w:pPr>
    </w:p>
    <w:p>
      <w:pPr>
        <w:ind w:right="160" w:firstLine="749"/>
        <w:spacing w:after="0" w:line="256"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60" w:firstLine="749"/>
        <w:spacing w:after="0" w:line="260"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79" w:lineRule="exact"/>
        <w:rPr>
          <w:sz w:val="20"/>
          <w:szCs w:val="20"/>
          <w:color w:val="auto"/>
        </w:rPr>
      </w:pPr>
    </w:p>
    <w:p>
      <w:pPr>
        <w:ind w:right="140" w:firstLine="749"/>
        <w:spacing w:after="0" w:line="258" w:lineRule="auto"/>
        <w:rPr>
          <w:sz w:val="20"/>
          <w:szCs w:val="20"/>
          <w:color w:val="auto"/>
        </w:rPr>
      </w:pPr>
      <w:r>
        <w:rPr>
          <w:rFonts w:ascii="Arial" w:cs="Arial" w:eastAsia="Arial" w:hAnsi="Arial"/>
          <w:sz w:val="17"/>
          <w:szCs w:val="17"/>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8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7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September 30, 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2021</w:t>
            </w:r>
          </w:p>
        </w:tc>
        <w:tc>
          <w:tcPr>
            <w:tcW w:w="1120" w:type="dxa"/>
            <w:vAlign w:val="bottom"/>
          </w:tcPr>
          <w:p>
            <w:pPr>
              <w:spacing w:after="0"/>
              <w:rPr>
                <w:sz w:val="16"/>
                <w:szCs w:val="16"/>
                <w:color w:val="auto"/>
              </w:rPr>
            </w:pPr>
          </w:p>
        </w:tc>
      </w:tr>
      <w:tr>
        <w:trPr>
          <w:trHeight w:val="209"/>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 equipment</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6,092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gross</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8,684</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90"/>
              <w:spacing w:after="0"/>
              <w:rPr>
                <w:sz w:val="20"/>
                <w:szCs w:val="20"/>
                <w:color w:val="auto"/>
              </w:rPr>
            </w:pPr>
            <w:r>
              <w:rPr>
                <w:rFonts w:ascii="Arial" w:cs="Arial" w:eastAsia="Arial" w:hAnsi="Arial"/>
                <w:sz w:val="18"/>
                <w:szCs w:val="18"/>
                <w:color w:val="auto"/>
              </w:rPr>
              <w:t>(5,635 )</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(4,989 )</w:t>
            </w:r>
          </w:p>
        </w:tc>
        <w:tc>
          <w:tcPr>
            <w:tcW w:w="112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5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3,049</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66"/>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5. Accrued Liabilities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5160" w:type="dxa"/>
            <w:vAlign w:val="bottom"/>
            <w:gridSpan w:val="3"/>
          </w:tcPr>
          <w:p>
            <w:pPr>
              <w:ind w:left="580"/>
              <w:spacing w:after="0"/>
              <w:rPr>
                <w:sz w:val="20"/>
                <w:szCs w:val="20"/>
                <w:color w:val="auto"/>
              </w:rPr>
            </w:pPr>
            <w:r>
              <w:rPr>
                <w:rFonts w:ascii="Arial" w:cs="Arial" w:eastAsia="Arial" w:hAnsi="Arial"/>
                <w:sz w:val="18"/>
                <w:szCs w:val="18"/>
                <w:color w:val="auto"/>
                <w:w w:val="97"/>
              </w:rPr>
              <w:t>Accrued liabilities consisted of the following (in thousands):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0"/>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2021</w:t>
            </w:r>
          </w:p>
        </w:tc>
        <w:tc>
          <w:tcPr>
            <w:tcW w:w="112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and manufacturing costs</w:t>
            </w:r>
          </w:p>
        </w:tc>
        <w:tc>
          <w:tcPr>
            <w:tcW w:w="5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liabilities - short-term</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accruals</w:t>
            </w:r>
          </w:p>
        </w:tc>
        <w:tc>
          <w:tcPr>
            <w:tcW w:w="5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accrued liabilities</w:t>
            </w:r>
          </w:p>
        </w:tc>
        <w:tc>
          <w:tcPr>
            <w:tcW w:w="5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2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-2125345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-2108200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-2125345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-513715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-496570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-659130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available-for-sale investments consisted of the following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Estimated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61"/>
              <w:spacing w:after="0" w:line="158"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3"/>
                <w:szCs w:val="13"/>
                <w:color w:val="auto"/>
              </w:rPr>
            </w:pPr>
          </w:p>
        </w:tc>
        <w:tc>
          <w:tcPr>
            <w:tcW w:w="90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4"/>
            <w:shd w:val="clear" w:color="auto" w:fill="CFF0FC"/>
          </w:tcPr>
          <w:p>
            <w:pPr>
              <w:spacing w:after="0" w:line="156" w:lineRule="exact"/>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161,588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(1,386 )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agency bonds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166,010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shd w:val="clear" w:color="auto" w:fill="CFF0FC"/>
          </w:tcPr>
          <w:p>
            <w:pPr>
              <w:spacing w:after="0" w:line="176" w:lineRule="exact"/>
              <w:rPr>
                <w:sz w:val="20"/>
                <w:szCs w:val="20"/>
                <w:color w:val="auto"/>
              </w:rPr>
            </w:pPr>
            <w:r>
              <w:rPr>
                <w:rFonts w:ascii="Arial" w:cs="Arial" w:eastAsia="Arial" w:hAnsi="Arial"/>
                <w:sz w:val="18"/>
                <w:szCs w:val="18"/>
                <w:color w:val="auto"/>
                <w:w w:val="92"/>
              </w:rPr>
              <w:t>Long-term</w:t>
            </w:r>
          </w:p>
        </w:tc>
        <w:tc>
          <w:tcPr>
            <w:tcW w:w="3000" w:type="dxa"/>
            <w:vAlign w:val="bottom"/>
            <w:tcBorders>
              <w:bottom w:val="single" w:sz="8" w:color="CFF0FC"/>
            </w:tcBorders>
            <w:gridSpan w:val="3"/>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21,395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(296 )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agency bonds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80" w:type="dxa"/>
            <w:vAlign w:val="bottom"/>
            <w:gridSpan w:val="4"/>
            <w:shd w:val="clear" w:color="auto" w:fill="CFF0FC"/>
          </w:tcPr>
          <w:p>
            <w:pPr>
              <w:spacing w:after="0" w:line="176" w:lineRule="exact"/>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4"/>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10,975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80" w:type="dxa"/>
            <w:vAlign w:val="bottom"/>
            <w:gridSpan w:val="4"/>
          </w:tcPr>
          <w:p>
            <w:pPr>
              <w:spacing w:after="0" w:line="176" w:lineRule="exact"/>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42,517</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(98 )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-2459355</wp:posOffset>
            </wp:positionV>
            <wp:extent cx="261429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4295" cy="1631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-1602105</wp:posOffset>
            </wp:positionV>
            <wp:extent cx="2614295"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14295" cy="3003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-890905</wp:posOffset>
            </wp:positionV>
            <wp:extent cx="5969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-890905</wp:posOffset>
            </wp:positionV>
            <wp:extent cx="603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514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The Company has determined that there were no material declines in fair value of its investments due to credit-related factors as of September 30, 2022 and December 31, 2021. Credit loss is limited due to the nature of the investments.</w:t>
      </w:r>
    </w:p>
    <w:p>
      <w:pPr>
        <w:spacing w:after="0" w:line="5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15"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8"/>
              </w:rPr>
              <w:t>Fair Value Measurements</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89"/>
        </w:trPr>
        <w:tc>
          <w:tcPr>
            <w:tcW w:w="152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89"/>
              </w:rPr>
              <w:t>September 30, 2022</w:t>
            </w:r>
          </w:p>
        </w:tc>
        <w:tc>
          <w:tcPr>
            <w:tcW w:w="1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r>
      <w:tr>
        <w:trPr>
          <w:trHeight w:val="216"/>
        </w:trPr>
        <w:tc>
          <w:tcPr>
            <w:tcW w:w="3440" w:type="dxa"/>
            <w:vAlign w:val="bottom"/>
            <w:gridSpan w:val="3"/>
          </w:tcPr>
          <w:p>
            <w:pPr>
              <w:ind w:left="180"/>
              <w:spacing w:after="0" w:line="216"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29,076</w:t>
            </w:r>
          </w:p>
        </w:tc>
        <w:tc>
          <w:tcPr>
            <w:tcW w:w="80" w:type="dxa"/>
            <w:vAlign w:val="bottom"/>
          </w:tcPr>
          <w:p>
            <w:pPr>
              <w:spacing w:after="0"/>
              <w:rPr>
                <w:sz w:val="18"/>
                <w:szCs w:val="18"/>
                <w:color w:val="auto"/>
              </w:rPr>
            </w:pPr>
          </w:p>
        </w:tc>
      </w:tr>
      <w:tr>
        <w:trPr>
          <w:trHeight w:val="216"/>
        </w:trPr>
        <w:tc>
          <w:tcPr>
            <w:tcW w:w="34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181,301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181,301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181,301</w:t>
            </w:r>
          </w:p>
        </w:tc>
        <w:tc>
          <w:tcPr>
            <w:tcW w:w="80" w:type="dxa"/>
            <w:vAlign w:val="bottom"/>
            <w:shd w:val="clear" w:color="auto" w:fill="CFF0FC"/>
          </w:tcPr>
          <w:p>
            <w:pPr>
              <w:spacing w:after="0"/>
              <w:rPr>
                <w:sz w:val="18"/>
                <w:szCs w:val="18"/>
                <w:color w:val="auto"/>
              </w:rPr>
            </w:pPr>
          </w:p>
        </w:tc>
      </w:tr>
      <w:tr>
        <w:trPr>
          <w:trHeight w:val="216"/>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U.S. agency bonds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8"/>
                <w:szCs w:val="18"/>
                <w:color w:val="auto"/>
              </w:rPr>
            </w:pPr>
          </w:p>
        </w:tc>
      </w:tr>
      <w:tr>
        <w:trPr>
          <w:trHeight w:val="216"/>
        </w:trPr>
        <w:tc>
          <w:tcPr>
            <w:tcW w:w="344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4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217,969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212,991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217,969</w:t>
            </w:r>
          </w:p>
        </w:tc>
        <w:tc>
          <w:tcPr>
            <w:tcW w:w="8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440" w:type="dxa"/>
            <w:vAlign w:val="bottom"/>
            <w:gridSpan w:val="3"/>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1"/>
        </w:trPr>
        <w:tc>
          <w:tcPr>
            <w:tcW w:w="146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3440" w:type="dxa"/>
            <w:vAlign w:val="bottom"/>
            <w:gridSpan w:val="3"/>
          </w:tcPr>
          <w:p>
            <w:pPr>
              <w:ind w:left="180"/>
              <w:spacing w:after="0" w:line="216"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226,006</w:t>
            </w:r>
          </w:p>
        </w:tc>
        <w:tc>
          <w:tcPr>
            <w:tcW w:w="80" w:type="dxa"/>
            <w:vAlign w:val="bottom"/>
          </w:tcPr>
          <w:p>
            <w:pPr>
              <w:spacing w:after="0"/>
              <w:rPr>
                <w:sz w:val="18"/>
                <w:szCs w:val="18"/>
                <w:color w:val="auto"/>
              </w:rPr>
            </w:pPr>
          </w:p>
        </w:tc>
      </w:tr>
      <w:tr>
        <w:trPr>
          <w:trHeight w:val="216"/>
        </w:trPr>
        <w:tc>
          <w:tcPr>
            <w:tcW w:w="34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52,432</w:t>
            </w:r>
          </w:p>
        </w:tc>
        <w:tc>
          <w:tcPr>
            <w:tcW w:w="80" w:type="dxa"/>
            <w:vAlign w:val="bottom"/>
            <w:shd w:val="clear" w:color="auto" w:fill="CFF0FC"/>
          </w:tcPr>
          <w:p>
            <w:pPr>
              <w:spacing w:after="0"/>
              <w:rPr>
                <w:sz w:val="18"/>
                <w:szCs w:val="18"/>
                <w:color w:val="auto"/>
              </w:rPr>
            </w:pPr>
          </w:p>
        </w:tc>
      </w:tr>
      <w:tr>
        <w:trPr>
          <w:trHeight w:val="216"/>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80" w:type="dxa"/>
            <w:vAlign w:val="bottom"/>
          </w:tcPr>
          <w:p>
            <w:pPr>
              <w:spacing w:after="0"/>
              <w:rPr>
                <w:sz w:val="18"/>
                <w:szCs w:val="18"/>
                <w:color w:val="auto"/>
              </w:rPr>
            </w:pPr>
          </w:p>
        </w:tc>
      </w:tr>
      <w:tr>
        <w:trPr>
          <w:trHeight w:val="250"/>
        </w:trPr>
        <w:tc>
          <w:tcPr>
            <w:tcW w:w="344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280,365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280,365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280,365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-890905</wp:posOffset>
            </wp:positionV>
            <wp:extent cx="603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-890905</wp:posOffset>
            </wp:positionV>
            <wp:extent cx="60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-890905</wp:posOffset>
            </wp:positionV>
            <wp:extent cx="603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-890905</wp:posOffset>
            </wp:positionV>
            <wp:extent cx="514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514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-1379220</wp:posOffset>
            </wp:positionV>
            <wp:extent cx="285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-521970</wp:posOffset>
            </wp:positionV>
            <wp:extent cx="28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 Included in cash and cash equivalents in accompanying balance sheets.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10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 and Stock-Based Compensation</w:t>
      </w:r>
    </w:p>
    <w:p>
      <w:pPr>
        <w:spacing w:after="0" w:line="108" w:lineRule="exact"/>
        <w:rPr>
          <w:sz w:val="20"/>
          <w:szCs w:val="20"/>
          <w:color w:val="auto"/>
        </w:rPr>
      </w:pPr>
    </w:p>
    <w:p>
      <w:pPr>
        <w:ind w:right="60" w:firstLine="749"/>
        <w:spacing w:after="0" w:line="249" w:lineRule="auto"/>
        <w:rPr>
          <w:sz w:val="20"/>
          <w:szCs w:val="20"/>
          <w:color w:val="auto"/>
        </w:rPr>
      </w:pPr>
      <w:r>
        <w:rPr>
          <w:rFonts w:ascii="Arial" w:cs="Arial" w:eastAsia="Arial" w:hAnsi="Arial"/>
          <w:sz w:val="18"/>
          <w:szCs w:val="18"/>
          <w:color w:val="auto"/>
        </w:rPr>
        <w:t>As of September 30, 2022, there were 2,186,942 shares available for future issuance under the 2020 Equity Incentive Plan and 500,000 shares available for future issuance under the 2022 Inducement Equity Incentive Plan, which was adopted on March 1, 2022.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spacing w:after="0" w:line="7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the periods presented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205"/>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r>
      <w:tr>
        <w:trPr>
          <w:trHeight w:val="250"/>
        </w:trPr>
        <w:tc>
          <w:tcPr>
            <w:tcW w:w="4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 Options</w:t>
      </w:r>
    </w:p>
    <w:p>
      <w:pPr>
        <w:spacing w:after="0" w:line="50" w:lineRule="exact"/>
        <w:rPr>
          <w:sz w:val="20"/>
          <w:szCs w:val="20"/>
          <w:color w:val="auto"/>
        </w:rPr>
      </w:pPr>
    </w:p>
    <w:p>
      <w:pPr>
        <w:ind w:right="40" w:firstLine="749"/>
        <w:spacing w:after="0" w:line="277" w:lineRule="auto"/>
        <w:rPr>
          <w:sz w:val="20"/>
          <w:szCs w:val="20"/>
          <w:color w:val="auto"/>
        </w:rPr>
      </w:pPr>
      <w:r>
        <w:rPr>
          <w:rFonts w:ascii="Arial" w:cs="Arial" w:eastAsia="Arial" w:hAnsi="Arial"/>
          <w:sz w:val="16"/>
          <w:szCs w:val="16"/>
          <w:color w:val="auto"/>
        </w:rPr>
        <w:t>On June 21, 2022, the Company filed with the Securities and Exchange Commission a Tender Offer Statement on Schedule TO defining the terms and conditions of a one-time voluntary stock option exchange of certain eligible options for its employees (the “Option Exchange”). On July 20, 2022, the completion date of the Option Exchange, stock options covering an aggregate of 4,406,732 shares of common stock were tendered by eligible employees, and the Company granted new options at an exercise price of $4.36, the Company’s closing stock price on July 20, 2022, covering an aggregate of 4,406,732 shares of common stock under the 2020 Equity Incentive Plan in exchange for the tendered options. As a result of the Option Exchange, the Company will recognize incremental stock-based compensation expense of $3.7 million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left="360"/>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40"/>
              <w:spacing w:after="0" w:line="153"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8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360"/>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5,268,320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14.16</w:t>
            </w:r>
          </w:p>
        </w:tc>
        <w:tc>
          <w:tcPr>
            <w:tcW w:w="2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6,193,247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(47,482 )</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(4,816,712 )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16.52</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6,597,373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-633730</wp:posOffset>
            </wp:positionV>
            <wp:extent cx="685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-633730</wp:posOffset>
            </wp:positionV>
            <wp:extent cx="5969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-633730</wp:posOffset>
            </wp:positionV>
            <wp:extent cx="6032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Black-Scholes-Merton option pricing model with the following assumptions: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00" w:type="dxa"/>
            <w:vAlign w:val="bottom"/>
            <w:gridSpan w:val="3"/>
          </w:tcPr>
          <w:p>
            <w:pPr>
              <w:jc w:val="right"/>
              <w:ind w:right="85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Pr>
          <w:p>
            <w:pPr>
              <w:spacing w:after="0"/>
              <w:rPr>
                <w:sz w:val="14"/>
                <w:szCs w:val="14"/>
                <w:color w:val="auto"/>
              </w:rPr>
            </w:pPr>
          </w:p>
        </w:tc>
      </w:tr>
      <w:tr>
        <w:trPr>
          <w:trHeight w:val="205"/>
        </w:trPr>
        <w:tc>
          <w:tcPr>
            <w:tcW w:w="418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Borders>
              <w:bottom w:val="single" w:sz="8" w:color="auto"/>
            </w:tcBorders>
          </w:tcPr>
          <w:p>
            <w:pPr>
              <w:spacing w:after="0"/>
              <w:rPr>
                <w:sz w:val="17"/>
                <w:szCs w:val="17"/>
                <w:color w:val="auto"/>
              </w:rPr>
            </w:pPr>
          </w:p>
        </w:tc>
      </w:tr>
      <w:tr>
        <w:trPr>
          <w:trHeight w:val="175"/>
        </w:trPr>
        <w:tc>
          <w:tcPr>
            <w:tcW w:w="4180" w:type="dxa"/>
            <w:vAlign w:val="bottom"/>
          </w:tcPr>
          <w:p>
            <w:pPr>
              <w:spacing w:after="0"/>
              <w:rPr>
                <w:sz w:val="15"/>
                <w:szCs w:val="15"/>
                <w:color w:val="auto"/>
              </w:rPr>
            </w:pPr>
          </w:p>
        </w:tc>
        <w:tc>
          <w:tcPr>
            <w:tcW w:w="2220" w:type="dxa"/>
            <w:vAlign w:val="bottom"/>
            <w:gridSpan w:val="2"/>
          </w:tcPr>
          <w:p>
            <w:pPr>
              <w:jc w:val="center"/>
              <w:ind w:left="654"/>
              <w:spacing w:after="0"/>
              <w:rPr>
                <w:sz w:val="20"/>
                <w:szCs w:val="20"/>
                <w:color w:val="auto"/>
              </w:rPr>
            </w:pPr>
            <w:r>
              <w:rPr>
                <w:rFonts w:ascii="Arial" w:cs="Arial" w:eastAsia="Arial" w:hAnsi="Arial"/>
                <w:sz w:val="14"/>
                <w:szCs w:val="14"/>
                <w:b w:val="1"/>
                <w:bCs w:val="1"/>
                <w:color w:val="auto"/>
                <w:w w:val="89"/>
              </w:rPr>
              <w:t>2022</w:t>
            </w:r>
          </w:p>
        </w:tc>
        <w:tc>
          <w:tcPr>
            <w:tcW w:w="3700" w:type="dxa"/>
            <w:vAlign w:val="bottom"/>
            <w:gridSpan w:val="4"/>
          </w:tcPr>
          <w:p>
            <w:pPr>
              <w:jc w:val="right"/>
              <w:ind w:right="1130"/>
              <w:spacing w:after="0"/>
              <w:rPr>
                <w:sz w:val="20"/>
                <w:szCs w:val="20"/>
                <w:color w:val="auto"/>
              </w:rPr>
            </w:pPr>
            <w:r>
              <w:rPr>
                <w:rFonts w:ascii="Arial" w:cs="Arial" w:eastAsia="Arial" w:hAnsi="Arial"/>
                <w:sz w:val="14"/>
                <w:szCs w:val="14"/>
                <w:b w:val="1"/>
                <w:bCs w:val="1"/>
                <w:color w:val="auto"/>
              </w:rPr>
              <w:t>2021</w:t>
            </w: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- 3.37%</w:t>
            </w: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- 1.15%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right"/>
              <w:spacing w:after="0"/>
              <w:rPr>
                <w:sz w:val="20"/>
                <w:szCs w:val="20"/>
                <w:color w:val="auto"/>
              </w:rPr>
            </w:pPr>
            <w:r>
              <w:rPr>
                <w:rFonts w:ascii="Arial" w:cs="Arial" w:eastAsia="Arial" w:hAnsi="Arial"/>
                <w:sz w:val="18"/>
                <w:szCs w:val="18"/>
                <w:color w:val="auto"/>
              </w:rPr>
              <w:t>82.98%</w:t>
            </w:r>
          </w:p>
        </w:tc>
        <w:tc>
          <w:tcPr>
            <w:tcW w:w="780" w:type="dxa"/>
            <w:vAlign w:val="bottom"/>
          </w:tcPr>
          <w:p>
            <w:pPr>
              <w:ind w:left="20"/>
              <w:spacing w:after="0"/>
              <w:rPr>
                <w:sz w:val="20"/>
                <w:szCs w:val="20"/>
                <w:color w:val="auto"/>
              </w:rPr>
            </w:pPr>
            <w:r>
              <w:rPr>
                <w:rFonts w:ascii="Arial" w:cs="Arial" w:eastAsia="Arial" w:hAnsi="Arial"/>
                <w:sz w:val="18"/>
                <w:szCs w:val="18"/>
                <w:color w:val="auto"/>
              </w:rPr>
              <w:t>- 87.60%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82.88%</w:t>
            </w:r>
          </w:p>
        </w:tc>
        <w:tc>
          <w:tcPr>
            <w:tcW w:w="1400" w:type="dxa"/>
            <w:vAlign w:val="bottom"/>
          </w:tcPr>
          <w:p>
            <w:pPr>
              <w:ind w:left="20"/>
              <w:spacing w:after="0"/>
              <w:rPr>
                <w:sz w:val="20"/>
                <w:szCs w:val="20"/>
                <w:color w:val="auto"/>
              </w:rPr>
            </w:pPr>
            <w:r>
              <w:rPr>
                <w:rFonts w:ascii="Arial" w:cs="Arial" w:eastAsia="Arial" w:hAnsi="Arial"/>
                <w:sz w:val="18"/>
                <w:szCs w:val="18"/>
                <w:color w:val="auto"/>
              </w:rPr>
              <w:t>- 88.43%</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220" w:type="dxa"/>
            <w:vAlign w:val="bottom"/>
            <w:gridSpan w:val="2"/>
            <w:shd w:val="clear" w:color="auto" w:fill="CFF0FC"/>
          </w:tcPr>
          <w:p>
            <w:pPr>
              <w:jc w:val="center"/>
              <w:ind w:left="654"/>
              <w:spacing w:after="0"/>
              <w:rPr>
                <w:sz w:val="20"/>
                <w:szCs w:val="20"/>
                <w:color w:val="auto"/>
              </w:rPr>
            </w:pPr>
            <w:r>
              <w:rPr>
                <w:rFonts w:ascii="Arial" w:cs="Arial" w:eastAsia="Arial" w:hAnsi="Arial"/>
                <w:sz w:val="18"/>
                <w:szCs w:val="18"/>
                <w:color w:val="auto"/>
                <w:w w:val="89"/>
              </w:rPr>
              <w:t>5.50-6.08</w:t>
            </w:r>
          </w:p>
        </w:tc>
        <w:tc>
          <w:tcPr>
            <w:tcW w:w="2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- 6.08</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gridSpan w:val="2"/>
          </w:tcPr>
          <w:p>
            <w:pPr>
              <w:jc w:val="center"/>
              <w:ind w:left="654"/>
              <w:spacing w:after="0"/>
              <w:rPr>
                <w:sz w:val="20"/>
                <w:szCs w:val="20"/>
                <w:color w:val="auto"/>
              </w:rPr>
            </w:pPr>
            <w:r>
              <w:rPr>
                <w:rFonts w:ascii="Arial" w:cs="Arial" w:eastAsia="Arial" w:hAnsi="Arial"/>
                <w:sz w:val="18"/>
                <w:szCs w:val="18"/>
                <w:color w:val="auto"/>
                <w:w w:val="92"/>
              </w:rPr>
              <w:t>0%</w:t>
            </w:r>
          </w:p>
        </w:tc>
        <w:tc>
          <w:tcPr>
            <w:tcW w:w="3700" w:type="dxa"/>
            <w:vAlign w:val="bottom"/>
            <w:gridSpan w:val="4"/>
          </w:tcPr>
          <w:p>
            <w:pPr>
              <w:jc w:val="right"/>
              <w:ind w:right="115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right="20" w:firstLine="749"/>
        <w:spacing w:after="0" w:line="268" w:lineRule="auto"/>
        <w:rPr>
          <w:sz w:val="20"/>
          <w:szCs w:val="20"/>
          <w:color w:val="auto"/>
        </w:rPr>
      </w:pPr>
      <w:r>
        <w:rPr>
          <w:rFonts w:ascii="Arial" w:cs="Arial" w:eastAsia="Arial" w:hAnsi="Arial"/>
          <w:sz w:val="17"/>
          <w:szCs w:val="17"/>
          <w:color w:val="auto"/>
        </w:rPr>
        <w:t>The Company recognized stock-based compensation expense related to the vesting of stock options of $3.0 million and $3.4 million during the three months ended September 30, 2022 and 2021, respectively, and $10.5 million and $9.4 million during the nine months ended September 30, 2022 and 2021, respectively. The total unrecognized compensation expense related to outstanding unvested stock-option awards as of September 30, 2022, was $36.1 million, which is expected to be recognized over a weighted-average remaining service period of 3.3 years.</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restricted stock unit activity for the nine months ended September 30, 2022:</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jc w:val="center"/>
              <w:ind w:right="37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48"/>
        </w:trPr>
        <w:tc>
          <w:tcPr>
            <w:tcW w:w="5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48"/>
        </w:trPr>
        <w:tc>
          <w:tcPr>
            <w:tcW w:w="5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418"/>
              <w:spacing w:after="0" w:line="149" w:lineRule="exact"/>
              <w:rPr>
                <w:sz w:val="20"/>
                <w:szCs w:val="20"/>
                <w:color w:val="auto"/>
              </w:rPr>
            </w:pPr>
            <w:r>
              <w:rPr>
                <w:rFonts w:ascii="Arial" w:cs="Arial" w:eastAsia="Arial" w:hAnsi="Arial"/>
                <w:sz w:val="14"/>
                <w:szCs w:val="14"/>
                <w:b w:val="1"/>
                <w:bCs w:val="1"/>
                <w:color w:val="auto"/>
                <w:w w:val="96"/>
              </w:rPr>
              <w:t>Grant-Date</w:t>
            </w:r>
          </w:p>
        </w:tc>
        <w:tc>
          <w:tcPr>
            <w:tcW w:w="100" w:type="dxa"/>
            <w:vAlign w:val="bottom"/>
          </w:tcPr>
          <w:p>
            <w:pPr>
              <w:spacing w:after="0"/>
              <w:rPr>
                <w:sz w:val="12"/>
                <w:szCs w:val="12"/>
                <w:color w:val="auto"/>
              </w:rPr>
            </w:pPr>
          </w:p>
        </w:tc>
      </w:tr>
      <w:tr>
        <w:trPr>
          <w:trHeight w:val="198"/>
        </w:trPr>
        <w:tc>
          <w:tcPr>
            <w:tcW w:w="5040" w:type="dxa"/>
            <w:vAlign w:val="bottom"/>
          </w:tcPr>
          <w:p>
            <w:pPr>
              <w:spacing w:after="0"/>
              <w:rPr>
                <w:sz w:val="17"/>
                <w:szCs w:val="17"/>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91"/>
              </w:rPr>
              <w:t>Number of Shares</w:t>
            </w:r>
          </w:p>
        </w:tc>
        <w:tc>
          <w:tcPr>
            <w:tcW w:w="6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7"/>
                <w:szCs w:val="17"/>
                <w:color w:val="auto"/>
              </w:rPr>
            </w:pPr>
          </w:p>
        </w:tc>
      </w:tr>
      <w:tr>
        <w:trPr>
          <w:trHeight w:val="20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7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253,948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(13,957 )</w:t>
            </w: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7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239,991</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280" w:firstLine="749"/>
        <w:spacing w:after="0" w:line="249" w:lineRule="auto"/>
        <w:rPr>
          <w:sz w:val="20"/>
          <w:szCs w:val="20"/>
          <w:color w:val="auto"/>
        </w:rPr>
      </w:pPr>
      <w:r>
        <w:rPr>
          <w:rFonts w:ascii="Arial" w:cs="Arial" w:eastAsia="Arial" w:hAnsi="Arial"/>
          <w:sz w:val="18"/>
          <w:szCs w:val="18"/>
          <w:color w:val="auto"/>
        </w:rPr>
        <w:t>The Company recognized stock-based compensation expense related to the vesting of restricted stock units of $0.2 million and $0.5 million during the three and nine months ended September 30, 2022, respectively. The Company did not grant restricted stock units in 2021. Total unrecognized compensation expense related to restricted stock units as of September 30, 2022, was $1.6 million, which is expected to be recognized over a weighted-average remaining service period of 2.3 years.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460" w:firstLine="749"/>
        <w:spacing w:after="0" w:line="256" w:lineRule="auto"/>
        <w:rPr>
          <w:sz w:val="20"/>
          <w:szCs w:val="20"/>
          <w:color w:val="auto"/>
        </w:rPr>
      </w:pPr>
      <w:r>
        <w:rPr>
          <w:rFonts w:ascii="Arial" w:cs="Arial" w:eastAsia="Arial" w:hAnsi="Arial"/>
          <w:sz w:val="18"/>
          <w:szCs w:val="18"/>
          <w:color w:val="auto"/>
        </w:rPr>
        <w:t>The company recognized stock-based compensation expense related to the Employee Stock Purchase Plan (ESPP) of $0.1 million and $0.3 million during the three and nine months ended September 30, 2022, respectively. There was no ESPP expense for the three and nine months ended September 30, 2021.</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63"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5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6,597,373</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6,597,373</w:t>
            </w:r>
          </w:p>
        </w:tc>
        <w:tc>
          <w:tcPr>
            <w:tcW w:w="2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rPr>
              <w:t>Non-vested 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239,991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239,991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6,837,364</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6,837,364</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5,259,946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20" w:type="dxa"/>
            <w:vAlign w:val="bottom"/>
          </w:tcPr>
          <w:p>
            <w:pPr>
              <w:jc w:val="right"/>
              <w:ind w:right="556"/>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-504825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-487680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-504825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-487680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-504825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-487680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2021 and the related Management’s Discussion and Analysis of Financial Condition and Results of Operations, both of which are contained in our Annual Report on Form 10-K for the fiscal year ended December 31, 2021, filed with the Securities and Exchange Commission on March 21, 2022.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209" w:lineRule="exact"/>
        <w:rPr>
          <w:sz w:val="20"/>
          <w:szCs w:val="20"/>
          <w:color w:val="auto"/>
        </w:rPr>
      </w:pPr>
    </w:p>
    <w:p>
      <w:pPr>
        <w:jc w:val="both"/>
        <w:ind w:right="640" w:firstLine="749"/>
        <w:spacing w:after="0" w:line="248" w:lineRule="auto"/>
        <w:rPr>
          <w:sz w:val="20"/>
          <w:szCs w:val="20"/>
          <w:color w:val="auto"/>
        </w:rPr>
      </w:pPr>
      <w:r>
        <w:rPr>
          <w:rFonts w:ascii="Arial" w:cs="Arial" w:eastAsia="Arial" w:hAnsi="Arial"/>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clinical stage product candidates include:</w:t>
      </w:r>
    </w:p>
    <w:p>
      <w:pPr>
        <w:spacing w:after="0" w:line="104" w:lineRule="exact"/>
        <w:rPr>
          <w:sz w:val="20"/>
          <w:szCs w:val="20"/>
          <w:color w:val="auto"/>
        </w:rPr>
      </w:pPr>
    </w:p>
    <w:p>
      <w:pPr>
        <w:ind w:left="1260" w:right="20" w:hanging="503"/>
        <w:spacing w:after="0" w:line="268"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we are enrolling patients in a Phase 1b trial as a single-agent in multiple myeloma and expect to report initial data in the first half of 2023.</w:t>
      </w:r>
    </w:p>
    <w:p>
      <w:pPr>
        <w:spacing w:after="0" w:line="58" w:lineRule="exact"/>
        <w:rPr>
          <w:rFonts w:ascii="Arial" w:cs="Arial" w:eastAsia="Arial" w:hAnsi="Arial"/>
          <w:sz w:val="17"/>
          <w:szCs w:val="17"/>
          <w:color w:val="auto"/>
        </w:rPr>
      </w:pPr>
    </w:p>
    <w:p>
      <w:pPr>
        <w:ind w:left="1260" w:hanging="503"/>
        <w:spacing w:after="0" w:line="243"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Clinical Trial Application (CTA) in South Korea for ORIC-114, which was cleared in the first quarter of 2022. We also filed and cleared an IND with the FDA for ORIC-114 in the third quarter of 2022. We are pursuing a Phase 1b single agent trial which is enrolling patients with advanced solid tumors with EGFR and HER2 exon 20 alterations or HER2 amplifications and allows patients with CNS metastases that are either treated or untreated but asymptomatic. We expect to report initial Phase 1b data from this trial in the first half of 2023.</w:t>
      </w:r>
    </w:p>
    <w:p>
      <w:pPr>
        <w:spacing w:after="0" w:line="91" w:lineRule="exact"/>
        <w:rPr>
          <w:rFonts w:ascii="Arial" w:cs="Arial" w:eastAsia="Arial" w:hAnsi="Arial"/>
          <w:sz w:val="18"/>
          <w:szCs w:val="18"/>
          <w:color w:val="auto"/>
        </w:rPr>
      </w:pPr>
    </w:p>
    <w:p>
      <w:pPr>
        <w:ind w:left="1260" w:right="20" w:hanging="503"/>
        <w:spacing w:after="0" w:line="268"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and we are enrolling patients in a Phase 1b trial as a single-agent in prostate cancer and expect to report initial data in the first half of 2023.</w:t>
      </w:r>
    </w:p>
    <w:p>
      <w:pPr>
        <w:spacing w:after="0" w:line="166"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Beyond these clinical stage product candidates, we are developing multiple discovery stage precision medicines targeting other hallmark cancer resistance mechanisms.</w:t>
      </w:r>
    </w:p>
    <w:p>
      <w:pPr>
        <w:spacing w:after="0" w:line="76" w:lineRule="exact"/>
        <w:rPr>
          <w:sz w:val="20"/>
          <w:szCs w:val="20"/>
          <w:color w:val="auto"/>
        </w:rPr>
      </w:pPr>
    </w:p>
    <w:p>
      <w:pPr>
        <w:ind w:right="100" w:firstLine="749"/>
        <w:spacing w:after="0" w:line="258" w:lineRule="auto"/>
        <w:rPr>
          <w:sz w:val="20"/>
          <w:szCs w:val="20"/>
          <w:color w:val="auto"/>
        </w:rPr>
      </w:pPr>
      <w:r>
        <w:rPr>
          <w:rFonts w:ascii="Arial" w:cs="Arial" w:eastAsia="Arial" w:hAnsi="Arial"/>
          <w:sz w:val="17"/>
          <w:szCs w:val="17"/>
          <w:color w:val="auto"/>
        </w:rPr>
        <w:t>We have incurred significant losses since the commencement of our operations. Our net loss for the nine months ended September 30, 2022 was $68.3 million and we had an accumulated deficit of $313.4 million as of September 30, 2022.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ORIC-533, ORIC-114,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82" w:lineRule="exact"/>
        <w:rPr>
          <w:sz w:val="20"/>
          <w:szCs w:val="20"/>
          <w:color w:val="auto"/>
        </w:rPr>
      </w:pPr>
    </w:p>
    <w:p>
      <w:pPr>
        <w:ind w:right="280" w:firstLine="749"/>
        <w:spacing w:after="0" w:line="249" w:lineRule="auto"/>
        <w:rPr>
          <w:sz w:val="20"/>
          <w:szCs w:val="20"/>
          <w:color w:val="auto"/>
        </w:rPr>
      </w:pPr>
      <w:r>
        <w:rPr>
          <w:rFonts w:ascii="Arial" w:cs="Arial" w:eastAsia="Arial" w:hAnsi="Arial"/>
          <w:sz w:val="18"/>
          <w:szCs w:val="18"/>
          <w:color w:val="auto"/>
        </w:rPr>
        <w:t>We are subject to risks and uncertainties as a result of the ongoing COVID-19 pandemic and increasing financial market volatility and uncertainty. The COVID-19 pandemic, including the resurgence of cases relating to the spread of new variants, has and continues to impact worldwide economic activity and poses the risk that our employees, contractors, suppliers and other partners may be prevented from conducting business activities. The extent to which the COVID-19 pandemic and increasing financial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volatility and uncertainty will impact the conduct of our clinical trials, related business activities and expenses will depend on future developments that are highly uncertain and cannot be predicted at this time.</w:t>
      </w:r>
    </w:p>
    <w:p>
      <w:pPr>
        <w:spacing w:after="0" w:line="49"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260" w:right="40" w:hanging="503"/>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48"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76" w:lineRule="exact"/>
        <w:rPr>
          <w:rFonts w:ascii="Arial" w:cs="Arial" w:eastAsia="Arial" w:hAnsi="Arial"/>
          <w:sz w:val="18"/>
          <w:szCs w:val="18"/>
          <w:color w:val="auto"/>
        </w:rPr>
      </w:pPr>
    </w:p>
    <w:p>
      <w:pPr>
        <w:ind w:left="1260" w:right="340" w:hanging="503"/>
        <w:spacing w:after="0" w:line="291"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27" w:lineRule="exact"/>
        <w:rPr>
          <w:sz w:val="20"/>
          <w:szCs w:val="20"/>
          <w:color w:val="auto"/>
        </w:rPr>
      </w:pPr>
    </w:p>
    <w:p>
      <w:pPr>
        <w:ind w:right="80" w:firstLine="749"/>
        <w:spacing w:after="0" w:line="24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3" w:lineRule="exact"/>
        <w:rPr>
          <w:sz w:val="20"/>
          <w:szCs w:val="20"/>
          <w:color w:val="auto"/>
        </w:rPr>
      </w:pPr>
    </w:p>
    <w:p>
      <w:pPr>
        <w:ind w:right="780" w:firstLine="749"/>
        <w:spacing w:after="0" w:line="261"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76"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73"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4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87" w:lineRule="exact"/>
        <w:rPr>
          <w:sz w:val="20"/>
          <w:szCs w:val="20"/>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03" w:lineRule="exact"/>
        <w:rPr>
          <w:rFonts w:ascii="Arial" w:cs="Arial" w:eastAsia="Arial" w:hAnsi="Arial"/>
          <w:sz w:val="18"/>
          <w:szCs w:val="18"/>
          <w:color w:val="auto"/>
        </w:rPr>
      </w:pPr>
    </w:p>
    <w:p>
      <w:pPr>
        <w:ind w:left="1260" w:right="2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60" w:right="680" w:hanging="503"/>
        <w:spacing w:after="0" w:line="261"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104"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749"/>
        <w:spacing w:after="0" w:line="263" w:lineRule="auto"/>
        <w:rPr>
          <w:sz w:val="20"/>
          <w:szCs w:val="20"/>
          <w:color w:val="auto"/>
        </w:rPr>
      </w:pPr>
      <w:r>
        <w:rPr>
          <w:rFonts w:ascii="Arial" w:cs="Arial" w:eastAsia="Arial" w:hAnsi="Arial"/>
          <w:sz w:val="17"/>
          <w:szCs w:val="17"/>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04"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Interest income, net primarily consists of interest income generated from our interest-bearing money market accounts and available-for-sale investments.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2"/>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0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14,723</w:t>
            </w: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12,899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1,824</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45,385</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40,113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0"/>
        </w:trPr>
        <w:tc>
          <w:tcPr>
            <w:tcW w:w="44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25,694</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69,648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(25,694 )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(18,456 )</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(7,238 )</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(69,648 )</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(56,066 )</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(13,582 )</w:t>
            </w:r>
          </w:p>
        </w:tc>
      </w:tr>
      <w:tr>
        <w:trPr>
          <w:trHeight w:val="216"/>
        </w:trPr>
        <w:tc>
          <w:tcPr>
            <w:tcW w:w="4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r>
      <w:tr>
        <w:trPr>
          <w:trHeight w:val="209"/>
        </w:trPr>
        <w:tc>
          <w:tcPr>
            <w:tcW w:w="4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spacing w:after="0"/>
              <w:rPr>
                <w:sz w:val="18"/>
                <w:szCs w:val="18"/>
                <w:color w:val="auto"/>
              </w:rPr>
            </w:pPr>
          </w:p>
        </w:tc>
        <w:tc>
          <w:tcPr>
            <w:tcW w:w="480" w:type="dxa"/>
            <w:vAlign w:val="bottom"/>
            <w:gridSpan w:val="2"/>
            <w:shd w:val="clear" w:color="auto" w:fill="CFF0FC"/>
          </w:tcPr>
          <w:p>
            <w:pPr>
              <w:spacing w:after="0"/>
              <w:rPr>
                <w:sz w:val="18"/>
                <w:szCs w:val="18"/>
                <w:color w:val="auto"/>
              </w:rPr>
            </w:pPr>
          </w:p>
        </w:tc>
        <w:tc>
          <w:tcPr>
            <w:tcW w:w="88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(24,829 )</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(18,426 )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(6,403 )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(68,275 )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(55,944 )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(12,331 )</w:t>
            </w:r>
          </w:p>
        </w:tc>
      </w:tr>
      <w:tr>
        <w:trPr>
          <w:trHeight w:val="20"/>
        </w:trPr>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-1216660</wp:posOffset>
            </wp:positionV>
            <wp:extent cx="7747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-1216660</wp:posOffset>
            </wp:positionV>
            <wp:extent cx="7683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-1216660</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-1216660</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Research and development expenses were $14.7 million for the three months ended September 30, 2022, compared to $12.9 million for the same period in 2021, an increase of $1.8 million. The increase was primarily driven by a net increase in external expenses of $1.2 million and higher personnel costs of $0.6 million. The net increase in external expenses was related to the advancement of ORIC-114, ORIC-944 and our other product candidates, offset by a decrease in external expenses related to lower ORIC-101 costs due to the discontinuation of the program in the first quarter of 2022.</w:t>
      </w:r>
    </w:p>
    <w:p>
      <w:pPr>
        <w:spacing w:after="0" w:line="42"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For the nine months ended September 30, 2022, research and development expenses were $45.4 million compared to $40.1 million for the same period in 2021, an increase of $5.3 million. The increase was primarily driven by a net increase in external expenses of $2.7 million related to the advancement of ORIC-533, ORIC-114, ORIC-944 and our other product candidates, and a decrease in ORIC-101 costs due to the discontinuation of the program. Higher personnel costs of $2.5 million, including additional non-cash stock-based compensation of $0.8 million, also contributed to the increase.</w:t>
      </w:r>
    </w:p>
    <w:p>
      <w:pPr>
        <w:spacing w:after="0" w:line="42" w:lineRule="exact"/>
        <w:rPr>
          <w:sz w:val="20"/>
          <w:szCs w:val="20"/>
          <w:color w:val="auto"/>
        </w:rPr>
      </w:pPr>
    </w:p>
    <w:p>
      <w:pPr>
        <w:ind w:right="820" w:firstLine="749"/>
        <w:spacing w:after="0" w:line="261" w:lineRule="auto"/>
        <w:rPr>
          <w:sz w:val="20"/>
          <w:szCs w:val="20"/>
          <w:color w:val="auto"/>
        </w:rPr>
      </w:pPr>
      <w:r>
        <w:rPr>
          <w:rFonts w:ascii="Arial" w:cs="Arial" w:eastAsia="Arial" w:hAnsi="Arial"/>
          <w:sz w:val="18"/>
          <w:szCs w:val="18"/>
          <w:color w:val="auto"/>
        </w:rPr>
        <w:t>The following table summarizes our external and internal costs for the three and nine months ended September 30, 2022 and 2021 (in thousands):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5"/>
        </w:trPr>
        <w:tc>
          <w:tcPr>
            <w:tcW w:w="4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8"/>
                <w:szCs w:val="18"/>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4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External costs:</w:t>
            </w: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80"/>
              <w:spacing w:after="0"/>
              <w:rPr>
                <w:sz w:val="20"/>
                <w:szCs w:val="20"/>
                <w:color w:val="auto"/>
              </w:rPr>
            </w:pPr>
            <w:r>
              <w:rPr>
                <w:rFonts w:ascii="Arial" w:cs="Arial" w:eastAsia="Arial" w:hAnsi="Arial"/>
                <w:sz w:val="18"/>
                <w:szCs w:val="18"/>
                <w:color w:val="auto"/>
              </w:rPr>
              <w:t>ORIC-533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4,314</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ORIC-114</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80"/>
              <w:spacing w:after="0"/>
              <w:rPr>
                <w:sz w:val="20"/>
                <w:szCs w:val="20"/>
                <w:color w:val="auto"/>
              </w:rPr>
            </w:pPr>
            <w:r>
              <w:rPr>
                <w:rFonts w:ascii="Arial" w:cs="Arial" w:eastAsia="Arial" w:hAnsi="Arial"/>
                <w:sz w:val="18"/>
                <w:szCs w:val="18"/>
                <w:color w:val="auto"/>
              </w:rPr>
              <w:t>ORIC-944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ORIC-101 (discontinued)</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(1,760 )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(5,475 )</w:t>
            </w:r>
          </w:p>
        </w:tc>
      </w:tr>
      <w:tr>
        <w:trPr>
          <w:trHeight w:val="216"/>
        </w:trPr>
        <w:tc>
          <w:tcPr>
            <w:tcW w:w="4300" w:type="dxa"/>
            <w:vAlign w:val="bottom"/>
          </w:tcPr>
          <w:p>
            <w:pPr>
              <w:ind w:left="280"/>
              <w:spacing w:after="0"/>
              <w:rPr>
                <w:sz w:val="20"/>
                <w:szCs w:val="20"/>
                <w:color w:val="auto"/>
              </w:rPr>
            </w:pPr>
            <w:r>
              <w:rPr>
                <w:rFonts w:ascii="Arial" w:cs="Arial" w:eastAsia="Arial" w:hAnsi="Arial"/>
                <w:sz w:val="18"/>
                <w:szCs w:val="18"/>
                <w:color w:val="auto"/>
              </w:rPr>
              <w:t>Preclinical and other unallocated costs</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8"/>
                <w:szCs w:val="18"/>
                <w:color w:val="auto"/>
              </w:rPr>
            </w:pPr>
          </w:p>
        </w:tc>
      </w:tr>
      <w:tr>
        <w:trPr>
          <w:trHeight w:val="210"/>
        </w:trPr>
        <w:tc>
          <w:tcPr>
            <w:tcW w:w="4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external costs</w:t>
            </w: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00" w:type="dxa"/>
            <w:vAlign w:val="bottom"/>
          </w:tcPr>
          <w:p>
            <w:pPr>
              <w:ind w:left="100"/>
              <w:spacing w:after="0"/>
              <w:rPr>
                <w:sz w:val="20"/>
                <w:szCs w:val="20"/>
                <w:color w:val="auto"/>
              </w:rPr>
            </w:pPr>
            <w:r>
              <w:rPr>
                <w:rFonts w:ascii="Arial" w:cs="Arial" w:eastAsia="Arial" w:hAnsi="Arial"/>
                <w:sz w:val="18"/>
                <w:szCs w:val="18"/>
                <w:color w:val="auto"/>
              </w:rPr>
              <w:t>Internal costs</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8"/>
                <w:szCs w:val="18"/>
                <w:color w:val="auto"/>
              </w:rPr>
            </w:pPr>
          </w:p>
        </w:tc>
      </w:tr>
      <w:tr>
        <w:trPr>
          <w:trHeight w:val="249"/>
        </w:trPr>
        <w:tc>
          <w:tcPr>
            <w:tcW w:w="4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-316230</wp:posOffset>
            </wp:positionV>
            <wp:extent cx="6858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-316230</wp:posOffset>
            </wp:positionV>
            <wp:extent cx="685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-316230</wp:posOffset>
            </wp:positionV>
            <wp:extent cx="685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-316230</wp:posOffset>
            </wp:positionV>
            <wp:extent cx="6858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-316230</wp:posOffset>
            </wp:positionV>
            <wp:extent cx="6032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-316230</wp:posOffset>
            </wp:positionV>
            <wp:extent cx="6032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120" w:firstLine="749"/>
        <w:spacing w:after="0" w:line="25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749"/>
        <w:spacing w:after="0" w:line="268" w:lineRule="auto"/>
        <w:rPr>
          <w:sz w:val="20"/>
          <w:szCs w:val="20"/>
          <w:color w:val="auto"/>
        </w:rPr>
      </w:pPr>
      <w:r>
        <w:rPr>
          <w:rFonts w:ascii="Arial" w:cs="Arial" w:eastAsia="Arial" w:hAnsi="Arial"/>
          <w:sz w:val="17"/>
          <w:szCs w:val="17"/>
          <w:color w:val="auto"/>
        </w:rPr>
        <w:t>General and administrative expenses were $6.0 million for the three months ended September 30, 2022, compared to $5.6 million for the same period in 2021, an increase of $0.4 million. The increase was primarily due to higher personnel costs. For the nine months ended September 30, 2022, general and administrative expenses were $19.3 million compared to $16.0 million for the same period in 2021, an increase of $3.3 million. The increase was primarily due to higher personnel costs, including additional non-cash stock-based compensation of $1.1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04"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Acquired in-process research and development expenses were $5.0 million for the three and nine months ended September 30, 2022, due to a development milestone payment made in accordance with the Voronoi License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749"/>
        <w:spacing w:after="0" w:line="260"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9" w:lineRule="exact"/>
        <w:rPr>
          <w:sz w:val="20"/>
          <w:szCs w:val="20"/>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48" w:lineRule="exact"/>
        <w:rPr>
          <w:rFonts w:ascii="Arial" w:cs="Arial" w:eastAsia="Arial" w:hAnsi="Arial"/>
          <w:sz w:val="18"/>
          <w:szCs w:val="18"/>
          <w:color w:val="auto"/>
        </w:rPr>
      </w:pPr>
    </w:p>
    <w:p>
      <w:pPr>
        <w:ind w:left="1260" w:right="440" w:hanging="503"/>
        <w:spacing w:after="0" w:line="261"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0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We expect our current cash, cash equivalents and investments will be sufficient to fund our current operating plan into the second half of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62"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166" w:lineRule="exact"/>
        <w:rPr>
          <w:sz w:val="20"/>
          <w:szCs w:val="20"/>
          <w:color w:val="auto"/>
        </w:rPr>
      </w:pPr>
    </w:p>
    <w:p>
      <w:pPr>
        <w:ind w:left="1260" w:hanging="503"/>
        <w:spacing w:after="0" w:line="261"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260" w:right="240" w:hanging="503"/>
        <w:spacing w:after="0" w:line="261"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left="1260" w:hanging="503"/>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171"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ectPr>
          <w:pgSz w:w="11900" w:h="16838" w:orient="portrait"/>
          <w:cols w:equalWidth="0" w:num="1">
            <w:col w:w="11180"/>
          </w:cols>
          <w:pgMar w:left="320" w:top="436" w:right="39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provided by financing activities</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Net (decrease) increase in cash, cash equivalents and restricted cash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72275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22755" cy="2540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(59,814</w:t>
            </w:r>
          </w:p>
        </w:tc>
        <w:tc>
          <w:tcPr>
            <w:tcW w:w="240" w:type="dxa"/>
            <w:vAlign w:val="bottom"/>
            <w:vMerge w:val="continue"/>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(43,257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(137,548 )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highlight w:val="white"/>
                <w:w w:val="99"/>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(196,930</w:t>
            </w:r>
          </w:p>
        </w:tc>
        <w:tc>
          <w:tcPr>
            <w:tcW w:w="24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2" w:lineRule="exact"/>
        <w:rPr>
          <w:sz w:val="20"/>
          <w:szCs w:val="20"/>
          <w:color w:val="auto"/>
        </w:rPr>
      </w:pPr>
    </w:p>
    <w:p>
      <w:pPr>
        <w:sectPr>
          <w:pgSz w:w="11900" w:h="16838" w:orient="portrait"/>
          <w:cols w:equalWidth="0" w:num="2">
            <w:col w:w="6600" w:space="720"/>
            <w:col w:w="3860"/>
          </w:cols>
          <w:pgMar w:left="320" w:top="436" w:right="399" w:bottom="1440" w:gutter="0" w:footer="0" w:header="0"/>
          <w:type w:val="continuous"/>
        </w:sectPr>
      </w:pPr>
    </w:p>
    <w:p>
      <w:pPr>
        <w:ind w:firstLine="749"/>
        <w:spacing w:after="0" w:line="256" w:lineRule="auto"/>
        <w:rPr>
          <w:sz w:val="20"/>
          <w:szCs w:val="20"/>
          <w:color w:val="auto"/>
        </w:rPr>
      </w:pPr>
      <w:r>
        <w:rPr>
          <w:rFonts w:ascii="Arial" w:cs="Arial" w:eastAsia="Arial" w:hAnsi="Arial"/>
          <w:sz w:val="18"/>
          <w:szCs w:val="18"/>
          <w:color w:val="auto"/>
        </w:rPr>
        <w:t>Net cash used in operating activities during the nine months ended September 30, 2022, of $59.8 million was attributable to our net loss of $68.3 million and a $3.2 million net decrease in working capital primarily related to a decrease in accrued compensation, offset by non-cash expenses of $11.6 million, which were primarily driven by stock-based compensation.</w:t>
      </w:r>
    </w:p>
    <w:p>
      <w:pPr>
        <w:spacing w:after="0" w:line="67"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Net cash used in operating activities during the nine months ended September 30, 2021, of $43.3 million was attributable to our net loss of $55.9 million, offset by non-cash expenses of $11.2 million, which were primarily driven by stock-based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460" w:firstLine="749"/>
        <w:spacing w:after="0" w:line="261" w:lineRule="auto"/>
        <w:rPr>
          <w:sz w:val="20"/>
          <w:szCs w:val="20"/>
          <w:color w:val="auto"/>
        </w:rPr>
      </w:pPr>
      <w:r>
        <w:rPr>
          <w:rFonts w:ascii="Arial" w:cs="Arial" w:eastAsia="Arial" w:hAnsi="Arial"/>
          <w:sz w:val="18"/>
          <w:szCs w:val="18"/>
          <w:color w:val="auto"/>
        </w:rPr>
        <w:t>Net cash used in investing activities during the nine months ended September 30, 2022, of $137.5 million was primarily attributable to the purchases of investments, net of maturities.</w:t>
      </w:r>
    </w:p>
    <w:p>
      <w:pPr>
        <w:spacing w:after="0" w:line="76" w:lineRule="exact"/>
        <w:rPr>
          <w:sz w:val="20"/>
          <w:szCs w:val="20"/>
          <w:color w:val="auto"/>
        </w:rPr>
      </w:pPr>
    </w:p>
    <w:p>
      <w:pPr>
        <w:ind w:right="380" w:firstLine="749"/>
        <w:spacing w:after="0" w:line="261" w:lineRule="auto"/>
        <w:rPr>
          <w:sz w:val="20"/>
          <w:szCs w:val="20"/>
          <w:color w:val="auto"/>
        </w:rPr>
      </w:pPr>
      <w:r>
        <w:rPr>
          <w:rFonts w:ascii="Arial" w:cs="Arial" w:eastAsia="Arial" w:hAnsi="Arial"/>
          <w:sz w:val="18"/>
          <w:szCs w:val="18"/>
          <w:color w:val="auto"/>
        </w:rPr>
        <w:t>Net cash provided by investing activities during the nine months ended September 30, 2021, of $158.1 million was primarily attributable to maturities of investments, net of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Net cash provided by financing activities during the nine months ended September 30, 2022, of $0.4 million consisted of net proceeds received from stock option exercises and common stock issued under the Employee Stock Purchase Plan.</w:t>
      </w:r>
    </w:p>
    <w:p>
      <w:pPr>
        <w:spacing w:after="0" w:line="63"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2021, of $48.3 million was primarily attributable to the net proceeds received in connection with our ATM offering.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04" w:lineRule="exact"/>
        <w:rPr>
          <w:sz w:val="20"/>
          <w:szCs w:val="20"/>
          <w:color w:val="auto"/>
        </w:rPr>
      </w:pPr>
    </w:p>
    <w:p>
      <w:pPr>
        <w:ind w:right="20" w:firstLine="749"/>
        <w:spacing w:after="0" w:line="26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2021.</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78" w:lineRule="exact"/>
        <w:rPr>
          <w:sz w:val="20"/>
          <w:szCs w:val="20"/>
          <w:color w:val="auto"/>
        </w:rPr>
      </w:pPr>
    </w:p>
    <w:p>
      <w:pPr>
        <w:ind w:right="20" w:firstLine="749"/>
        <w:spacing w:after="0" w:line="303"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September 30, 2022, we had cash equivalents and investments of $218.0 million, consisting of interest-bearing money market funds, certificates of deposit and securities issued by the U.S. Treasury. Due to the nature of our cash equivalents and investments, an immediate 100 basis point change in interest rates would not have a material effect on their fair market value.</w:t>
      </w:r>
    </w:p>
    <w:p>
      <w:pPr>
        <w:spacing w:after="0" w:line="58"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September 30, 2022,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September 30,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firstLine="749"/>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Securities Exchange Act of 1934 that occurred during the quarter ended September 30, 2022 that have materially affected, or are reasonably likely to materially affect, our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 and</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25" w:lineRule="exact"/>
        <w:rPr>
          <w:sz w:val="20"/>
          <w:szCs w:val="20"/>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dependence on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clinical trial results and challenges related to FDA, EMA and other regulatory requirements;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the same or different territories;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difficulties in developing our potential programs;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our product candidates for particular indications;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unacceptance of our product candidates in the medical community;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market opportunities for our product candidates;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 and</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11" w:lineRule="exact"/>
        <w:rPr>
          <w:sz w:val="20"/>
          <w:szCs w:val="20"/>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EMA and other regulatory authorities’ unacceptance of data from trials conducted outside their jurisdiction;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spacing w:after="0" w:line="23"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to our ability to obtain orphan drug designation or maintain orphan drug exclusivity for our product candidates;</w:t>
      </w: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anti-bribery, anti-corruption, export, trade sanctions and import laws or regulations; and</w:t>
      </w:r>
    </w:p>
    <w:p>
      <w:pPr>
        <w:ind w:left="1260" w:hanging="503"/>
        <w:spacing w:after="0" w:line="258"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California laws or The Nasdaq Global Select Market (Nasdaq) rules governing diversity of our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5"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 data privacy breaches or incidents impacting our internal systems or those of commercial third parties;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Securities and Exchange Commission civil enforcement action against one of our officers;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and additional effort and expenses incurred as a result;</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related to international marketing of our product candidates;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military conflict in Ukraine, and any resulting trade war, could result in increased manufacturing costs; and</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 may adversely affect us by increasing our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inability to obtain or maintain rights to our product candidates through acquisitions and in-licenses;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limited name recognition in our markets that depend on protection of our trademarks and trade names;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development and commercialization rights that are subject to unfavorable terms and conditions of licensors;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 and</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1"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third parties for production, preclinical studies and clinical trials of our product candidates;</w:t>
      </w: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 and</w:t>
      </w: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5" w:lineRule="exact"/>
        <w:rPr>
          <w:sz w:val="20"/>
          <w:szCs w:val="20"/>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 and</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exclusive forum provisions in our bylaws that may limit stockholder ability to obtain a favorable judicial forum.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ORIC-533, ORIC-114, ORIC-944, ORIC-101 (now discontinued)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79" w:lineRule="exact"/>
        <w:rPr>
          <w:sz w:val="20"/>
          <w:szCs w:val="20"/>
          <w:color w:val="auto"/>
        </w:rPr>
      </w:pPr>
    </w:p>
    <w:p>
      <w:pPr>
        <w:ind w:right="140" w:firstLine="749"/>
        <w:spacing w:after="0" w:line="249"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3" w:lineRule="exact"/>
        <w:rPr>
          <w:sz w:val="20"/>
          <w:szCs w:val="20"/>
          <w:color w:val="auto"/>
        </w:rPr>
      </w:pPr>
    </w:p>
    <w:p>
      <w:pPr>
        <w:ind w:right="180" w:firstLine="749"/>
        <w:spacing w:after="0" w:line="249"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27"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$68.3 million for the nine months ended September 30, 2022, and as of September 30, 2022, we had an accumulated deficit of $313.4 million. In the second quarter of 2021, the U.S. Food and Drug Administration (FDA) cleared an Investigational New Drug Application (IND) for ORIC-533. In the fourth quarter of 2021, we filed a Clinical Trial Application (CTA) in South Korea for ORIC-114, which was cleared in the first quarter of 2022. We filed and cleared an IND with the FDA for ORIC-944 in the fourth quarter of 2021 and also filed and cleared an IND with the FDA for ORIC-114 in the third quarter of 2022.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58" w:lineRule="exact"/>
        <w:rPr>
          <w:sz w:val="20"/>
          <w:szCs w:val="20"/>
          <w:color w:val="auto"/>
        </w:rPr>
      </w:pPr>
    </w:p>
    <w:p>
      <w:pPr>
        <w:ind w:right="160" w:firstLine="749"/>
        <w:spacing w:after="0" w:line="249"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4" w:name="page25"/>
    <w:bookmarkEnd w:id="24"/>
    <w:p>
      <w:pPr>
        <w:ind w:right="280"/>
        <w:spacing w:after="0" w:line="277" w:lineRule="auto"/>
        <w:rPr>
          <w:sz w:val="20"/>
          <w:szCs w:val="20"/>
          <w:color w:val="auto"/>
        </w:rPr>
      </w:pPr>
      <w:r>
        <w:rPr>
          <w:rFonts w:ascii="Arial" w:cs="Arial" w:eastAsia="Arial" w:hAnsi="Arial"/>
          <w:sz w:val="18"/>
          <w:szCs w:val="18"/>
          <w:color w:val="auto"/>
        </w:rPr>
        <w:t>adverse effect on our working capital, our ability to fund the development of our product candidates and our ability to achieve and maintain profitability and the performance of our stock.</w:t>
      </w:r>
    </w:p>
    <w:p>
      <w:pPr>
        <w:spacing w:after="0" w:line="4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76"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39" w:lineRule="exact"/>
        <w:rPr>
          <w:sz w:val="20"/>
          <w:szCs w:val="20"/>
          <w:color w:val="auto"/>
        </w:rPr>
      </w:pPr>
    </w:p>
    <w:p>
      <w:pPr>
        <w:ind w:left="1260" w:right="540" w:hanging="503"/>
        <w:spacing w:after="0" w:line="246"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ORIC-533, ORIC-114, ORIC-944 and our other future product candidates;</w:t>
      </w:r>
    </w:p>
    <w:p>
      <w:pPr>
        <w:spacing w:after="0" w:line="75"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ORIC-533, ORIC-114, ORIC-944 and our other future product candidates;</w:t>
      </w:r>
    </w:p>
    <w:p>
      <w:pPr>
        <w:spacing w:after="0" w:line="49" w:lineRule="exact"/>
        <w:rPr>
          <w:rFonts w:ascii="Arial" w:cs="Arial" w:eastAsia="Arial" w:hAnsi="Arial"/>
          <w:sz w:val="18"/>
          <w:szCs w:val="18"/>
          <w:color w:val="auto"/>
        </w:rPr>
      </w:pPr>
    </w:p>
    <w:p>
      <w:pPr>
        <w:ind w:left="1260" w:right="62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260" w:right="400" w:hanging="503"/>
        <w:spacing w:after="0" w:line="246"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75" w:lineRule="exact"/>
        <w:rPr>
          <w:rFonts w:ascii="Arial" w:cs="Arial" w:eastAsia="Arial" w:hAnsi="Arial"/>
          <w:sz w:val="18"/>
          <w:szCs w:val="18"/>
          <w:color w:val="auto"/>
        </w:rPr>
      </w:pPr>
    </w:p>
    <w:p>
      <w:pPr>
        <w:ind w:left="1260" w:right="2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81"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49"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90" w:lineRule="exact"/>
        <w:rPr>
          <w:rFonts w:ascii="Arial" w:cs="Arial" w:eastAsia="Arial" w:hAnsi="Arial"/>
          <w:sz w:val="18"/>
          <w:szCs w:val="18"/>
          <w:color w:val="auto"/>
        </w:rPr>
      </w:pPr>
    </w:p>
    <w:p>
      <w:pPr>
        <w:ind w:left="1260" w:right="22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03"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49"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90" w:lineRule="exact"/>
        <w:rPr>
          <w:sz w:val="20"/>
          <w:szCs w:val="20"/>
          <w:color w:val="auto"/>
        </w:rPr>
      </w:pPr>
    </w:p>
    <w:p>
      <w:pPr>
        <w:ind w:right="180" w:firstLine="749"/>
        <w:spacing w:after="0" w:line="257"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81" w:lineRule="exact"/>
        <w:rPr>
          <w:sz w:val="20"/>
          <w:szCs w:val="20"/>
          <w:color w:val="auto"/>
        </w:rPr>
      </w:pPr>
    </w:p>
    <w:p>
      <w:pPr>
        <w:ind w:right="100"/>
        <w:spacing w:after="0" w:line="362"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100"/>
        <w:spacing w:after="0" w:line="263" w:lineRule="auto"/>
        <w:rPr>
          <w:sz w:val="20"/>
          <w:szCs w:val="20"/>
          <w:color w:val="auto"/>
        </w:rPr>
      </w:pPr>
      <w:r>
        <w:rPr>
          <w:rFonts w:ascii="Arial" w:cs="Arial" w:eastAsia="Arial" w:hAnsi="Arial"/>
          <w:sz w:val="17"/>
          <w:szCs w:val="17"/>
          <w:color w:val="auto"/>
        </w:rPr>
        <w:t>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our product candidates before we receive marketing approval from the FDA. Accordingly, we will need to obtain substantial additional funding in order to continue our operations.</w:t>
      </w:r>
    </w:p>
    <w:p>
      <w:pPr>
        <w:spacing w:after="0" w:line="65"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As of September 30, 2022, we had $218.0 million in cash, cash equivalents and investments. Based on our current operating plan, we believe that our existing cash, cash equivalents and investments will be sufficient to fund our operations into the second half of 2024. Our estimate as to how long we expect our existing cash, cash equivalents, and available-for-sale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7"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7"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ORIC-533, ORIC-114 and ORIC-944. If we are unable to complete development of, obtain approval for and commercialize our product candidates for one or more indications in a timely manner, our business will be harmed.</w:t>
      </w:r>
    </w:p>
    <w:p>
      <w:pPr>
        <w:spacing w:after="0" w:line="67"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We allocate the majority of our efforts and financial resources to the development of ORIC-533, ORIC-114 and ORIC-944. Our future success is dependent on our ability to timely and successfully complete clinical trials, obtain marketing approval for and successfully commercialize ORIC-533, ORIC-114 and ORIC-944.</w:t>
      </w:r>
    </w:p>
    <w:p>
      <w:pPr>
        <w:spacing w:after="0" w:line="67" w:lineRule="exact"/>
        <w:rPr>
          <w:sz w:val="20"/>
          <w:szCs w:val="20"/>
          <w:color w:val="auto"/>
        </w:rPr>
      </w:pPr>
    </w:p>
    <w:p>
      <w:pPr>
        <w:ind w:firstLine="749"/>
        <w:spacing w:after="0" w:line="275" w:lineRule="auto"/>
        <w:rPr>
          <w:sz w:val="20"/>
          <w:szCs w:val="20"/>
          <w:color w:val="auto"/>
        </w:rPr>
      </w:pPr>
      <w:r>
        <w:rPr>
          <w:rFonts w:ascii="Arial" w:cs="Arial" w:eastAsia="Arial" w:hAnsi="Arial"/>
          <w:sz w:val="16"/>
          <w:szCs w:val="16"/>
          <w:color w:val="auto"/>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we have initiated a Phase 1b trial as a single agent in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also filed and cleared an IND with the FDA for ORIC-114 in the third quarter of 2022. We are pursuing a Phase 1b single agent trial which will enroll patients with advanced solid tumors with EGFR or HER2 exon 20 alterations or HER2 amplifications and will allow patients with CNS metastases that are either treated or untreated but asymptomatic.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pursuing a single agent clinical development plan in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04" w:lineRule="exact"/>
        <w:rPr>
          <w:sz w:val="20"/>
          <w:szCs w:val="20"/>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our product candidates;</w:t>
      </w:r>
    </w:p>
    <w:p>
      <w:pPr>
        <w:spacing w:after="0" w:line="117" w:lineRule="exact"/>
        <w:rPr>
          <w:rFonts w:ascii="Arial" w:cs="Arial" w:eastAsia="Arial" w:hAnsi="Arial"/>
          <w:sz w:val="18"/>
          <w:szCs w:val="18"/>
          <w:color w:val="auto"/>
        </w:rPr>
      </w:pPr>
    </w:p>
    <w:p>
      <w:pPr>
        <w:ind w:left="1260" w:right="700" w:hanging="503"/>
        <w:spacing w:after="0" w:line="261"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left="1260" w:hanging="503"/>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initiation and successful patient enrollment and completion of additional clinical trials of our product candidates on a timely basis;</w:t>
      </w:r>
    </w:p>
    <w:p>
      <w:pPr>
        <w:spacing w:after="0" w:line="128" w:lineRule="exact"/>
        <w:rPr>
          <w:rFonts w:ascii="Arial" w:cs="Arial" w:eastAsia="Arial" w:hAnsi="Arial"/>
          <w:sz w:val="17"/>
          <w:szCs w:val="17"/>
          <w:color w:val="auto"/>
        </w:rPr>
      </w:pPr>
    </w:p>
    <w:p>
      <w:pPr>
        <w:ind w:left="1260" w:right="8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our product candidates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receipt of marketing approvals for our product candidates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260" w:right="20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76" w:lineRule="exact"/>
        <w:rPr>
          <w:rFonts w:ascii="Arial" w:cs="Arial" w:eastAsia="Arial" w:hAnsi="Arial"/>
          <w:sz w:val="18"/>
          <w:szCs w:val="18"/>
          <w:color w:val="auto"/>
        </w:rPr>
      </w:pPr>
    </w:p>
    <w:p>
      <w:pPr>
        <w:ind w:left="1260" w:right="106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04"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9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In addition to ORIC-533, ORIC-114 and ORIC-944, our prospects depend in part upon discovering, developing and commercializing additional product candidates, which may fail in development or suffer delays that adversely affect their commercial viability.</w:t>
      </w:r>
    </w:p>
    <w:p>
      <w:pPr>
        <w:spacing w:after="0" w:line="63"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04" w:lineRule="exact"/>
        <w:rPr>
          <w:sz w:val="20"/>
          <w:szCs w:val="20"/>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delays in our research programs resulting from factors related to the COVID-19 pandemic;</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04"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we will ever be able to discover, develop, obtain regulatory approval of, commercialize or generate significant revenue from any product candidates.</w:t>
      </w:r>
    </w:p>
    <w:p>
      <w:pPr>
        <w:spacing w:after="0" w:line="12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7"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260" w:right="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76" w:lineRule="exact"/>
        <w:rPr>
          <w:rFonts w:ascii="Arial" w:cs="Arial" w:eastAsia="Arial" w:hAnsi="Arial"/>
          <w:sz w:val="18"/>
          <w:szCs w:val="18"/>
          <w:color w:val="auto"/>
        </w:rPr>
      </w:pPr>
    </w:p>
    <w:p>
      <w:pPr>
        <w:ind w:left="1260" w:right="80" w:hanging="503"/>
        <w:spacing w:after="0" w:line="248"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7" w:lineRule="exact"/>
        <w:rPr>
          <w:rFonts w:ascii="Arial" w:cs="Arial" w:eastAsia="Arial" w:hAnsi="Arial"/>
          <w:sz w:val="18"/>
          <w:szCs w:val="18"/>
          <w:color w:val="auto"/>
        </w:rPr>
      </w:pPr>
    </w:p>
    <w:p>
      <w:pPr>
        <w:ind w:left="1260" w:right="7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76" w:lineRule="exact"/>
        <w:rPr>
          <w:rFonts w:ascii="Arial" w:cs="Arial" w:eastAsia="Arial" w:hAnsi="Arial"/>
          <w:sz w:val="18"/>
          <w:szCs w:val="18"/>
          <w:color w:val="auto"/>
        </w:rPr>
      </w:pPr>
    </w:p>
    <w:p>
      <w:pPr>
        <w:ind w:left="1260" w:right="12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auto"/>
        </w:rPr>
      </w:pPr>
    </w:p>
    <w:p>
      <w:pPr>
        <w:ind w:left="1260" w:right="180" w:hanging="503"/>
        <w:spacing w:after="0" w:line="308"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24" w:lineRule="exact"/>
        <w:rPr>
          <w:rFonts w:ascii="Arial" w:cs="Arial" w:eastAsia="Arial" w:hAnsi="Arial"/>
          <w:sz w:val="17"/>
          <w:szCs w:val="17"/>
          <w:color w:val="auto"/>
        </w:rPr>
      </w:pPr>
    </w:p>
    <w:p>
      <w:pPr>
        <w:ind w:left="1260" w:right="5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76"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3" w:lineRule="exact"/>
        <w:rPr>
          <w:sz w:val="20"/>
          <w:szCs w:val="20"/>
          <w:color w:val="auto"/>
        </w:rPr>
      </w:pPr>
    </w:p>
    <w:p>
      <w:pPr>
        <w:ind w:right="620" w:firstLine="749"/>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76"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ind w:right="220"/>
        <w:spacing w:after="0" w:line="277" w:lineRule="auto"/>
        <w:rPr>
          <w:sz w:val="20"/>
          <w:szCs w:val="20"/>
          <w:color w:val="auto"/>
        </w:rPr>
      </w:pPr>
      <w:r>
        <w:rPr>
          <w:rFonts w:ascii="Arial" w:cs="Arial" w:eastAsia="Arial" w:hAnsi="Arial"/>
          <w:sz w:val="18"/>
          <w:szCs w:val="18"/>
          <w:color w:val="auto"/>
        </w:rPr>
        <w:t>believed their product candidates performed satisfactorily in preclinical studies and clinical trials have nonetheless failed to obtain marketing approval of their drugs.</w:t>
      </w:r>
    </w:p>
    <w:p>
      <w:pPr>
        <w:spacing w:after="0" w:line="49"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3" w:lineRule="exact"/>
        <w:rPr>
          <w:sz w:val="20"/>
          <w:szCs w:val="20"/>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76" w:lineRule="exact"/>
        <w:rPr>
          <w:rFonts w:ascii="Arial" w:cs="Arial" w:eastAsia="Arial" w:hAnsi="Arial"/>
          <w:sz w:val="18"/>
          <w:szCs w:val="18"/>
          <w:color w:val="auto"/>
        </w:rPr>
      </w:pPr>
    </w:p>
    <w:p>
      <w:pPr>
        <w:ind w:left="1260" w:right="8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1" w:lineRule="exact"/>
        <w:rPr>
          <w:rFonts w:ascii="Arial" w:cs="Arial" w:eastAsia="Arial" w:hAnsi="Arial"/>
          <w:sz w:val="18"/>
          <w:szCs w:val="18"/>
          <w:color w:val="auto"/>
        </w:rPr>
      </w:pPr>
    </w:p>
    <w:p>
      <w:pPr>
        <w:ind w:left="1260" w:right="62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48" w:lineRule="exact"/>
        <w:rPr>
          <w:rFonts w:ascii="Arial" w:cs="Arial" w:eastAsia="Arial" w:hAnsi="Arial"/>
          <w:sz w:val="18"/>
          <w:szCs w:val="18"/>
          <w:color w:val="auto"/>
        </w:rPr>
      </w:pPr>
    </w:p>
    <w:p>
      <w:pPr>
        <w:ind w:left="1260" w:right="10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1" w:lineRule="exact"/>
        <w:rPr>
          <w:rFonts w:ascii="Arial" w:cs="Arial" w:eastAsia="Arial" w:hAnsi="Arial"/>
          <w:sz w:val="18"/>
          <w:szCs w:val="18"/>
          <w:color w:val="auto"/>
        </w:rPr>
      </w:pPr>
    </w:p>
    <w:p>
      <w:pPr>
        <w:ind w:left="1260" w:right="540" w:hanging="503"/>
        <w:spacing w:after="0" w:line="274"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9" w:lineRule="exact"/>
        <w:rPr>
          <w:rFonts w:ascii="Arial" w:cs="Arial" w:eastAsia="Arial" w:hAnsi="Arial"/>
          <w:sz w:val="17"/>
          <w:szCs w:val="17"/>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76" w:lineRule="exact"/>
        <w:rPr>
          <w:rFonts w:ascii="Arial" w:cs="Arial" w:eastAsia="Arial" w:hAnsi="Arial"/>
          <w:sz w:val="18"/>
          <w:szCs w:val="18"/>
          <w:color w:val="auto"/>
        </w:rPr>
      </w:pPr>
    </w:p>
    <w:p>
      <w:pPr>
        <w:ind w:left="1260" w:right="46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04" w:lineRule="exact"/>
        <w:rPr>
          <w:sz w:val="20"/>
          <w:szCs w:val="20"/>
          <w:color w:val="auto"/>
        </w:rPr>
      </w:pPr>
    </w:p>
    <w:p>
      <w:pPr>
        <w:ind w:firstLine="749"/>
        <w:spacing w:after="0" w:line="263"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65" w:lineRule="exact"/>
        <w:rPr>
          <w:sz w:val="20"/>
          <w:szCs w:val="20"/>
          <w:color w:val="auto"/>
        </w:rPr>
      </w:pPr>
    </w:p>
    <w:p>
      <w:pPr>
        <w:ind w:right="20" w:firstLine="749"/>
        <w:spacing w:after="0" w:line="280" w:lineRule="auto"/>
        <w:rPr>
          <w:sz w:val="20"/>
          <w:szCs w:val="20"/>
          <w:color w:val="auto"/>
        </w:rPr>
      </w:pPr>
      <w:r>
        <w:rPr>
          <w:rFonts w:ascii="Arial" w:cs="Arial" w:eastAsia="Arial" w:hAnsi="Arial"/>
          <w:sz w:val="16"/>
          <w:szCs w:val="16"/>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50" w:lineRule="exact"/>
        <w:rPr>
          <w:sz w:val="20"/>
          <w:szCs w:val="20"/>
          <w:color w:val="auto"/>
        </w:rPr>
      </w:pPr>
    </w:p>
    <w:p>
      <w:pPr>
        <w:ind w:right="100" w:firstLine="749"/>
        <w:spacing w:after="0" w:line="278"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180"/>
        <w:spacing w:after="0" w:line="303" w:lineRule="auto"/>
        <w:rPr>
          <w:sz w:val="20"/>
          <w:szCs w:val="20"/>
          <w:color w:val="auto"/>
        </w:rPr>
      </w:pPr>
      <w:r>
        <w:rPr>
          <w:rFonts w:ascii="Arial" w:cs="Arial" w:eastAsia="Arial" w:hAnsi="Arial"/>
          <w:sz w:val="16"/>
          <w:szCs w:val="16"/>
          <w:color w:val="auto"/>
        </w:rPr>
        <w:t>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3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25"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ORIC-533, ORIC-114,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8"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93" w:lineRule="exact"/>
        <w:rPr>
          <w:sz w:val="20"/>
          <w:szCs w:val="20"/>
          <w:color w:val="auto"/>
        </w:rPr>
      </w:pPr>
    </w:p>
    <w:p>
      <w:pPr>
        <w:ind w:right="460" w:firstLine="749"/>
        <w:spacing w:after="0" w:line="261"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1" w:lineRule="exact"/>
        <w:rPr>
          <w:sz w:val="20"/>
          <w:szCs w:val="20"/>
          <w:color w:val="auto"/>
        </w:rPr>
      </w:pPr>
    </w:p>
    <w:p>
      <w:pPr>
        <w:ind w:right="120" w:firstLine="749"/>
        <w:spacing w:after="0" w:line="279"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5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the same or different territories could adversely affect our development of such product candidate.</w:t>
      </w:r>
    </w:p>
    <w:p>
      <w:pPr>
        <w:spacing w:after="0" w:line="49" w:lineRule="exact"/>
        <w:rPr>
          <w:sz w:val="20"/>
          <w:szCs w:val="20"/>
          <w:color w:val="auto"/>
        </w:rPr>
      </w:pPr>
    </w:p>
    <w:p>
      <w:pPr>
        <w:ind w:right="140" w:firstLine="749"/>
        <w:spacing w:after="0" w:line="256" w:lineRule="auto"/>
        <w:rPr>
          <w:sz w:val="20"/>
          <w:szCs w:val="20"/>
          <w:color w:val="auto"/>
        </w:rPr>
      </w:pPr>
      <w:r>
        <w:rPr>
          <w:rFonts w:ascii="Arial" w:cs="Arial" w:eastAsia="Arial" w:hAnsi="Arial"/>
          <w:sz w:val="18"/>
          <w:szCs w:val="18"/>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spacing w:after="0" w:line="288" w:lineRule="auto"/>
        <w:rPr>
          <w:sz w:val="20"/>
          <w:szCs w:val="20"/>
          <w:color w:val="auto"/>
        </w:rPr>
      </w:pPr>
      <w:r>
        <w:rPr>
          <w:rFonts w:ascii="Arial" w:cs="Arial" w:eastAsia="Arial" w:hAnsi="Arial"/>
          <w:sz w:val="16"/>
          <w:szCs w:val="16"/>
          <w:color w:val="auto"/>
        </w:rPr>
        <w:t>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76"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53"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77"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7" w:lineRule="exact"/>
        <w:rPr>
          <w:sz w:val="20"/>
          <w:szCs w:val="20"/>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1260" w:right="320" w:hanging="503"/>
        <w:spacing w:after="0" w:line="248"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7"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03" w:lineRule="exact"/>
        <w:rPr>
          <w:rFonts w:ascii="Arial" w:cs="Arial" w:eastAsia="Arial" w:hAnsi="Arial"/>
          <w:sz w:val="18"/>
          <w:szCs w:val="18"/>
          <w:color w:val="auto"/>
        </w:rPr>
      </w:pPr>
    </w:p>
    <w:p>
      <w:pPr>
        <w:ind w:left="1260" w:right="48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49" w:lineRule="exact"/>
        <w:rPr>
          <w:sz w:val="20"/>
          <w:szCs w:val="20"/>
          <w:color w:val="auto"/>
        </w:rPr>
      </w:pPr>
    </w:p>
    <w:p>
      <w:pPr>
        <w:jc w:val="both"/>
        <w:ind w:right="40" w:firstLine="749"/>
        <w:spacing w:after="0" w:line="256"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color w:val="auto"/>
        </w:rPr>
        <w:t>even if we are able to enroll a sufficient number of patients for our clinical trials, we may have difficulty maintaining participation in our clinical trials through the treatment and any follow-up periods.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15"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were suspended as part of quarantines and other measures intended to contain this pandemic. Due to the continued COVID-19 pandemic, including the spread of variants, we may experience disruptions that could severely impact our business and clinical trials, including:</w:t>
      </w:r>
    </w:p>
    <w:p>
      <w:pPr>
        <w:spacing w:after="0" w:line="44" w:lineRule="exact"/>
        <w:rPr>
          <w:sz w:val="20"/>
          <w:szCs w:val="20"/>
          <w:color w:val="auto"/>
        </w:rPr>
      </w:pPr>
    </w:p>
    <w:p>
      <w:pPr>
        <w:ind w:left="1260" w:right="26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rFonts w:ascii="Arial" w:cs="Arial" w:eastAsia="Arial" w:hAnsi="Arial"/>
          <w:sz w:val="18"/>
          <w:szCs w:val="18"/>
          <w:color w:val="auto"/>
        </w:rPr>
      </w:pPr>
    </w:p>
    <w:p>
      <w:pPr>
        <w:ind w:left="1260" w:right="340" w:hanging="503"/>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260" w:right="180" w:hanging="503"/>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48" w:lineRule="exact"/>
        <w:rPr>
          <w:rFonts w:ascii="Arial" w:cs="Arial" w:eastAsia="Arial" w:hAnsi="Arial"/>
          <w:sz w:val="18"/>
          <w:szCs w:val="18"/>
          <w:color w:val="auto"/>
        </w:rPr>
      </w:pPr>
    </w:p>
    <w:p>
      <w:pPr>
        <w:ind w:left="1260" w:hanging="503"/>
        <w:spacing w:after="0" w:line="256"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260" w:right="36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rFonts w:ascii="Arial" w:cs="Arial" w:eastAsia="Arial" w:hAnsi="Arial"/>
          <w:sz w:val="18"/>
          <w:szCs w:val="18"/>
          <w:color w:val="auto"/>
        </w:rPr>
      </w:pPr>
    </w:p>
    <w:p>
      <w:pPr>
        <w:ind w:left="1260" w:right="260" w:hanging="503"/>
        <w:spacing w:after="0" w:line="291"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52" w:lineRule="exact"/>
        <w:rPr>
          <w:rFonts w:ascii="Arial" w:cs="Arial" w:eastAsia="Arial" w:hAnsi="Arial"/>
          <w:sz w:val="17"/>
          <w:szCs w:val="17"/>
          <w:color w:val="auto"/>
        </w:rPr>
      </w:pPr>
    </w:p>
    <w:p>
      <w:pPr>
        <w:ind w:left="1260" w:right="42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1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87"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Our primary operations are located in South San Francisco and San Diego. As a result of county and California stay-at-home orders being lifted, the portion of our employees that were telecommuting are in the process of returning to our physical locations at both sites. As our employees begin to return to work in our physical locations,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78"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which could delay or otherwise impact procurement of materials for certain of our ongoing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line="256" w:lineRule="auto"/>
        <w:rPr>
          <w:sz w:val="20"/>
          <w:szCs w:val="20"/>
          <w:color w:val="auto"/>
        </w:rPr>
      </w:pPr>
      <w:r>
        <w:rPr>
          <w:rFonts w:ascii="Arial" w:cs="Arial" w:eastAsia="Arial" w:hAnsi="Arial"/>
          <w:sz w:val="17"/>
          <w:szCs w:val="17"/>
          <w:color w:val="auto"/>
        </w:rPr>
        <w:t>planned studies of ORIC-533, ORIC-114 or ORIC-944. Specifically, we have recently experienced increased difficulty shipping materials to and from China, which has delayed the receipt and delivery of such materials and resulted in increased shipping costs.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 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87"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87"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67"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58" w:lineRule="exact"/>
        <w:rPr>
          <w:sz w:val="20"/>
          <w:szCs w:val="20"/>
          <w:color w:val="auto"/>
        </w:rPr>
      </w:pPr>
    </w:p>
    <w:p>
      <w:pPr>
        <w:ind w:right="100" w:firstLine="749"/>
        <w:spacing w:after="0" w:line="267"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our programs in combination with other therapies, which exposes us to additional risks.</w:t>
      </w:r>
    </w:p>
    <w:p>
      <w:pPr>
        <w:spacing w:after="0" w:line="104"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300" w:firstLine="749"/>
        <w:spacing w:after="0" w:line="256"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67" w:lineRule="exact"/>
        <w:rPr>
          <w:sz w:val="20"/>
          <w:szCs w:val="20"/>
          <w:color w:val="auto"/>
        </w:rPr>
      </w:pPr>
    </w:p>
    <w:p>
      <w:pPr>
        <w:ind w:right="40" w:firstLine="749"/>
        <w:spacing w:after="0" w:line="278"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50" w:lineRule="exact"/>
        <w:rPr>
          <w:sz w:val="20"/>
          <w:szCs w:val="20"/>
          <w:color w:val="auto"/>
        </w:rPr>
      </w:pPr>
    </w:p>
    <w:p>
      <w:pPr>
        <w:ind w:right="120" w:firstLine="749"/>
        <w:spacing w:after="0" w:line="249"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resources and are focusing our efforts on developing ORIC-533, ORIC-114 and ORIC-944, and advancing our preclinical programs.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we may fail to capitalize on other indications or product candidates that may ultimately have proven to be more profitable.</w:t>
      </w:r>
    </w:p>
    <w:p>
      <w:pPr>
        <w:spacing w:after="0" w:line="101"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We focus our resources and efforts on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6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7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93" w:lineRule="exact"/>
        <w:rPr>
          <w:sz w:val="20"/>
          <w:szCs w:val="20"/>
          <w:color w:val="auto"/>
        </w:rPr>
      </w:pPr>
    </w:p>
    <w:p>
      <w:pPr>
        <w:ind w:right="180" w:firstLine="749"/>
        <w:spacing w:after="0" w:line="260" w:lineRule="auto"/>
        <w:rPr>
          <w:sz w:val="20"/>
          <w:szCs w:val="20"/>
          <w:color w:val="auto"/>
        </w:rPr>
      </w:pPr>
      <w:r>
        <w:rPr>
          <w:rFonts w:ascii="Arial" w:cs="Arial" w:eastAsia="Arial" w:hAnsi="Arial"/>
          <w:sz w:val="17"/>
          <w:szCs w:val="17"/>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spacing w:after="0" w:line="79" w:lineRule="exact"/>
        <w:rPr>
          <w:sz w:val="20"/>
          <w:szCs w:val="20"/>
          <w:color w:val="auto"/>
        </w:rPr>
      </w:pPr>
    </w:p>
    <w:p>
      <w:pPr>
        <w:ind w:right="280" w:firstLine="749"/>
        <w:spacing w:after="0" w:line="283" w:lineRule="auto"/>
        <w:rPr>
          <w:sz w:val="20"/>
          <w:szCs w:val="20"/>
          <w:color w:val="auto"/>
        </w:rPr>
      </w:pPr>
      <w:r>
        <w:rPr>
          <w:rFonts w:ascii="Arial" w:cs="Arial" w:eastAsia="Arial" w:hAnsi="Arial"/>
          <w:sz w:val="16"/>
          <w:szCs w:val="16"/>
          <w:color w:val="auto"/>
        </w:rPr>
        <w:t>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clinical trials against this target. To our knowledge, only Antengene has an orally available, small molecule CD73 inhibitor in an active clinical trial for patients with cancer.</w:t>
      </w:r>
    </w:p>
    <w:p>
      <w:pPr>
        <w:spacing w:after="0" w:line="49" w:lineRule="exact"/>
        <w:rPr>
          <w:sz w:val="20"/>
          <w:szCs w:val="20"/>
          <w:color w:val="auto"/>
        </w:rPr>
      </w:pPr>
    </w:p>
    <w:p>
      <w:pPr>
        <w:jc w:val="both"/>
        <w:ind w:right="160" w:firstLine="749"/>
        <w:spacing w:after="0" w:line="256" w:lineRule="auto"/>
        <w:rPr>
          <w:sz w:val="20"/>
          <w:szCs w:val="20"/>
          <w:color w:val="auto"/>
        </w:rPr>
      </w:pPr>
      <w:r>
        <w:rPr>
          <w:rFonts w:ascii="Arial" w:cs="Arial" w:eastAsia="Arial" w:hAnsi="Arial"/>
          <w:sz w:val="18"/>
          <w:szCs w:val="18"/>
          <w:color w:val="auto"/>
        </w:rPr>
        <w:t>For ORIC-944, we are aware of several companies developing inhibitors against PRC2 via EZH2 inhibition that are currently in clinical trials, including Ipsen, Morphosys, Daiichi Sankyo, Pfizer, Shanghai HaiHe Pharmaceutical and Jiangsu Hengrui Medicine Co. To our knowledge, Novartis and Ascentage Pharma have allosteric PRC2 inhibitors in clinical trials for patients with cancer.</w:t>
      </w:r>
    </w:p>
    <w:p>
      <w:pPr>
        <w:spacing w:after="0" w:line="67"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For ORIC-114, we are aware of two companies with an FDA 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Spectrum Pharmaceuticals, Jiangsu Hengrui Medicine Co., Daiichi Sankyo, Dizal Pharmaceuticals, Cullinan Oncology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0"/>
        <w:spacing w:after="0" w:line="249" w:lineRule="auto"/>
        <w:rPr>
          <w:sz w:val="20"/>
          <w:szCs w:val="20"/>
          <w:color w:val="auto"/>
        </w:rPr>
      </w:pPr>
      <w:r>
        <w:rPr>
          <w:rFonts w:ascii="Arial" w:cs="Arial" w:eastAsia="Arial" w:hAnsi="Arial"/>
          <w:sz w:val="18"/>
          <w:szCs w:val="18"/>
          <w:color w:val="auto"/>
        </w:rPr>
        <w:t>collaboration with Taiho Pharmaceutical, Bayer, ArriVent BioPharma in collaboration with Allist Pharmaceuticals, Boehringer Ingelheim, Junshi Biosciences and Blueprint Medicines. Additionally, Seattle Genetics has an FDA approved product for the treatment of patients with HER2-positive breast cancer, including patients with brain metastases. We are also aware that Dizal Pharmaceuticals and Zion Pharma are developing brain penetrant inhibitors currently in clinical trials for patients with HER2-positive breast cancer.</w:t>
      </w:r>
    </w:p>
    <w:p>
      <w:pPr>
        <w:spacing w:after="0" w:line="86"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73"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5" w:name="page36"/>
    <w:bookmarkEnd w:id="35"/>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49"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67" w:lineRule="exact"/>
        <w:rPr>
          <w:sz w:val="20"/>
          <w:szCs w:val="20"/>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1260" w:right="140" w:hanging="503"/>
        <w:spacing w:after="0" w:line="248"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260" w:right="380" w:hanging="503"/>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04" w:lineRule="exact"/>
        <w:rPr>
          <w:sz w:val="20"/>
          <w:szCs w:val="20"/>
          <w:color w:val="auto"/>
        </w:rPr>
      </w:pPr>
    </w:p>
    <w:p>
      <w:pPr>
        <w:ind w:right="100" w:firstLine="749"/>
        <w:spacing w:after="0" w:line="324"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our product candidates we develop, if approved, may be limited to certain smaller patient subsets.</w:t>
      </w:r>
    </w:p>
    <w:p>
      <w:pPr>
        <w:spacing w:after="0" w:line="104" w:lineRule="exact"/>
        <w:rPr>
          <w:sz w:val="20"/>
          <w:szCs w:val="20"/>
          <w:color w:val="auto"/>
        </w:rPr>
      </w:pPr>
    </w:p>
    <w:p>
      <w:pPr>
        <w:ind w:right="120" w:firstLine="749"/>
        <w:spacing w:after="0" w:line="283"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49" w:lineRule="exact"/>
        <w:rPr>
          <w:sz w:val="20"/>
          <w:szCs w:val="20"/>
          <w:color w:val="auto"/>
        </w:rPr>
      </w:pPr>
    </w:p>
    <w:p>
      <w:pPr>
        <w:ind w:right="160" w:firstLine="749"/>
        <w:spacing w:after="0" w:line="249"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86" w:lineRule="exact"/>
        <w:rPr>
          <w:sz w:val="20"/>
          <w:szCs w:val="20"/>
          <w:color w:val="auto"/>
        </w:rPr>
      </w:pPr>
    </w:p>
    <w:p>
      <w:pPr>
        <w:ind w:right="700" w:firstLine="749"/>
        <w:spacing w:after="0" w:line="261"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color w:val="auto"/>
        </w:rPr>
        <w:t>unable to successfully license or acquire additional product candidates to expand our portfolio, our pipeline, competitive position, business, financial condition, results of operations, and prospects may be materially harmed.</w:t>
      </w:r>
    </w:p>
    <w:p>
      <w:pPr>
        <w:spacing w:after="0" w:line="4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76"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66"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8"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4"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8"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49" w:lineRule="exact"/>
        <w:rPr>
          <w:sz w:val="20"/>
          <w:szCs w:val="20"/>
          <w:color w:val="auto"/>
        </w:rPr>
      </w:pPr>
    </w:p>
    <w:p>
      <w:pPr>
        <w:ind w:right="120" w:firstLine="749"/>
        <w:spacing w:after="0" w:line="275"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15" w:lineRule="exact"/>
        <w:rPr>
          <w:sz w:val="20"/>
          <w:szCs w:val="20"/>
          <w:color w:val="auto"/>
        </w:rPr>
      </w:pPr>
    </w:p>
    <w:p>
      <w:pPr>
        <w:ind w:right="80" w:firstLine="749"/>
        <w:spacing w:after="0" w:line="283"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48"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79"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Moreover, the time required to obtain approval may differ from that required to obtain FDA approval.</w:t>
      </w:r>
    </w:p>
    <w:p>
      <w:pPr>
        <w:spacing w:after="0" w:line="8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right="240" w:firstLine="749"/>
        <w:spacing w:after="0" w:line="249" w:lineRule="auto"/>
        <w:rPr>
          <w:sz w:val="20"/>
          <w:szCs w:val="20"/>
          <w:color w:val="auto"/>
        </w:rPr>
      </w:pPr>
      <w:r>
        <w:rPr>
          <w:rFonts w:ascii="Arial" w:cs="Arial" w:eastAsia="Arial" w:hAnsi="Arial"/>
          <w:sz w:val="18"/>
          <w:szCs w:val="18"/>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80"/>
        <w:spacing w:after="0" w:line="249" w:lineRule="auto"/>
        <w:rPr>
          <w:sz w:val="20"/>
          <w:szCs w:val="20"/>
          <w:color w:val="auto"/>
        </w:rPr>
      </w:pPr>
      <w:r>
        <w:rPr>
          <w:rFonts w:ascii="Arial" w:cs="Arial" w:eastAsia="Arial" w:hAnsi="Arial"/>
          <w:sz w:val="18"/>
          <w:szCs w:val="18"/>
          <w:color w:val="auto"/>
        </w:rPr>
        <w:t>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6"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6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76"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6" w:lineRule="exact"/>
        <w:rPr>
          <w:sz w:val="20"/>
          <w:szCs w:val="20"/>
          <w:color w:val="auto"/>
        </w:rPr>
      </w:pPr>
    </w:p>
    <w:p>
      <w:pPr>
        <w:ind w:right="300" w:firstLine="749"/>
        <w:spacing w:after="0" w:line="268"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60"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17"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93" w:lineRule="exact"/>
        <w:rPr>
          <w:sz w:val="20"/>
          <w:szCs w:val="20"/>
          <w:color w:val="auto"/>
        </w:rPr>
      </w:pPr>
    </w:p>
    <w:p>
      <w:pPr>
        <w:ind w:right="560" w:firstLine="749"/>
        <w:spacing w:after="0" w:line="26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2"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69"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3"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20"/>
        <w:spacing w:after="0" w:line="272" w:lineRule="auto"/>
        <w:rPr>
          <w:sz w:val="20"/>
          <w:szCs w:val="20"/>
          <w:color w:val="auto"/>
        </w:rPr>
      </w:pPr>
      <w:r>
        <w:rPr>
          <w:rFonts w:ascii="Arial" w:cs="Arial" w:eastAsia="Arial" w:hAnsi="Arial"/>
          <w:sz w:val="16"/>
          <w:szCs w:val="16"/>
          <w:color w:val="auto"/>
        </w:rPr>
        <w:t>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91"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6"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1"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29" w:lineRule="exact"/>
        <w:rPr>
          <w:sz w:val="20"/>
          <w:szCs w:val="20"/>
          <w:color w:val="auto"/>
        </w:rPr>
      </w:pPr>
    </w:p>
    <w:p>
      <w:pPr>
        <w:ind w:right="20" w:firstLine="749"/>
        <w:spacing w:after="0" w:line="263"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65" w:lineRule="exact"/>
        <w:rPr>
          <w:sz w:val="20"/>
          <w:szCs w:val="20"/>
          <w:color w:val="auto"/>
        </w:rPr>
      </w:pPr>
    </w:p>
    <w:p>
      <w:pPr>
        <w:ind w:right="120" w:firstLine="749"/>
        <w:spacing w:after="0" w:line="279"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67"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spacing w:after="0" w:line="280" w:lineRule="auto"/>
        <w:rPr>
          <w:sz w:val="20"/>
          <w:szCs w:val="20"/>
          <w:color w:val="auto"/>
        </w:rPr>
      </w:pPr>
      <w:r>
        <w:rPr>
          <w:rFonts w:ascii="Arial" w:cs="Arial" w:eastAsia="Arial" w:hAnsi="Arial"/>
          <w:sz w:val="16"/>
          <w:szCs w:val="16"/>
          <w:color w:val="auto"/>
        </w:rPr>
        <w:t>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3" w:lineRule="exact"/>
        <w:rPr>
          <w:sz w:val="20"/>
          <w:szCs w:val="20"/>
          <w:color w:val="auto"/>
        </w:rPr>
      </w:pPr>
    </w:p>
    <w:p>
      <w:pPr>
        <w:ind w:right="100" w:firstLine="749"/>
        <w:spacing w:after="0" w:line="275"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54"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w:t>
      </w:r>
    </w:p>
    <w:p>
      <w:pPr>
        <w:spacing w:after="0" w:line="1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240"/>
        <w:spacing w:after="0" w:line="277" w:lineRule="auto"/>
        <w:rPr>
          <w:sz w:val="20"/>
          <w:szCs w:val="20"/>
          <w:color w:val="auto"/>
        </w:rPr>
      </w:pPr>
      <w:r>
        <w:rPr>
          <w:rFonts w:ascii="Arial" w:cs="Arial" w:eastAsia="Arial" w:hAnsi="Arial"/>
          <w:sz w:val="18"/>
          <w:szCs w:val="18"/>
          <w:color w:val="auto"/>
        </w:rPr>
        <w:t>ACA, our business, financial condition and results of operations. Complying with any new legislation or reversing changes implemented under the ACA could be time-intensive and expensive, resulting in a material adverse effect on our business.</w:t>
      </w:r>
    </w:p>
    <w:p>
      <w:pPr>
        <w:spacing w:after="0" w:line="49"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Under current legislation, the reduction in Medicare payments varies from 1% in 2022 up to 4% in the final fiscal year of the sequester,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67" w:lineRule="exact"/>
        <w:rPr>
          <w:sz w:val="20"/>
          <w:szCs w:val="20"/>
          <w:color w:val="auto"/>
        </w:rPr>
      </w:pPr>
    </w:p>
    <w:p>
      <w:pPr>
        <w:ind w:right="40" w:firstLine="749"/>
        <w:spacing w:after="0" w:line="256"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87" w:lineRule="exact"/>
        <w:rPr>
          <w:sz w:val="20"/>
          <w:szCs w:val="20"/>
          <w:color w:val="auto"/>
        </w:rPr>
      </w:pPr>
    </w:p>
    <w:p>
      <w:pPr>
        <w:ind w:right="40" w:firstLine="749"/>
        <w:spacing w:after="0" w:line="277"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56" w:lineRule="exact"/>
        <w:rPr>
          <w:sz w:val="20"/>
          <w:szCs w:val="20"/>
          <w:color w:val="auto"/>
        </w:rPr>
      </w:pPr>
    </w:p>
    <w:p>
      <w:pPr>
        <w:ind w:right="60" w:firstLine="749"/>
        <w:spacing w:after="0" w:line="267"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0"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49" w:lineRule="exact"/>
        <w:rPr>
          <w:sz w:val="20"/>
          <w:szCs w:val="20"/>
          <w:color w:val="auto"/>
        </w:rPr>
      </w:pPr>
    </w:p>
    <w:p>
      <w:pPr>
        <w:ind w:right="60" w:firstLine="749"/>
        <w:spacing w:after="0" w:line="22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firstLine="749"/>
        <w:spacing w:after="0" w:line="274" w:lineRule="auto"/>
        <w:rPr>
          <w:sz w:val="20"/>
          <w:szCs w:val="20"/>
          <w:color w:val="auto"/>
        </w:rPr>
      </w:pPr>
      <w:r>
        <w:rPr>
          <w:rFonts w:ascii="Arial" w:cs="Arial" w:eastAsia="Arial" w:hAnsi="Arial"/>
          <w:sz w:val="16"/>
          <w:szCs w:val="16"/>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 member states may result in fines up to €20,000,000 or up to 4% of the total worldwide annual turnover of the preceding financial year, whichever is higher, and other administrative penalties and liabilities. The GDPR has increased our responsibility and liability in relation to personal data that we may process, and we may be required to put in place additional mechanisms in an effort to comply with the GDPR or other laws and regulations relating to privacy, data protection and cybersecurity. This may be onerous and if our efforts to comply with GDPR or other applicable laws and regulations are not successful, it could adversely affect our business. Further, the European Court of Justice (ECJ) in 2020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resulted in additional requirements for companies making use of standard contractual clauses issued by the European Commission (SCCs), including requirements to make use of updated SCCs. The United Kingdom (UK) also has issued updated standard contractual clauses that also are required to be implemented. The ECJ’s decision and other events with respect to cross-border data transfer may impose additional obligations with respect to the transfer of personal data from the European Economic Area (EEA), the UK and Switzerland to the U.S. and may require us to modify our policies and practices and engage in additional contractual negotiations, each of which could increase our costs and obligations and impose limitations upon our ability to efficiently transfer personal data from those regions to the U.S.</w:t>
      </w:r>
    </w:p>
    <w:p>
      <w:pPr>
        <w:spacing w:after="0" w:line="6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Further, the exit from the EU of the UK, often referred to as Brexit, has created uncertainty regarding data protection regulation in the UK. The UK has implemented legislation that implements and complements the GDPR, with penalties for noncompliance of up to the greater of £17.5 million or four percent of worldwide revenues. Aspects of data protection regulation in the UK, however, including with respect to cross -border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UK in connection with any measures we take to comply with them.</w:t>
      </w:r>
    </w:p>
    <w:p>
      <w:pPr>
        <w:spacing w:after="0" w:line="79"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and it becomes operative in most respects on January 1, 2023.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in June 2021, Colorado enacted a Colorado Privacy Act that will go into effect on July 1, 2023; in March 2022, Utah enacted a Utah Consumer Privacy Act that will go into effect December 31, 2023; and in May 2022, Connecticut enacted An Act Concerning Personal Data Privacy and Online Monitoring that will take effect on July 1, 2023. All of these new state laws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67"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5" w:lineRule="exact"/>
        <w:rPr>
          <w:sz w:val="20"/>
          <w:szCs w:val="20"/>
          <w:color w:val="auto"/>
        </w:rPr>
      </w:pPr>
    </w:p>
    <w:p>
      <w:pPr>
        <w:ind w:right="180" w:firstLine="749"/>
        <w:spacing w:after="0" w:line="24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ind w:right="40" w:firstLine="749"/>
        <w:spacing w:after="0" w:line="27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While the FDA has largely caught up with domestic preapproval inspections, it continues to work through its backlog of foreign inspections. If a prolonged government shutdown or other disruption occurs, including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i w:val="1"/>
          <w:iCs w:val="1"/>
          <w:color w:val="auto"/>
        </w:rPr>
        <w:t>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3" w:lineRule="exact"/>
        <w:rPr>
          <w:sz w:val="20"/>
          <w:szCs w:val="20"/>
          <w:color w:val="auto"/>
        </w:rPr>
      </w:pPr>
    </w:p>
    <w:p>
      <w:pPr>
        <w:ind w:right="100" w:firstLine="749"/>
        <w:spacing w:after="0" w:line="263"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49" w:lineRule="exact"/>
        <w:rPr>
          <w:sz w:val="20"/>
          <w:szCs w:val="20"/>
          <w:color w:val="auto"/>
        </w:rPr>
      </w:pPr>
    </w:p>
    <w:p>
      <w:pPr>
        <w:ind w:left="1260" w:right="60" w:hanging="503"/>
        <w:spacing w:after="0" w:line="231"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3" w:lineRule="exact"/>
        <w:rPr>
          <w:rFonts w:ascii="Arial" w:cs="Arial" w:eastAsia="Arial" w:hAnsi="Arial"/>
          <w:sz w:val="18"/>
          <w:szCs w:val="18"/>
          <w:color w:val="auto"/>
        </w:rPr>
      </w:pPr>
    </w:p>
    <w:p>
      <w:pPr>
        <w:ind w:left="1260" w:right="120" w:hanging="503"/>
        <w:spacing w:after="0" w:line="231"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3" w:lineRule="exact"/>
        <w:rPr>
          <w:rFonts w:ascii="Arial" w:cs="Arial" w:eastAsia="Arial" w:hAnsi="Arial"/>
          <w:sz w:val="18"/>
          <w:szCs w:val="18"/>
          <w:color w:val="auto"/>
        </w:rPr>
      </w:pPr>
    </w:p>
    <w:p>
      <w:pPr>
        <w:ind w:left="1260" w:right="40" w:hanging="503"/>
        <w:spacing w:after="0" w:line="246"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1" w:lineRule="exact"/>
        <w:rPr>
          <w:rFonts w:ascii="Arial" w:cs="Arial" w:eastAsia="Arial" w:hAnsi="Arial"/>
          <w:sz w:val="18"/>
          <w:szCs w:val="18"/>
          <w:color w:val="auto"/>
        </w:rPr>
      </w:pPr>
    </w:p>
    <w:p>
      <w:pPr>
        <w:ind w:left="1260" w:right="340" w:hanging="503"/>
        <w:spacing w:after="0" w:line="260"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66" w:lineRule="exact"/>
        <w:rPr>
          <w:rFonts w:ascii="Arial" w:cs="Arial" w:eastAsia="Arial" w:hAnsi="Arial"/>
          <w:sz w:val="16"/>
          <w:szCs w:val="16"/>
          <w:color w:val="auto"/>
        </w:rPr>
      </w:pPr>
    </w:p>
    <w:p>
      <w:pPr>
        <w:ind w:left="1260" w:right="20" w:hanging="503"/>
        <w:spacing w:after="0" w:line="246"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left="1260" w:hanging="503"/>
        <w:spacing w:after="0" w:line="261"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68"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5" w:lineRule="exact"/>
        <w:rPr>
          <w:sz w:val="20"/>
          <w:szCs w:val="20"/>
          <w:color w:val="auto"/>
        </w:rPr>
      </w:pPr>
    </w:p>
    <w:p>
      <w:pPr>
        <w:ind w:firstLine="749"/>
        <w:spacing w:after="0" w:line="256"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81"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6" w:name="page47"/>
    <w:bookmarkEnd w:id="46"/>
    <w:p>
      <w:pPr>
        <w:ind w:right="60" w:firstLine="749"/>
        <w:spacing w:after="0" w:line="257"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7"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78" w:lineRule="exact"/>
        <w:rPr>
          <w:sz w:val="20"/>
          <w:szCs w:val="20"/>
          <w:color w:val="auto"/>
        </w:rPr>
      </w:pPr>
    </w:p>
    <w:p>
      <w:pPr>
        <w:jc w:val="both"/>
        <w:ind w:right="160" w:firstLine="749"/>
        <w:spacing w:after="0" w:line="256"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67"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81"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7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76"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3"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140" w:firstLine="749"/>
        <w:spacing w:after="0" w:line="267"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0"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67" w:lineRule="exact"/>
        <w:rPr>
          <w:sz w:val="20"/>
          <w:szCs w:val="20"/>
          <w:color w:val="auto"/>
        </w:rPr>
      </w:pPr>
    </w:p>
    <w:p>
      <w:pPr>
        <w:ind w:right="120" w:firstLine="749"/>
        <w:spacing w:after="0" w:line="258"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7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81" w:lineRule="exact"/>
        <w:rPr>
          <w:sz w:val="20"/>
          <w:szCs w:val="20"/>
          <w:color w:val="auto"/>
        </w:rPr>
      </w:pPr>
    </w:p>
    <w:p>
      <w:pPr>
        <w:ind w:right="20" w:firstLine="749"/>
        <w:spacing w:after="0" w:line="26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65" w:lineRule="exact"/>
        <w:rPr>
          <w:sz w:val="20"/>
          <w:szCs w:val="20"/>
          <w:color w:val="auto"/>
        </w:rPr>
      </w:pPr>
    </w:p>
    <w:p>
      <w:pPr>
        <w:ind w:right="120" w:firstLine="749"/>
        <w:spacing w:after="0" w:line="24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3"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5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0" w:lineRule="exact"/>
        <w:rPr>
          <w:sz w:val="20"/>
          <w:szCs w:val="20"/>
          <w:color w:val="auto"/>
        </w:rPr>
      </w:pPr>
    </w:p>
    <w:p>
      <w:pPr>
        <w:ind w:right="60" w:firstLine="749"/>
        <w:spacing w:after="0" w:line="280"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right="60"/>
        <w:spacing w:after="0" w:line="288" w:lineRule="auto"/>
        <w:rPr>
          <w:sz w:val="20"/>
          <w:szCs w:val="20"/>
          <w:color w:val="auto"/>
        </w:rPr>
      </w:pPr>
      <w:r>
        <w:rPr>
          <w:rFonts w:ascii="Arial" w:cs="Arial" w:eastAsia="Arial" w:hAnsi="Arial"/>
          <w:sz w:val="16"/>
          <w:szCs w:val="16"/>
          <w:color w:val="auto"/>
        </w:rPr>
        <w:t>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44"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4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If we fail to comply with California laws or Nasdaq rules governing the diversity of our board of directors, we could be exposed to financial penalties and suffer reputational harm.</w:t>
      </w:r>
    </w:p>
    <w:p>
      <w:pPr>
        <w:spacing w:after="0" w:line="68"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On May 13, 2022, the Los Angeles County Superior Court in California found that Senate Bill 826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93" w:lineRule="exact"/>
        <w:rPr>
          <w:sz w:val="20"/>
          <w:szCs w:val="20"/>
          <w:color w:val="auto"/>
        </w:rPr>
      </w:pPr>
    </w:p>
    <w:p>
      <w:pPr>
        <w:ind w:firstLine="794"/>
        <w:spacing w:after="0" w:line="245" w:lineRule="auto"/>
        <w:rPr>
          <w:sz w:val="20"/>
          <w:szCs w:val="20"/>
          <w:color w:val="auto"/>
        </w:rPr>
      </w:pPr>
      <w:r>
        <w:rPr>
          <w:rFonts w:ascii="Arial" w:cs="Arial" w:eastAsia="Arial" w:hAnsi="Arial"/>
          <w:sz w:val="18"/>
          <w:szCs w:val="18"/>
          <w:color w:val="auto"/>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78"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8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Our board of directors currently includes three female directors and two directors from an underrepresented community. Based on the current composition of our board of directors we would be in compliance with Senate Bill 826 and Assembly Bill 979 should either law be appealed and reinstated.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(if appealed and reinstated) or the Nasdaq rule, which may expose us to financial penalties and adversely affect our reputation.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4"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300"/>
        <w:spacing w:after="0" w:line="256" w:lineRule="auto"/>
        <w:rPr>
          <w:sz w:val="20"/>
          <w:szCs w:val="20"/>
          <w:color w:val="auto"/>
        </w:rPr>
      </w:pPr>
      <w:r>
        <w:rPr>
          <w:rFonts w:ascii="Arial" w:cs="Arial" w:eastAsia="Arial" w:hAnsi="Arial"/>
          <w:sz w:val="18"/>
          <w:szCs w:val="18"/>
          <w:color w:val="auto"/>
        </w:rPr>
        <w:t>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7" w:lineRule="exact"/>
        <w:rPr>
          <w:sz w:val="20"/>
          <w:szCs w:val="20"/>
          <w:color w:val="auto"/>
        </w:rPr>
      </w:pPr>
    </w:p>
    <w:p>
      <w:pPr>
        <w:ind w:right="40" w:firstLine="749"/>
        <w:spacing w:after="0" w:line="267"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0" w:lineRule="exact"/>
        <w:rPr>
          <w:sz w:val="20"/>
          <w:szCs w:val="20"/>
          <w:color w:val="auto"/>
        </w:rPr>
      </w:pPr>
    </w:p>
    <w:p>
      <w:pPr>
        <w:ind w:right="40" w:firstLine="749"/>
        <w:spacing w:after="0" w:line="261"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76" w:lineRule="exact"/>
        <w:rPr>
          <w:sz w:val="20"/>
          <w:szCs w:val="20"/>
          <w:color w:val="auto"/>
        </w:rPr>
      </w:pPr>
    </w:p>
    <w:p>
      <w:pPr>
        <w:ind w:right="60" w:firstLine="749"/>
        <w:spacing w:after="0" w:line="24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3" w:lineRule="exact"/>
        <w:rPr>
          <w:sz w:val="20"/>
          <w:szCs w:val="20"/>
          <w:color w:val="auto"/>
        </w:rPr>
      </w:pPr>
    </w:p>
    <w:p>
      <w:pPr>
        <w:ind w:right="40" w:firstLine="749"/>
        <w:spacing w:after="0" w:line="275"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740" w:firstLine="749"/>
        <w:spacing w:after="0" w:line="303" w:lineRule="auto"/>
        <w:rPr>
          <w:sz w:val="20"/>
          <w:szCs w:val="20"/>
          <w:color w:val="auto"/>
        </w:rPr>
      </w:pPr>
      <w:r>
        <w:rPr>
          <w:rFonts w:ascii="Arial" w:cs="Arial" w:eastAsia="Arial" w:hAnsi="Arial"/>
          <w:sz w:val="16"/>
          <w:szCs w:val="16"/>
          <w:color w:val="auto"/>
        </w:rPr>
        <w:t>As of September 30, 2022, we had 88 full-time employees, including 63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32" w:lineRule="exact"/>
        <w:rPr>
          <w:sz w:val="20"/>
          <w:szCs w:val="20"/>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260" w:right="420" w:hanging="503"/>
        <w:spacing w:after="0" w:line="256"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right="100" w:firstLine="749"/>
        <w:spacing w:after="0" w:line="256"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ind w:right="20"/>
        <w:spacing w:after="0" w:line="288" w:lineRule="auto"/>
        <w:rPr>
          <w:sz w:val="20"/>
          <w:szCs w:val="20"/>
          <w:color w:val="auto"/>
        </w:rPr>
      </w:pPr>
      <w:r>
        <w:rPr>
          <w:rFonts w:ascii="Arial" w:cs="Arial" w:eastAsia="Arial" w:hAnsi="Arial"/>
          <w:sz w:val="16"/>
          <w:szCs w:val="16"/>
          <w:color w:val="auto"/>
        </w:rPr>
        <w:t>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44" w:lineRule="exact"/>
        <w:rPr>
          <w:sz w:val="20"/>
          <w:szCs w:val="20"/>
          <w:color w:val="auto"/>
        </w:rPr>
      </w:pPr>
    </w:p>
    <w:p>
      <w:pPr>
        <w:ind w:right="200" w:firstLine="749"/>
        <w:spacing w:after="0" w:line="256"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6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3"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The military conflict in Ukraine may also increase cybersecurity threats that we and our CROs and other contractors and consultants face. If any disruption or security breach or incident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64" w:lineRule="exact"/>
        <w:rPr>
          <w:sz w:val="20"/>
          <w:szCs w:val="20"/>
          <w:color w:val="auto"/>
        </w:rPr>
      </w:pPr>
    </w:p>
    <w:p>
      <w:pPr>
        <w:ind w:right="100" w:firstLine="749"/>
        <w:spacing w:after="0" w:line="277" w:lineRule="auto"/>
        <w:rPr>
          <w:sz w:val="20"/>
          <w:szCs w:val="20"/>
          <w:color w:val="auto"/>
        </w:rPr>
      </w:pPr>
      <w:r>
        <w:rPr>
          <w:rFonts w:ascii="Arial" w:cs="Arial" w:eastAsia="Arial" w:hAnsi="Arial"/>
          <w:sz w:val="16"/>
          <w:szCs w:val="16"/>
          <w:color w:val="auto"/>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ind w:right="800"/>
        <w:spacing w:after="0" w:line="277" w:lineRule="auto"/>
        <w:rPr>
          <w:sz w:val="20"/>
          <w:szCs w:val="20"/>
          <w:color w:val="auto"/>
        </w:rPr>
      </w:pPr>
      <w:r>
        <w:rPr>
          <w:rFonts w:ascii="Arial" w:cs="Arial" w:eastAsia="Arial" w:hAnsi="Arial"/>
          <w:sz w:val="18"/>
          <w:szCs w:val="18"/>
          <w:color w:val="auto"/>
        </w:rPr>
        <w:t>development and commercialization of our product candidates could be delayed, and we could be subject to significant fines or penalties for any noncompliance with certain state, federal and/or international privacy and security laws.</w:t>
      </w:r>
    </w:p>
    <w:p>
      <w:pPr>
        <w:spacing w:after="0" w:line="49"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3"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9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63" w:lineRule="exact"/>
        <w:rPr>
          <w:sz w:val="20"/>
          <w:szCs w:val="20"/>
          <w:color w:val="auto"/>
        </w:rPr>
      </w:pPr>
    </w:p>
    <w:p>
      <w:pPr>
        <w:ind w:right="40" w:firstLine="749"/>
        <w:spacing w:after="0" w:line="263"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2021, we had available NOL carryforwards of $198.2 million, of which $156.6 million do not expire. We also had available California NOL carryforwards of approximately $197.3 million as of December 31, 2021, which begin to expire in 2034 and are subject to limitation on use. In addition, as of December 31, 2021, we had federal and California research and development credit carryforwards totaling $6.1 million and $3.9 million, respectively. The federal credits begin to expire in 2034 unless previously utilized, while the state credits do not expire.</w:t>
      </w:r>
    </w:p>
    <w:p>
      <w:pPr>
        <w:spacing w:after="0" w:line="79" w:lineRule="exact"/>
        <w:rPr>
          <w:sz w:val="20"/>
          <w:szCs w:val="20"/>
          <w:color w:val="auto"/>
        </w:rPr>
      </w:pPr>
    </w:p>
    <w:p>
      <w:pPr>
        <w:ind w:right="120" w:firstLine="749"/>
        <w:spacing w:after="0" w:line="280"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 results of operations or financial conditions.</w:t>
      </w:r>
    </w:p>
    <w:p>
      <w:pPr>
        <w:spacing w:after="0" w:line="104"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the United States recently enacted a 1% excise tax on stock buybacks and a 15% alternative minimum tax on adjusted financial statement income. In addition, the current administration has proposed changes to the tax credits available for orphan drug development. Further, many countries, and organizations such as the Organization for Economic Cooperation and Development have proposed implementing changes to existing tax laws, including a proposed 15% global minimum tax. Any of these developments or changes in federal, state, or international tax laws or tax rulings could adversely affect our effective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color w:val="auto"/>
        </w:rPr>
        <w:t>tax rate and our operating results. There can be no assurance that our effective tax rates, tax payments, or tax credits and incentives will not be adversely affected by these or other developments or changes in law.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04"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49" w:lineRule="exact"/>
        <w:rPr>
          <w:sz w:val="20"/>
          <w:szCs w:val="20"/>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financial market volatility and uncertainty or political instability in particular foreign economies and markets;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380" w:firstLine="749"/>
        <w:spacing w:after="0" w:line="261"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conflict between Russia and Ukraine</w:t>
      </w:r>
    </w:p>
    <w:p>
      <w:pPr>
        <w:spacing w:after="0" w:line="117" w:lineRule="exact"/>
        <w:rPr>
          <w:sz w:val="20"/>
          <w:szCs w:val="20"/>
          <w:color w:val="auto"/>
        </w:rPr>
      </w:pPr>
    </w:p>
    <w:p>
      <w:pPr>
        <w:ind w:right="40" w:firstLine="675"/>
        <w:spacing w:after="0" w:line="243" w:lineRule="auto"/>
        <w:rPr>
          <w:sz w:val="20"/>
          <w:szCs w:val="20"/>
          <w:color w:val="auto"/>
        </w:rPr>
      </w:pPr>
      <w:r>
        <w:rPr>
          <w:rFonts w:ascii="Arial" w:cs="Arial" w:eastAsia="Arial" w:hAnsi="Arial"/>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us by increasing our costs.</w:t>
      </w:r>
    </w:p>
    <w:p>
      <w:pPr>
        <w:spacing w:after="0" w:line="104"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Recently, inflation and financial market volatility and uncertainty has increased throughout the U.S. economy. Inflation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and financially volatile and uncertain environment, cost increases may outpace our expectations, causing us to use our cash and other liquid assets faster than forecasted. If this happens, we may need to raise additional capital to fund our operations sooner than expected.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right="180" w:firstLine="749"/>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91"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8"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91"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Although as of September 30, 2022, we owned five and licensed three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78"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7" w:lineRule="exact"/>
        <w:rPr>
          <w:sz w:val="20"/>
          <w:szCs w:val="20"/>
          <w:color w:val="auto"/>
        </w:rPr>
      </w:pPr>
    </w:p>
    <w:p>
      <w:pPr>
        <w:ind w:left="1260" w:hanging="503"/>
        <w:spacing w:after="0" w:line="278" w:lineRule="auto"/>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49" w:lineRule="exact"/>
        <w:rPr>
          <w:rFonts w:ascii="Arial" w:cs="Arial" w:eastAsia="Arial" w:hAnsi="Arial"/>
          <w:sz w:val="17"/>
          <w:szCs w:val="17"/>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03"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48" w:lineRule="exact"/>
        <w:rPr>
          <w:rFonts w:ascii="Arial" w:cs="Arial" w:eastAsia="Arial" w:hAnsi="Arial"/>
          <w:sz w:val="18"/>
          <w:szCs w:val="18"/>
          <w:color w:val="auto"/>
        </w:rPr>
      </w:pPr>
    </w:p>
    <w:p>
      <w:pPr>
        <w:jc w:val="both"/>
        <w:ind w:left="1260" w:right="40" w:hanging="503"/>
        <w:spacing w:after="0" w:line="256"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8"/>
          <w:szCs w:val="18"/>
          <w:color w:val="auto"/>
        </w:rPr>
      </w:pPr>
    </w:p>
    <w:p>
      <w:pPr>
        <w:jc w:val="both"/>
        <w:ind w:left="1260" w:right="260" w:hanging="503"/>
        <w:spacing w:after="0" w:line="256"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6"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76"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93" w:lineRule="exact"/>
        <w:rPr>
          <w:sz w:val="20"/>
          <w:szCs w:val="20"/>
          <w:color w:val="auto"/>
        </w:rPr>
      </w:pPr>
    </w:p>
    <w:p>
      <w:pPr>
        <w:ind w:right="480" w:firstLine="749"/>
        <w:spacing w:after="0" w:line="261"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460"/>
        <w:spacing w:after="0" w:line="277" w:lineRule="auto"/>
        <w:rPr>
          <w:sz w:val="20"/>
          <w:szCs w:val="20"/>
          <w:color w:val="auto"/>
        </w:rPr>
      </w:pPr>
      <w:r>
        <w:rPr>
          <w:rFonts w:ascii="Arial" w:cs="Arial" w:eastAsia="Arial" w:hAnsi="Arial"/>
          <w:sz w:val="18"/>
          <w:szCs w:val="18"/>
          <w:color w:val="auto"/>
        </w:rPr>
        <w:t>manufacturers, consultants, advisors and other third parties, any of these parties may breach such agreements and disclose such output before a patent application is filed, thereby jeopardizing our ability to seek patent protection.</w:t>
      </w:r>
    </w:p>
    <w:p>
      <w:pPr>
        <w:spacing w:after="0" w:line="49"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6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93"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78"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260" w:right="80" w:hanging="503"/>
        <w:spacing w:after="0" w:line="261"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260" w:right="800" w:hanging="503"/>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260" w:right="720" w:hanging="503"/>
        <w:spacing w:after="0" w:line="261"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left="1260" w:hanging="503"/>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260" w:right="460" w:hanging="503"/>
        <w:spacing w:after="0" w:line="291"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03"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04"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87" w:lineRule="exact"/>
        <w:rPr>
          <w:sz w:val="20"/>
          <w:szCs w:val="20"/>
          <w:color w:val="auto"/>
        </w:rPr>
      </w:pPr>
    </w:p>
    <w:p>
      <w:pPr>
        <w:ind w:right="80" w:firstLine="749"/>
        <w:spacing w:after="0" w:line="258"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3" w:lineRule="exact"/>
        <w:rPr>
          <w:sz w:val="20"/>
          <w:szCs w:val="20"/>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1260" w:right="20" w:hanging="503"/>
        <w:spacing w:after="0" w:line="261"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49"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firstLine="749"/>
        <w:spacing w:after="0" w:line="258"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6"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15"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unenforceable or not infringed if challenged in court.</w:t>
      </w:r>
    </w:p>
    <w:p>
      <w:pPr>
        <w:spacing w:after="0" w:line="88"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color w:val="auto"/>
        </w:rPr>
        <w:t>could include an allegation that someone connected with prosecution of the patent withheld relevant information from the USPTO or made a misleading statement during prosecution.</w:t>
      </w:r>
    </w:p>
    <w:p>
      <w:pPr>
        <w:spacing w:after="0" w:line="49"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color w:val="auto"/>
        </w:rPr>
        <w:t>No earlier than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53" w:lineRule="exact"/>
        <w:rPr>
          <w:sz w:val="20"/>
          <w:szCs w:val="20"/>
          <w:color w:val="auto"/>
        </w:rPr>
      </w:pPr>
    </w:p>
    <w:p>
      <w:pPr>
        <w:jc w:val="both"/>
        <w:ind w:right="200" w:firstLine="749"/>
        <w:spacing w:after="0" w:line="324"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80" w:firstLine="749"/>
        <w:spacing w:after="0" w:line="28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1"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87"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49"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9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3" w:lineRule="exact"/>
        <w:rPr>
          <w:sz w:val="20"/>
          <w:szCs w:val="20"/>
          <w:color w:val="auto"/>
        </w:rPr>
      </w:pPr>
    </w:p>
    <w:p>
      <w:pPr>
        <w:ind w:right="100" w:firstLine="749"/>
        <w:spacing w:after="0" w:line="261"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right="4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49"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3"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4" w:lineRule="exact"/>
        <w:rPr>
          <w:sz w:val="20"/>
          <w:szCs w:val="20"/>
          <w:color w:val="auto"/>
        </w:rPr>
      </w:pPr>
    </w:p>
    <w:p>
      <w:pPr>
        <w:ind w:right="20" w:firstLine="749"/>
        <w:spacing w:after="0" w:line="261"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79"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80" w:firstLine="749"/>
        <w:spacing w:after="0" w:line="25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ind w:right="200"/>
        <w:spacing w:after="0" w:line="278" w:lineRule="auto"/>
        <w:rPr>
          <w:sz w:val="20"/>
          <w:szCs w:val="20"/>
          <w:color w:val="auto"/>
        </w:rPr>
      </w:pPr>
      <w:r>
        <w:rPr>
          <w:rFonts w:ascii="Arial" w:cs="Arial" w:eastAsia="Arial" w:hAnsi="Arial"/>
          <w:sz w:val="17"/>
          <w:szCs w:val="17"/>
          <w:color w:val="auto"/>
        </w:rPr>
        <w:t>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Although as of September 30, 2022, we owned five and licensed three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8"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77" w:lineRule="exact"/>
        <w:rPr>
          <w:sz w:val="20"/>
          <w:szCs w:val="20"/>
          <w:color w:val="auto"/>
        </w:rPr>
      </w:pPr>
    </w:p>
    <w:p>
      <w:pPr>
        <w:ind w:right="220" w:firstLine="749"/>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8" w:lineRule="exact"/>
        <w:rPr>
          <w:sz w:val="20"/>
          <w:szCs w:val="20"/>
          <w:color w:val="auto"/>
        </w:rPr>
      </w:pPr>
    </w:p>
    <w:p>
      <w:pPr>
        <w:ind w:firstLine="749"/>
        <w:spacing w:after="0" w:line="280" w:lineRule="auto"/>
        <w:rPr>
          <w:sz w:val="20"/>
          <w:szCs w:val="20"/>
          <w:color w:val="auto"/>
        </w:rPr>
      </w:pPr>
      <w:r>
        <w:rPr>
          <w:rFonts w:ascii="Arial" w:cs="Arial" w:eastAsia="Arial" w:hAnsi="Arial"/>
          <w:sz w:val="16"/>
          <w:szCs w:val="16"/>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ind w:right="60"/>
        <w:spacing w:after="0" w:line="249" w:lineRule="auto"/>
        <w:rPr>
          <w:sz w:val="20"/>
          <w:szCs w:val="20"/>
          <w:color w:val="auto"/>
        </w:rPr>
      </w:pPr>
      <w:r>
        <w:rPr>
          <w:rFonts w:ascii="Arial" w:cs="Arial" w:eastAsia="Arial" w:hAnsi="Arial"/>
          <w:sz w:val="18"/>
          <w:szCs w:val="18"/>
          <w:color w:val="auto"/>
        </w:rPr>
        <w:t>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September 30, 2022,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80" w:firstLine="749"/>
        <w:spacing w:after="0" w:line="261"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8"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15"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right="60"/>
        <w:spacing w:after="0" w:line="244" w:lineRule="auto"/>
        <w:rPr>
          <w:sz w:val="20"/>
          <w:szCs w:val="20"/>
          <w:color w:val="auto"/>
        </w:rPr>
      </w:pPr>
      <w:r>
        <w:rPr>
          <w:rFonts w:ascii="Arial" w:cs="Arial" w:eastAsia="Arial" w:hAnsi="Arial"/>
          <w:sz w:val="18"/>
          <w:szCs w:val="18"/>
          <w:color w:val="auto"/>
        </w:rPr>
        <w:t>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93"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7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6" w:lineRule="exact"/>
        <w:rPr>
          <w:sz w:val="20"/>
          <w:szCs w:val="20"/>
          <w:color w:val="auto"/>
        </w:rPr>
      </w:pPr>
    </w:p>
    <w:p>
      <w:pPr>
        <w:ind w:right="40" w:firstLine="749"/>
        <w:spacing w:after="0" w:line="280"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76"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93"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3" w:lineRule="exact"/>
        <w:rPr>
          <w:sz w:val="20"/>
          <w:szCs w:val="20"/>
          <w:color w:val="auto"/>
        </w:rPr>
      </w:pPr>
    </w:p>
    <w:p>
      <w:pPr>
        <w:ind w:right="140" w:firstLine="749"/>
        <w:spacing w:after="0" w:line="249"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3" w:lineRule="exact"/>
        <w:rPr>
          <w:sz w:val="20"/>
          <w:szCs w:val="20"/>
          <w:color w:val="auto"/>
        </w:rPr>
      </w:pPr>
    </w:p>
    <w:p>
      <w:pPr>
        <w:ind w:right="60" w:firstLine="749"/>
        <w:spacing w:after="0" w:line="277"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780"/>
        <w:spacing w:after="0" w:line="366"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jc w:val="both"/>
        <w:ind w:right="100" w:firstLine="749"/>
        <w:spacing w:after="0" w:line="256"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15" w:lineRule="exact"/>
        <w:rPr>
          <w:sz w:val="20"/>
          <w:szCs w:val="20"/>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260" w:right="32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03"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ind w:right="140" w:firstLine="749"/>
        <w:spacing w:after="0" w:line="261"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64"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firstLine="749"/>
        <w:spacing w:after="0" w:line="258"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400"/>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9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81"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64"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69" w:lineRule="exact"/>
        <w:rPr>
          <w:sz w:val="20"/>
          <w:szCs w:val="20"/>
          <w:color w:val="auto"/>
        </w:rPr>
      </w:pPr>
    </w:p>
    <w:p>
      <w:pPr>
        <w:jc w:val="both"/>
        <w:ind w:right="280" w:firstLine="749"/>
        <w:spacing w:after="0" w:line="294"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5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product candidates or such quantities at an acceptable cost, which could delay, prevent or impair our development or commercialization efforts.</w:t>
      </w:r>
    </w:p>
    <w:p>
      <w:pPr>
        <w:spacing w:after="0" w:line="140"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67" w:lineRule="exact"/>
        <w:rPr>
          <w:sz w:val="20"/>
          <w:szCs w:val="20"/>
          <w:color w:val="auto"/>
        </w:rPr>
      </w:pPr>
    </w:p>
    <w:p>
      <w:pPr>
        <w:ind w:right="20" w:firstLine="749"/>
        <w:spacing w:after="0" w:line="278"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36" w:lineRule="exact"/>
        <w:rPr>
          <w:sz w:val="20"/>
          <w:szCs w:val="20"/>
          <w:color w:val="auto"/>
        </w:rPr>
      </w:pPr>
    </w:p>
    <w:p>
      <w:pPr>
        <w:ind w:left="1260" w:right="80" w:hanging="503"/>
        <w:spacing w:after="0" w:line="235"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5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13" w:lineRule="exact"/>
        <w:rPr>
          <w:rFonts w:ascii="Arial" w:cs="Arial" w:eastAsia="Arial" w:hAnsi="Arial"/>
          <w:sz w:val="16"/>
          <w:szCs w:val="16"/>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90" w:lineRule="exact"/>
        <w:rPr>
          <w:rFonts w:ascii="Arial" w:cs="Arial" w:eastAsia="Arial" w:hAnsi="Arial"/>
          <w:sz w:val="18"/>
          <w:szCs w:val="18"/>
          <w:color w:val="auto"/>
        </w:rPr>
      </w:pPr>
    </w:p>
    <w:p>
      <w:pPr>
        <w:ind w:left="1260" w:right="280" w:hanging="503"/>
        <w:spacing w:after="0" w:line="235"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7" w:lineRule="exact"/>
        <w:rPr>
          <w:rFonts w:ascii="Arial" w:cs="Arial" w:eastAsia="Arial" w:hAnsi="Arial"/>
          <w:sz w:val="18"/>
          <w:szCs w:val="18"/>
          <w:color w:val="auto"/>
        </w:rPr>
      </w:pPr>
    </w:p>
    <w:p>
      <w:pPr>
        <w:ind w:left="1260" w:hanging="503"/>
        <w:spacing w:after="0" w:line="246"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90" w:lineRule="exact"/>
        <w:rPr>
          <w:sz w:val="20"/>
          <w:szCs w:val="20"/>
          <w:color w:val="auto"/>
        </w:rPr>
      </w:pPr>
    </w:p>
    <w:p>
      <w:pPr>
        <w:ind w:right="40" w:firstLine="749"/>
        <w:spacing w:after="0" w:line="261"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68" w:lineRule="exact"/>
        <w:rPr>
          <w:sz w:val="20"/>
          <w:szCs w:val="20"/>
          <w:color w:val="auto"/>
        </w:rPr>
      </w:pPr>
    </w:p>
    <w:p>
      <w:pPr>
        <w:ind w:right="20" w:firstLine="749"/>
        <w:spacing w:after="0" w:line="275"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57" w:lineRule="exact"/>
        <w:rPr>
          <w:sz w:val="20"/>
          <w:szCs w:val="20"/>
          <w:color w:val="auto"/>
        </w:rPr>
      </w:pPr>
    </w:p>
    <w:p>
      <w:pPr>
        <w:ind w:right="160" w:firstLine="74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65"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260" w:right="28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1260" w:right="62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6" w:lineRule="exact"/>
        <w:rPr>
          <w:rFonts w:ascii="Arial" w:cs="Arial" w:eastAsia="Arial" w:hAnsi="Arial"/>
          <w:sz w:val="18"/>
          <w:szCs w:val="18"/>
          <w:color w:val="auto"/>
        </w:rPr>
      </w:pPr>
    </w:p>
    <w:p>
      <w:pPr>
        <w:ind w:left="1260" w:right="2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3" w:lineRule="exact"/>
        <w:rPr>
          <w:sz w:val="20"/>
          <w:szCs w:val="20"/>
          <w:color w:val="auto"/>
        </w:rPr>
      </w:pPr>
    </w:p>
    <w:p>
      <w:pPr>
        <w:ind w:right="60" w:firstLine="749"/>
        <w:spacing w:after="0" w:line="26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7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3"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58"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1"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right="20" w:firstLine="749"/>
        <w:spacing w:after="0" w:line="28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9" w:lineRule="exact"/>
        <w:rPr>
          <w:sz w:val="20"/>
          <w:szCs w:val="20"/>
          <w:color w:val="auto"/>
        </w:rPr>
      </w:pPr>
    </w:p>
    <w:p>
      <w:pPr>
        <w:ind w:right="160" w:firstLine="749"/>
        <w:spacing w:after="0" w:line="268"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58" w:lineRule="exact"/>
        <w:rPr>
          <w:sz w:val="20"/>
          <w:szCs w:val="20"/>
          <w:color w:val="auto"/>
        </w:rPr>
      </w:pPr>
    </w:p>
    <w:p>
      <w:pPr>
        <w:ind w:left="1260" w:right="260" w:hanging="503"/>
        <w:spacing w:after="0" w:line="261"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6" w:lineRule="exact"/>
        <w:rPr>
          <w:rFonts w:ascii="Arial" w:cs="Arial" w:eastAsia="Arial" w:hAnsi="Arial"/>
          <w:sz w:val="18"/>
          <w:szCs w:val="18"/>
          <w:color w:val="auto"/>
        </w:rPr>
      </w:pPr>
    </w:p>
    <w:p>
      <w:pPr>
        <w:ind w:left="1260" w:right="40" w:hanging="503"/>
        <w:spacing w:after="0" w:line="268"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58" w:lineRule="exact"/>
        <w:rPr>
          <w:rFonts w:ascii="Arial" w:cs="Arial" w:eastAsia="Arial" w:hAnsi="Arial"/>
          <w:sz w:val="17"/>
          <w:szCs w:val="17"/>
          <w:color w:val="auto"/>
        </w:rPr>
      </w:pPr>
    </w:p>
    <w:p>
      <w:pPr>
        <w:ind w:left="1260" w:right="480" w:hanging="503"/>
        <w:spacing w:after="0" w:line="324" w:lineRule="auto"/>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29" w:lineRule="exact"/>
        <w:rPr>
          <w:rFonts w:ascii="Arial" w:cs="Arial" w:eastAsia="Arial" w:hAnsi="Arial"/>
          <w:sz w:val="16"/>
          <w:szCs w:val="16"/>
          <w:color w:val="auto"/>
        </w:rPr>
      </w:pPr>
    </w:p>
    <w:p>
      <w:pPr>
        <w:ind w:left="1260" w:right="140" w:hanging="503"/>
        <w:spacing w:after="0" w:line="291"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260" w:right="160" w:hanging="503"/>
        <w:spacing w:after="0" w:line="25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8"/>
          <w:szCs w:val="18"/>
          <w:color w:val="auto"/>
        </w:rPr>
      </w:pPr>
    </w:p>
    <w:p>
      <w:pPr>
        <w:ind w:left="1260" w:right="440" w:hanging="503"/>
        <w:spacing w:after="0" w:line="261"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03" w:lineRule="exact"/>
        <w:rPr>
          <w:rFonts w:ascii="Arial" w:cs="Arial" w:eastAsia="Arial" w:hAnsi="Arial"/>
          <w:sz w:val="18"/>
          <w:szCs w:val="18"/>
          <w:color w:val="auto"/>
        </w:rPr>
      </w:pPr>
    </w:p>
    <w:p>
      <w:pPr>
        <w:ind w:left="1260" w:hanging="503"/>
        <w:spacing w:after="0" w:line="249"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2" w:lineRule="exact"/>
        <w:rPr>
          <w:rFonts w:ascii="Arial" w:cs="Arial" w:eastAsia="Arial" w:hAnsi="Arial"/>
          <w:sz w:val="18"/>
          <w:szCs w:val="18"/>
          <w:color w:val="auto"/>
        </w:rPr>
      </w:pPr>
    </w:p>
    <w:p>
      <w:pPr>
        <w:ind w:left="1260" w:right="580" w:hanging="503"/>
        <w:spacing w:after="0" w:line="25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6" w:lineRule="exact"/>
        <w:rPr>
          <w:rFonts w:ascii="Arial" w:cs="Arial" w:eastAsia="Arial" w:hAnsi="Arial"/>
          <w:sz w:val="18"/>
          <w:szCs w:val="18"/>
          <w:color w:val="auto"/>
        </w:rPr>
      </w:pPr>
    </w:p>
    <w:p>
      <w:pPr>
        <w:ind w:left="1260" w:right="680" w:hanging="503"/>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26" w:lineRule="exact"/>
        <w:rPr>
          <w:rFonts w:ascii="Arial" w:cs="Arial" w:eastAsia="Arial" w:hAnsi="Arial"/>
          <w:sz w:val="16"/>
          <w:szCs w:val="16"/>
          <w:color w:val="auto"/>
        </w:rPr>
      </w:pPr>
    </w:p>
    <w:p>
      <w:pPr>
        <w:ind w:left="1260" w:right="520" w:hanging="503"/>
        <w:spacing w:after="0" w:line="25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6"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67" w:name="page68"/>
    <w:bookmarkEnd w:id="67"/>
    <w:p>
      <w:pPr>
        <w:ind w:left="1260" w:right="30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49"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04" w:lineRule="exact"/>
        <w:rPr>
          <w:sz w:val="20"/>
          <w:szCs w:val="20"/>
          <w:color w:val="auto"/>
        </w:rPr>
      </w:pPr>
    </w:p>
    <w:p>
      <w:pPr>
        <w:ind w:right="100" w:firstLine="749"/>
        <w:spacing w:after="0" w:line="27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01" w:lineRule="exact"/>
        <w:rPr>
          <w:sz w:val="20"/>
          <w:szCs w:val="20"/>
          <w:color w:val="auto"/>
        </w:rPr>
      </w:pPr>
    </w:p>
    <w:p>
      <w:pPr>
        <w:ind w:left="1260" w:right="8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260" w:right="34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military conflict between Russia and Ukraine.</w:t>
      </w:r>
    </w:p>
    <w:p>
      <w:pPr>
        <w:spacing w:after="0" w:line="104"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6" w:right="479" w:bottom="1440" w:gutter="0" w:footer="0" w:header="0"/>
        </w:sectPr>
      </w:pPr>
    </w:p>
    <w:bookmarkStart w:id="68" w:name="page69"/>
    <w:bookmarkEnd w:id="68"/>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49"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3"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91" w:lineRule="exact"/>
        <w:rPr>
          <w:sz w:val="20"/>
          <w:szCs w:val="20"/>
          <w:color w:val="auto"/>
        </w:rPr>
      </w:pPr>
    </w:p>
    <w:p>
      <w:pPr>
        <w:jc w:val="both"/>
        <w:ind w:right="80" w:firstLine="749"/>
        <w:spacing w:after="0" w:line="24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3" w:lineRule="exact"/>
        <w:rPr>
          <w:sz w:val="20"/>
          <w:szCs w:val="20"/>
          <w:color w:val="auto"/>
        </w:rPr>
      </w:pPr>
    </w:p>
    <w:p>
      <w:pPr>
        <w:jc w:val="both"/>
        <w:ind w:right="100" w:firstLine="749"/>
        <w:spacing w:after="0" w:line="261"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260" w:right="10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260" w:hanging="503"/>
        <w:spacing w:after="0" w:line="248"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outcomes of clinical trials for any of our product candidates, or competing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03" w:lineRule="exact"/>
        <w:rPr>
          <w:rFonts w:ascii="Arial" w:cs="Arial" w:eastAsia="Arial" w:hAnsi="Arial"/>
          <w:sz w:val="18"/>
          <w:szCs w:val="18"/>
          <w:color w:val="auto"/>
        </w:rPr>
      </w:pPr>
    </w:p>
    <w:p>
      <w:pPr>
        <w:ind w:left="1260" w:right="10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delays in regulatory review or approval of any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level of demand for any of our product candidates, if approved, which may fluctuate significantly and be difficult to predict;</w:t>
      </w:r>
    </w:p>
    <w:p>
      <w:pPr>
        <w:spacing w:after="0" w:line="128" w:lineRule="exact"/>
        <w:rPr>
          <w:rFonts w:ascii="Arial" w:cs="Arial" w:eastAsia="Arial" w:hAnsi="Arial"/>
          <w:sz w:val="17"/>
          <w:szCs w:val="17"/>
          <w:color w:val="auto"/>
        </w:rPr>
      </w:pPr>
    </w:p>
    <w:p>
      <w:pPr>
        <w:ind w:left="1260" w:right="24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04"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9" w:name="page70"/>
    <w:bookmarkEnd w:id="69"/>
    <w:p>
      <w:pPr>
        <w:ind w:right="520"/>
        <w:spacing w:after="0" w:line="249" w:lineRule="auto"/>
        <w:rPr>
          <w:sz w:val="20"/>
          <w:szCs w:val="20"/>
          <w:color w:val="auto"/>
        </w:rPr>
      </w:pPr>
      <w:r>
        <w:rPr>
          <w:rFonts w:ascii="Arial" w:cs="Arial" w:eastAsia="Arial" w:hAnsi="Arial"/>
          <w:sz w:val="18"/>
          <w:szCs w:val="18"/>
          <w:color w:val="auto"/>
        </w:rPr>
        <w:t>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As of September 30, 2022, our executive officers, directors, holders of 5% or more of our common stock and their respective affiliates beneficially owned approximately 55%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200" w:firstLine="749"/>
        <w:spacing w:after="0" w:line="29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2" w:lineRule="exact"/>
        <w:rPr>
          <w:sz w:val="20"/>
          <w:szCs w:val="20"/>
          <w:color w:val="auto"/>
        </w:rPr>
      </w:pPr>
    </w:p>
    <w:p>
      <w:pPr>
        <w:ind w:right="140" w:firstLine="749"/>
        <w:spacing w:after="0" w:line="290"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76"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4" w:lineRule="exact"/>
        <w:rPr>
          <w:sz w:val="20"/>
          <w:szCs w:val="20"/>
          <w:color w:val="auto"/>
        </w:rPr>
      </w:pPr>
    </w:p>
    <w:p>
      <w:pPr>
        <w:ind w:left="1260" w:right="320" w:hanging="503"/>
        <w:spacing w:after="0" w:line="256"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66" w:lineRule="exact"/>
        <w:rPr>
          <w:rFonts w:ascii="Arial" w:cs="Arial" w:eastAsia="Arial" w:hAnsi="Arial"/>
          <w:sz w:val="18"/>
          <w:szCs w:val="18"/>
          <w:color w:val="auto"/>
        </w:rPr>
      </w:pPr>
    </w:p>
    <w:p>
      <w:pPr>
        <w:ind w:left="1260" w:right="34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48" w:lineRule="exact"/>
        <w:rPr>
          <w:rFonts w:ascii="Arial" w:cs="Arial" w:eastAsia="Arial" w:hAnsi="Arial"/>
          <w:sz w:val="18"/>
          <w:szCs w:val="18"/>
          <w:color w:val="auto"/>
        </w:rPr>
      </w:pPr>
    </w:p>
    <w:p>
      <w:pPr>
        <w:ind w:left="1260" w:right="200" w:hanging="503"/>
        <w:spacing w:after="0" w:line="256"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03"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4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firstLine="749"/>
        <w:spacing w:after="0" w:line="303"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32"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2" w:lineRule="exact"/>
        <w:rPr>
          <w:sz w:val="20"/>
          <w:szCs w:val="20"/>
          <w:color w:val="auto"/>
        </w:rPr>
      </w:pPr>
    </w:p>
    <w:p>
      <w:pPr>
        <w:ind w:right="80" w:firstLine="749"/>
        <w:spacing w:after="0" w:line="258"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240" w:firstLine="749"/>
        <w:spacing w:after="0" w:line="24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9"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8"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180" w:firstLine="749"/>
        <w:spacing w:after="0" w:line="256"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67" w:lineRule="exact"/>
        <w:rPr>
          <w:sz w:val="20"/>
          <w:szCs w:val="20"/>
          <w:color w:val="auto"/>
        </w:rPr>
      </w:pPr>
    </w:p>
    <w:p>
      <w:pPr>
        <w:ind w:right="320"/>
        <w:spacing w:after="0" w:line="362"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7" w:lineRule="exact"/>
        <w:rPr>
          <w:sz w:val="20"/>
          <w:szCs w:val="20"/>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15" w:lineRule="exact"/>
        <w:rPr>
          <w:rFonts w:ascii="Arial" w:cs="Arial" w:eastAsia="Arial" w:hAnsi="Arial"/>
          <w:sz w:val="17"/>
          <w:szCs w:val="17"/>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1260" w:right="600" w:hanging="503"/>
        <w:spacing w:after="0" w:line="261"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04"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6" w:lineRule="exact"/>
        <w:rPr>
          <w:sz w:val="20"/>
          <w:szCs w:val="20"/>
          <w:color w:val="auto"/>
        </w:rPr>
      </w:pPr>
    </w:p>
    <w:p>
      <w:pPr>
        <w:ind w:right="280" w:firstLine="749"/>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8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8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3" w:lineRule="exact"/>
        <w:rPr>
          <w:sz w:val="20"/>
          <w:szCs w:val="20"/>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ind w:left="1260" w:right="40" w:hanging="503"/>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89"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76"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78" w:lineRule="exact"/>
        <w:rPr>
          <w:sz w:val="20"/>
          <w:szCs w:val="20"/>
          <w:color w:val="auto"/>
        </w:rPr>
      </w:pPr>
    </w:p>
    <w:p>
      <w:pPr>
        <w:ind w:right="340" w:firstLine="749"/>
        <w:spacing w:after="0" w:line="256"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w:t>
      </w:r>
    </w:p>
    <w:p>
      <w:pPr>
        <w:spacing w:after="0" w:line="77" w:lineRule="exact"/>
        <w:rPr>
          <w:sz w:val="20"/>
          <w:szCs w:val="20"/>
          <w:color w:val="auto"/>
        </w:rPr>
      </w:pPr>
    </w:p>
    <w:p>
      <w:pPr>
        <w:jc w:val="both"/>
        <w:ind w:right="40" w:firstLine="749"/>
        <w:spacing w:after="0" w:line="276"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w:t>
      </w:r>
    </w:p>
    <w:p>
      <w:pPr>
        <w:spacing w:after="0" w:line="77" w:lineRule="exact"/>
        <w:rPr>
          <w:sz w:val="20"/>
          <w:szCs w:val="20"/>
          <w:color w:val="auto"/>
        </w:rPr>
      </w:pPr>
    </w:p>
    <w:p>
      <w:pPr>
        <w:ind w:right="140" w:firstLine="749"/>
        <w:spacing w:after="0" w:line="278"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9"/>
              </w:rPr>
              <w:t>Incorporated by Reference</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4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0"/>
                <w:szCs w:val="10"/>
                <w:color w:val="auto"/>
              </w:rPr>
            </w:pPr>
          </w:p>
        </w:tc>
        <w:tc>
          <w:tcPr>
            <w:tcW w:w="4440" w:type="dxa"/>
            <w:vAlign w:val="bottom"/>
            <w:gridSpan w:val="12"/>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0"/>
                <w:szCs w:val="10"/>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8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5"/>
        </w:trPr>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4440" w:type="dxa"/>
            <w:vAlign w:val="bottom"/>
            <w:gridSpan w:val="1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4"/>
                <w:szCs w:val="14"/>
                <w:color w:val="auto"/>
              </w:rPr>
            </w:pPr>
          </w:p>
        </w:tc>
        <w:tc>
          <w:tcPr>
            <w:tcW w:w="4220" w:type="dxa"/>
            <w:vAlign w:val="bottom"/>
            <w:tcBorders>
              <w:top w:val="single" w:sz="8" w:color="auto"/>
            </w:tcBorders>
            <w:gridSpan w:val="11"/>
          </w:tcPr>
          <w:p>
            <w:pPr>
              <w:spacing w:after="0" w:line="169" w:lineRule="exact"/>
              <w:rPr>
                <w:sz w:val="20"/>
                <w:szCs w:val="20"/>
                <w:color w:val="auto"/>
              </w:rPr>
            </w:pPr>
            <w:r>
              <w:rPr>
                <w:rFonts w:ascii="Arial" w:cs="Arial" w:eastAsia="Arial" w:hAnsi="Arial"/>
                <w:sz w:val="18"/>
                <w:szCs w:val="18"/>
                <w:color w:val="0000FF"/>
                <w:w w:val="98"/>
              </w:rPr>
              <w:t>Certification of Principal Executive Officer Pursuant to</w:t>
            </w: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72"/>
              <w:spacing w:after="0" w:line="169"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3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gridSpan w:val="12"/>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7"/>
                <w:szCs w:val="17"/>
                <w:color w:val="auto"/>
              </w:rPr>
            </w:pPr>
          </w:p>
        </w:tc>
        <w:tc>
          <w:tcPr>
            <w:tcW w:w="4440" w:type="dxa"/>
            <w:vAlign w:val="bottom"/>
            <w:gridSpan w:val="12"/>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40" w:type="dxa"/>
            <w:vAlign w:val="bottom"/>
            <w:tcBorders>
              <w:top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gridSpan w:val="12"/>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7"/>
                <w:szCs w:val="17"/>
                <w:color w:val="auto"/>
              </w:rPr>
            </w:pPr>
          </w:p>
        </w:tc>
        <w:tc>
          <w:tcPr>
            <w:tcW w:w="4440" w:type="dxa"/>
            <w:vAlign w:val="bottom"/>
            <w:gridSpan w:val="12"/>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2"/>
              <w:spacing w:after="0" w:line="19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88"/>
              </w:rPr>
              <w:t>18 U.S.C. Section 1350, as Adopted Pursuant to Section</w:t>
            </w:r>
          </w:p>
        </w:tc>
        <w:tc>
          <w:tcPr>
            <w:tcW w:w="6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4"/>
                <w:szCs w:val="14"/>
                <w:color w:val="auto"/>
              </w:rPr>
            </w:pPr>
          </w:p>
        </w:tc>
        <w:tc>
          <w:tcPr>
            <w:tcW w:w="4080" w:type="dxa"/>
            <w:vAlign w:val="bottom"/>
            <w:gridSpan w:val="8"/>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gridSpan w:val="12"/>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18</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0"/>
              </w:rPr>
              <w:t>U.S.C. Section 1350, as Adopted Pursuant to Section 906</w:t>
            </w: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4"/>
                <w:szCs w:val="14"/>
                <w:color w:val="auto"/>
              </w:rPr>
            </w:pPr>
          </w:p>
        </w:tc>
        <w:tc>
          <w:tcPr>
            <w:tcW w:w="418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26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5"/>
        </w:trPr>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Borders>
              <w:top w:val="single" w:sz="8" w:color="0000FF"/>
            </w:tcBorders>
          </w:tcPr>
          <w:p>
            <w:pPr>
              <w:spacing w:after="0" w:line="195" w:lineRule="exact"/>
              <w:rPr>
                <w:sz w:val="20"/>
                <w:szCs w:val="20"/>
                <w:color w:val="auto"/>
              </w:rPr>
            </w:pPr>
            <w:r>
              <w:rPr>
                <w:rFonts w:ascii="Arial" w:cs="Arial" w:eastAsia="Arial" w:hAnsi="Arial"/>
                <w:sz w:val="18"/>
                <w:szCs w:val="18"/>
                <w:color w:val="auto"/>
                <w:w w:val="93"/>
              </w:rPr>
              <w:t>INLINE XBRL Instance Document</w:t>
            </w:r>
          </w:p>
        </w:tc>
        <w:tc>
          <w:tcPr>
            <w:tcW w:w="20" w:type="dxa"/>
            <w:vAlign w:val="bottom"/>
            <w:tcBorders>
              <w:top w:val="single" w:sz="8" w:color="0000EE"/>
            </w:tcBorders>
          </w:tcPr>
          <w:p>
            <w:pPr>
              <w:spacing w:after="0"/>
              <w:rPr>
                <w:sz w:val="16"/>
                <w:szCs w:val="16"/>
                <w:color w:val="auto"/>
              </w:rPr>
            </w:pPr>
          </w:p>
        </w:tc>
        <w:tc>
          <w:tcPr>
            <w:tcW w:w="1880" w:type="dxa"/>
            <w:vAlign w:val="bottom"/>
            <w:gridSpan w:val="10"/>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7"/>
                <w:szCs w:val="17"/>
                <w:color w:val="auto"/>
              </w:rPr>
            </w:pPr>
          </w:p>
        </w:tc>
        <w:tc>
          <w:tcPr>
            <w:tcW w:w="444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2"/>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2"/>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2"/>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2"/>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Cover Page Interactive Data File (embedded within the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2"/>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80" w:right="40" w:hanging="459"/>
        <w:spacing w:after="0" w:line="184" w:lineRule="auto"/>
        <w:tabs>
          <w:tab w:leader="none" w:pos="480" w:val="left"/>
        </w:tabs>
        <w:numPr>
          <w:ilvl w:val="0"/>
          <w:numId w:val="57"/>
        </w:numPr>
        <w:rPr>
          <w:rFonts w:ascii="Arial" w:cs="Arial" w:eastAsia="Arial" w:hAnsi="Arial"/>
          <w:sz w:val="36"/>
          <w:szCs w:val="36"/>
          <w:color w:val="auto"/>
          <w:vertAlign w:val="superscript"/>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ORIC Pharmaceuticals, Inc.</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ind w:left="20"/>
        <w:spacing w:after="0"/>
        <w:tabs>
          <w:tab w:leader="none" w:pos="78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4445</wp:posOffset>
            </wp:positionV>
            <wp:extent cx="33947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58"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Jacob M. Chacko, M.D.</w:t>
      </w:r>
    </w:p>
    <w:p>
      <w:pPr>
        <w:spacing w:after="0" w:line="239" w:lineRule="exact"/>
        <w:rPr>
          <w:sz w:val="20"/>
          <w:szCs w:val="20"/>
          <w:color w:val="auto"/>
        </w:rPr>
      </w:pPr>
    </w:p>
    <w:p>
      <w:pPr>
        <w:ind w:left="754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ind w:left="20"/>
        <w:spacing w:after="0"/>
        <w:tabs>
          <w:tab w:leader="none" w:pos="778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4445</wp:posOffset>
            </wp:positionV>
            <wp:extent cx="33947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58"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Dominic Piscitelli</w:t>
      </w:r>
    </w:p>
    <w:p>
      <w:pPr>
        <w:spacing w:after="0" w:line="239"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24" w:right="5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12"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5700" w:right="1740" w:hanging="7750"/>
        <w:spacing w:after="0" w:line="251" w:lineRule="auto"/>
        <w:tabs>
          <w:tab w:leader="none" w:pos="568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 /s/ Jacob M. Chacko Jacob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-128270</wp:posOffset>
            </wp:positionV>
            <wp:extent cx="3308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12"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decimal"/>
      <w:start w:val="4"/>
    </w:lvl>
  </w:abstractNum>
  <w:abstractNum w:abstractNumId="8">
    <w:nsid w:val="5577F8E1"/>
    <w:multiLevelType w:val="hybridMultilevel"/>
    <w:lvl w:ilvl="0">
      <w:lvlJc w:val="left"/>
      <w:lvlText w:val="%1."/>
      <w:numFmt w:val="decimal"/>
      <w:start w:val="6"/>
    </w:lvl>
  </w:abstractNum>
  <w:abstractNum w:abstractNumId="9">
    <w:nsid w:val="440BADFC"/>
    <w:multiLevelType w:val="hybridMultilevel"/>
    <w:lvl w:ilvl="0">
      <w:lvlJc w:val="left"/>
      <w:lvlText w:val="%1."/>
      <w:numFmt w:val="decimal"/>
      <w:start w:val="7"/>
    </w:lvl>
  </w:abstractNum>
  <w:abstractNum w:abstractNumId="10">
    <w:nsid w:val="5072367"/>
    <w:multiLevelType w:val="hybridMultilevel"/>
    <w:lvl w:ilvl="0">
      <w:lvlJc w:val="left"/>
      <w:lvlText w:val="%1."/>
      <w:numFmt w:val="decimal"/>
      <w:start w:val="8"/>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2022-11-07T16:16:30Z</dcterms:created>
  <dcterms:modified xsi:type="dcterms:W3CDTF">2022-11-07T16:16:30Z</dcterms:modified>
</cp:coreProperties>
</file>