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880" w:right="1620" w:hanging="3859"/>
        <w:spacing w:after="0" w:line="400"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249" w:lineRule="exact"/>
        <w:rPr>
          <w:sz w:val="24"/>
          <w:szCs w:val="24"/>
          <w:color w:val="auto"/>
        </w:rPr>
      </w:pPr>
    </w:p>
    <w:p>
      <w:pPr>
        <w:ind w:left="3500" w:right="1600" w:hanging="3479"/>
        <w:spacing w:after="0" w:line="375"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ORIC PHARMACEUTICALS,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189230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1200" w:type="dxa"/>
        <w:tblCellMar>
          <w:top w:w="0" w:type="dxa"/>
          <w:left w:w="0" w:type="dxa"/>
          <w:bottom w:w="0" w:type="dxa"/>
          <w:right w:w="0" w:type="dxa"/>
        </w:tblCellMar>
      </w:tblPr>
      <w:tr>
        <w:trPr>
          <w:trHeight w:val="166"/>
        </w:trPr>
        <w:tc>
          <w:tcPr>
            <w:tcW w:w="4760" w:type="dxa"/>
            <w:vAlign w:val="bottom"/>
          </w:tcPr>
          <w:p>
            <w:pPr>
              <w:jc w:val="center"/>
              <w:ind w:right="1472"/>
              <w:spacing w:after="0"/>
              <w:rPr>
                <w:sz w:val="20"/>
                <w:szCs w:val="20"/>
                <w:color w:val="auto"/>
              </w:rPr>
            </w:pPr>
            <w:r>
              <w:rPr>
                <w:rFonts w:ascii="Arial" w:cs="Arial" w:eastAsia="Arial" w:hAnsi="Arial"/>
                <w:sz w:val="14"/>
                <w:szCs w:val="14"/>
                <w:b w:val="1"/>
                <w:bCs w:val="1"/>
                <w:color w:val="auto"/>
                <w:w w:val="94"/>
              </w:rPr>
              <w:t>Delaware</w:t>
            </w:r>
          </w:p>
        </w:tc>
        <w:tc>
          <w:tcPr>
            <w:tcW w:w="3440" w:type="dxa"/>
            <w:vAlign w:val="bottom"/>
          </w:tcPr>
          <w:p>
            <w:pPr>
              <w:jc w:val="right"/>
              <w:ind w:right="553"/>
              <w:spacing w:after="0"/>
              <w:rPr>
                <w:sz w:val="20"/>
                <w:szCs w:val="20"/>
                <w:color w:val="auto"/>
              </w:rPr>
            </w:pPr>
            <w:r>
              <w:rPr>
                <w:rFonts w:ascii="Arial" w:cs="Arial" w:eastAsia="Arial" w:hAnsi="Arial"/>
                <w:sz w:val="14"/>
                <w:szCs w:val="14"/>
                <w:b w:val="1"/>
                <w:bCs w:val="1"/>
                <w:color w:val="auto"/>
              </w:rPr>
              <w:t>47-1787157</w:t>
            </w:r>
          </w:p>
        </w:tc>
        <w:tc>
          <w:tcPr>
            <w:tcW w:w="0" w:type="dxa"/>
            <w:vAlign w:val="bottom"/>
          </w:tcPr>
          <w:p>
            <w:pPr>
              <w:spacing w:after="0"/>
              <w:rPr>
                <w:sz w:val="1"/>
                <w:szCs w:val="1"/>
                <w:color w:val="auto"/>
              </w:rPr>
            </w:pPr>
          </w:p>
        </w:tc>
      </w:tr>
      <w:tr>
        <w:trPr>
          <w:trHeight w:val="164"/>
        </w:trPr>
        <w:tc>
          <w:tcPr>
            <w:tcW w:w="4760" w:type="dxa"/>
            <w:vAlign w:val="bottom"/>
          </w:tcPr>
          <w:p>
            <w:pPr>
              <w:jc w:val="center"/>
              <w:ind w:right="1452"/>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440" w:type="dxa"/>
            <w:vAlign w:val="bottom"/>
          </w:tcPr>
          <w:p>
            <w:pPr>
              <w:jc w:val="center"/>
              <w:ind w:left="1433"/>
              <w:spacing w:after="0"/>
              <w:rPr>
                <w:sz w:val="20"/>
                <w:szCs w:val="20"/>
                <w:color w:val="auto"/>
              </w:rPr>
            </w:pPr>
            <w:r>
              <w:rPr>
                <w:rFonts w:ascii="Arial" w:cs="Arial" w:eastAsia="Arial" w:hAnsi="Arial"/>
                <w:sz w:val="13"/>
                <w:szCs w:val="13"/>
                <w:b w:val="1"/>
                <w:bCs w:val="1"/>
                <w:color w:val="auto"/>
                <w:w w:val="91"/>
              </w:rPr>
              <w:t>(I.R.S. Employer Identification No.)</w:t>
            </w:r>
          </w:p>
        </w:tc>
        <w:tc>
          <w:tcPr>
            <w:tcW w:w="0" w:type="dxa"/>
            <w:vAlign w:val="bottom"/>
          </w:tcPr>
          <w:p>
            <w:pPr>
              <w:spacing w:after="0"/>
              <w:rPr>
                <w:sz w:val="1"/>
                <w:szCs w:val="1"/>
                <w:color w:val="auto"/>
              </w:rPr>
            </w:pPr>
          </w:p>
        </w:tc>
      </w:tr>
      <w:tr>
        <w:trPr>
          <w:trHeight w:val="209"/>
        </w:trPr>
        <w:tc>
          <w:tcPr>
            <w:tcW w:w="4760" w:type="dxa"/>
            <w:vAlign w:val="bottom"/>
          </w:tcPr>
          <w:p>
            <w:pPr>
              <w:jc w:val="center"/>
              <w:ind w:right="1512"/>
              <w:spacing w:after="0"/>
              <w:rPr>
                <w:sz w:val="20"/>
                <w:szCs w:val="20"/>
                <w:color w:val="auto"/>
              </w:rPr>
            </w:pPr>
            <w:r>
              <w:rPr>
                <w:rFonts w:ascii="Arial" w:cs="Arial" w:eastAsia="Arial" w:hAnsi="Arial"/>
                <w:sz w:val="14"/>
                <w:szCs w:val="14"/>
                <w:b w:val="1"/>
                <w:bCs w:val="1"/>
                <w:color w:val="auto"/>
                <w:w w:val="93"/>
              </w:rPr>
              <w:t>240 E. Grand Ave, 2</w:t>
            </w:r>
            <w:r>
              <w:rPr>
                <w:rFonts w:ascii="Arial" w:cs="Arial" w:eastAsia="Arial" w:hAnsi="Arial"/>
                <w:sz w:val="16"/>
                <w:szCs w:val="16"/>
                <w:b w:val="1"/>
                <w:bCs w:val="1"/>
                <w:color w:val="auto"/>
                <w:w w:val="93"/>
                <w:vertAlign w:val="superscript"/>
              </w:rPr>
              <w:t>nd</w:t>
            </w:r>
            <w:r>
              <w:rPr>
                <w:rFonts w:ascii="Arial" w:cs="Arial" w:eastAsia="Arial" w:hAnsi="Arial"/>
                <w:sz w:val="14"/>
                <w:szCs w:val="14"/>
                <w:b w:val="1"/>
                <w:bCs w:val="1"/>
                <w:color w:val="auto"/>
                <w:w w:val="93"/>
              </w:rPr>
              <w:t xml:space="preserve"> Floor</w:t>
            </w:r>
          </w:p>
        </w:tc>
        <w:tc>
          <w:tcPr>
            <w:tcW w:w="3440" w:type="dxa"/>
            <w:vAlign w:val="bottom"/>
            <w:vMerge w:val="restart"/>
          </w:tcPr>
          <w:p>
            <w:pPr>
              <w:jc w:val="right"/>
              <w:ind w:right="713"/>
              <w:spacing w:after="0"/>
              <w:rPr>
                <w:sz w:val="20"/>
                <w:szCs w:val="20"/>
                <w:color w:val="auto"/>
              </w:rPr>
            </w:pPr>
            <w:r>
              <w:rPr>
                <w:rFonts w:ascii="Arial" w:cs="Arial" w:eastAsia="Arial" w:hAnsi="Arial"/>
                <w:sz w:val="14"/>
                <w:szCs w:val="14"/>
                <w:b w:val="1"/>
                <w:bCs w:val="1"/>
                <w:color w:val="auto"/>
              </w:rPr>
              <w:t>94080</w:t>
            </w:r>
          </w:p>
        </w:tc>
        <w:tc>
          <w:tcPr>
            <w:tcW w:w="0" w:type="dxa"/>
            <w:vAlign w:val="bottom"/>
          </w:tcPr>
          <w:p>
            <w:pPr>
              <w:spacing w:after="0"/>
              <w:rPr>
                <w:sz w:val="1"/>
                <w:szCs w:val="1"/>
                <w:color w:val="auto"/>
              </w:rPr>
            </w:pPr>
          </w:p>
        </w:tc>
      </w:tr>
      <w:tr>
        <w:trPr>
          <w:trHeight w:val="166"/>
        </w:trPr>
        <w:tc>
          <w:tcPr>
            <w:tcW w:w="4760" w:type="dxa"/>
            <w:vAlign w:val="bottom"/>
          </w:tcPr>
          <w:p>
            <w:pPr>
              <w:ind w:left="820"/>
              <w:spacing w:after="0"/>
              <w:rPr>
                <w:sz w:val="20"/>
                <w:szCs w:val="20"/>
                <w:color w:val="auto"/>
              </w:rPr>
            </w:pPr>
            <w:r>
              <w:rPr>
                <w:rFonts w:ascii="Arial" w:cs="Arial" w:eastAsia="Arial" w:hAnsi="Arial"/>
                <w:sz w:val="14"/>
                <w:szCs w:val="14"/>
                <w:b w:val="1"/>
                <w:bCs w:val="1"/>
                <w:color w:val="auto"/>
              </w:rPr>
              <w:t>South San Francisco, CA</w:t>
            </w: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760" w:type="dxa"/>
            <w:vAlign w:val="bottom"/>
          </w:tcPr>
          <w:p>
            <w:pPr>
              <w:jc w:val="center"/>
              <w:ind w:right="145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40" w:type="dxa"/>
            <w:vAlign w:val="bottom"/>
          </w:tcPr>
          <w:p>
            <w:pPr>
              <w:jc w:val="center"/>
              <w:ind w:left="143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388-5600</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73"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14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ORIC</w:t>
            </w:r>
          </w:p>
        </w:tc>
        <w:tc>
          <w:tcPr>
            <w:tcW w:w="12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c>
          <w:tcPr>
            <w:tcW w:w="0" w:type="dxa"/>
            <w:vAlign w:val="bottom"/>
          </w:tcPr>
          <w:p>
            <w:pPr>
              <w:spacing w:after="0"/>
              <w:rPr>
                <w:sz w:val="1"/>
                <w:szCs w:val="1"/>
                <w:color w:val="auto"/>
              </w:rPr>
            </w:pPr>
          </w:p>
        </w:tc>
      </w:tr>
    </w:tbl>
    <w:p>
      <w:pPr>
        <w:spacing w:after="0" w:line="83" w:lineRule="exact"/>
        <w:rPr>
          <w:sz w:val="24"/>
          <w:szCs w:val="24"/>
          <w:color w:val="auto"/>
        </w:rPr>
      </w:pPr>
    </w:p>
    <w:p>
      <w:pPr>
        <w:jc w:val="both"/>
        <w:ind w:firstLine="59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26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75"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202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3, 2022, the registrant had 39,576,657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00" w:type="dxa"/>
            <w:vAlign w:val="bottom"/>
            <w:gridSpan w:val="4"/>
          </w:tcPr>
          <w:p>
            <w:pPr>
              <w:ind w:left="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180" w:type="dxa"/>
            <w:vAlign w:val="bottom"/>
            <w:gridSpan w:val="18"/>
            <w:vMerge w:val="restart"/>
          </w:tcPr>
          <w:p>
            <w:pPr>
              <w:spacing w:after="0"/>
              <w:rPr>
                <w:sz w:val="20"/>
                <w:szCs w:val="20"/>
                <w:color w:val="auto"/>
              </w:rPr>
            </w:pPr>
            <w:r>
              <w:rPr>
                <w:rFonts w:ascii="Arial" w:cs="Arial" w:eastAsia="Arial" w:hAnsi="Arial"/>
                <w:sz w:val="18"/>
                <w:szCs w:val="18"/>
                <w:color w:val="0563C1"/>
              </w:rPr>
              <w:t>FINANCIAL INFORMATION</w:t>
            </w: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180" w:type="dxa"/>
            <w:vAlign w:val="bottom"/>
            <w:gridSpan w:val="18"/>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2240" w:type="dxa"/>
            <w:vAlign w:val="bottom"/>
            <w:tcBorders>
              <w:top w:val="single" w:sz="8" w:color="0563C1"/>
              <w:bottom w:val="single" w:sz="8" w:color="0563C1"/>
            </w:tcBorders>
            <w:gridSpan w:val="9"/>
          </w:tcPr>
          <w:p>
            <w:pPr>
              <w:spacing w:after="0" w:line="182" w:lineRule="exact"/>
              <w:rPr>
                <w:sz w:val="20"/>
                <w:szCs w:val="20"/>
                <w:color w:val="auto"/>
              </w:rPr>
            </w:pPr>
            <w:r>
              <w:rPr>
                <w:rFonts w:ascii="Arial" w:cs="Arial" w:eastAsia="Arial" w:hAnsi="Arial"/>
                <w:sz w:val="18"/>
                <w:szCs w:val="18"/>
                <w:color w:val="0563C1"/>
                <w:w w:val="83"/>
              </w:rPr>
              <w:t>Financial Statements (Unaudited)</w:t>
            </w:r>
          </w:p>
        </w:tc>
        <w:tc>
          <w:tcPr>
            <w:tcW w:w="80" w:type="dxa"/>
            <w:vAlign w:val="bottom"/>
            <w:tcBorders>
              <w:bottom w:val="single" w:sz="8" w:color="0563C1"/>
            </w:tcBorders>
          </w:tcPr>
          <w:p>
            <w:pPr>
              <w:spacing w:after="0"/>
              <w:rPr>
                <w:sz w:val="15"/>
                <w:szCs w:val="15"/>
                <w:color w:val="auto"/>
              </w:rPr>
            </w:pPr>
          </w:p>
        </w:tc>
        <w:tc>
          <w:tcPr>
            <w:tcW w:w="100" w:type="dxa"/>
            <w:vAlign w:val="bottom"/>
            <w:tcBorders>
              <w:bottom w:val="single" w:sz="8" w:color="0563C1"/>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20" w:type="dxa"/>
            <w:vAlign w:val="bottom"/>
            <w:gridSpan w:val="11"/>
          </w:tcPr>
          <w:p>
            <w:pPr>
              <w:spacing w:after="0" w:line="182" w:lineRule="exact"/>
              <w:rPr>
                <w:sz w:val="20"/>
                <w:szCs w:val="20"/>
                <w:color w:val="auto"/>
              </w:rPr>
            </w:pPr>
            <w:r>
              <w:rPr>
                <w:rFonts w:ascii="Arial" w:cs="Arial" w:eastAsia="Arial" w:hAnsi="Arial"/>
                <w:sz w:val="18"/>
                <w:szCs w:val="18"/>
                <w:color w:val="0563C1"/>
              </w:rPr>
              <w:t>Balance Sheets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100" w:type="dxa"/>
            <w:vAlign w:val="bottom"/>
            <w:gridSpan w:val="15"/>
            <w:vMerge w:val="restart"/>
          </w:tcPr>
          <w:p>
            <w:pPr>
              <w:spacing w:after="0" w:line="202" w:lineRule="exact"/>
              <w:rPr>
                <w:sz w:val="20"/>
                <w:szCs w:val="20"/>
                <w:color w:val="auto"/>
              </w:rPr>
            </w:pPr>
            <w:r>
              <w:rPr>
                <w:rFonts w:ascii="Arial" w:cs="Arial" w:eastAsia="Arial" w:hAnsi="Arial"/>
                <w:sz w:val="18"/>
                <w:szCs w:val="18"/>
                <w:color w:val="0563C1"/>
              </w:rPr>
              <w:t>Operations and Comprehensive Loss</w:t>
            </w: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spacing w:after="0" w:line="182" w:lineRule="exact"/>
              <w:rPr>
                <w:sz w:val="20"/>
                <w:szCs w:val="20"/>
                <w:color w:val="auto"/>
              </w:rPr>
            </w:pPr>
            <w:r>
              <w:rPr>
                <w:rFonts w:ascii="Arial" w:cs="Arial" w:eastAsia="Arial" w:hAnsi="Arial"/>
                <w:sz w:val="18"/>
                <w:szCs w:val="18"/>
                <w:color w:val="0563C1"/>
                <w:w w:val="95"/>
              </w:rPr>
              <w:t>Statements of</w:t>
            </w:r>
          </w:p>
        </w:tc>
        <w:tc>
          <w:tcPr>
            <w:tcW w:w="8100" w:type="dxa"/>
            <w:vAlign w:val="bottom"/>
            <w:gridSpan w:val="15"/>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2720" w:type="dxa"/>
            <w:vAlign w:val="bottom"/>
            <w:vMerge w:val="restart"/>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gridSpan w:val="14"/>
          </w:tcPr>
          <w:p>
            <w:pPr>
              <w:spacing w:after="0" w:line="182" w:lineRule="exact"/>
              <w:rPr>
                <w:sz w:val="20"/>
                <w:szCs w:val="20"/>
                <w:color w:val="auto"/>
              </w:rPr>
            </w:pPr>
            <w:r>
              <w:rPr>
                <w:rFonts w:ascii="Arial" w:cs="Arial" w:eastAsia="Arial" w:hAnsi="Arial"/>
                <w:sz w:val="18"/>
                <w:szCs w:val="18"/>
                <w:color w:val="0563C1"/>
              </w:rPr>
              <w:t>Statements of Stockholders’ Equity</w:t>
            </w:r>
          </w:p>
        </w:tc>
        <w:tc>
          <w:tcPr>
            <w:tcW w:w="6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2720" w:type="dxa"/>
            <w:vAlign w:val="bottom"/>
            <w:vMerge w:val="restart"/>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40" w:type="dxa"/>
            <w:vAlign w:val="bottom"/>
            <w:gridSpan w:val="12"/>
          </w:tcPr>
          <w:p>
            <w:pPr>
              <w:spacing w:after="0" w:line="182" w:lineRule="exact"/>
              <w:rPr>
                <w:sz w:val="20"/>
                <w:szCs w:val="20"/>
                <w:color w:val="auto"/>
              </w:rPr>
            </w:pPr>
            <w:r>
              <w:rPr>
                <w:rFonts w:ascii="Arial" w:cs="Arial" w:eastAsia="Arial" w:hAnsi="Arial"/>
                <w:sz w:val="18"/>
                <w:szCs w:val="18"/>
                <w:color w:val="0563C1"/>
              </w:rPr>
              <w:t>Statements of Cash Flows</w:t>
            </w:r>
          </w:p>
        </w:tc>
        <w:tc>
          <w:tcPr>
            <w:tcW w:w="40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180" w:type="dxa"/>
            <w:vAlign w:val="bottom"/>
            <w:gridSpan w:val="18"/>
          </w:tcPr>
          <w:p>
            <w:pPr>
              <w:spacing w:after="0" w:line="182" w:lineRule="exact"/>
              <w:rPr>
                <w:sz w:val="20"/>
                <w:szCs w:val="20"/>
                <w:color w:val="auto"/>
              </w:rPr>
            </w:pPr>
            <w:r>
              <w:rPr>
                <w:rFonts w:ascii="Arial" w:cs="Arial" w:eastAsia="Arial" w:hAnsi="Arial"/>
                <w:sz w:val="18"/>
                <w:szCs w:val="18"/>
                <w:color w:val="0563C1"/>
              </w:rPr>
              <w:t>Notes to Unaudited Financial Statements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20" w:type="dxa"/>
            <w:vAlign w:val="bottom"/>
            <w:gridSpan w:val="3"/>
            <w:shd w:val="clear" w:color="auto" w:fill="0563C1"/>
          </w:tcPr>
          <w:p>
            <w:pPr>
              <w:spacing w:after="0" w:line="20" w:lineRule="exact"/>
              <w:rPr>
                <w:sz w:val="1"/>
                <w:szCs w:val="1"/>
                <w:color w:val="auto"/>
              </w:rPr>
            </w:pPr>
          </w:p>
        </w:tc>
        <w:tc>
          <w:tcPr>
            <w:tcW w:w="6240" w:type="dxa"/>
            <w:vAlign w:val="bottom"/>
            <w:gridSpan w:val="5"/>
            <w:vMerge w:val="restart"/>
          </w:tcPr>
          <w:p>
            <w:pPr>
              <w:spacing w:after="0" w:line="202" w:lineRule="exact"/>
              <w:rPr>
                <w:sz w:val="20"/>
                <w:szCs w:val="20"/>
                <w:color w:val="auto"/>
              </w:rPr>
            </w:pPr>
            <w:r>
              <w:rPr>
                <w:rFonts w:ascii="Arial" w:cs="Arial" w:eastAsia="Arial" w:hAnsi="Arial"/>
                <w:sz w:val="18"/>
                <w:szCs w:val="18"/>
                <w:color w:val="0563C1"/>
              </w:rPr>
              <w:t>of Financial Condition and Results of Operations</w:t>
            </w: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940" w:type="dxa"/>
            <w:vAlign w:val="bottom"/>
            <w:gridSpan w:val="13"/>
          </w:tcPr>
          <w:p>
            <w:pPr>
              <w:spacing w:after="0" w:line="182" w:lineRule="exact"/>
              <w:rPr>
                <w:sz w:val="20"/>
                <w:szCs w:val="20"/>
                <w:color w:val="auto"/>
              </w:rPr>
            </w:pPr>
            <w:r>
              <w:rPr>
                <w:rFonts w:ascii="Arial" w:cs="Arial" w:eastAsia="Arial" w:hAnsi="Arial"/>
                <w:sz w:val="18"/>
                <w:szCs w:val="18"/>
                <w:color w:val="0563C1"/>
                <w:w w:val="92"/>
              </w:rPr>
              <w:t>Management’s Discussion and Analysis</w:t>
            </w:r>
          </w:p>
        </w:tc>
        <w:tc>
          <w:tcPr>
            <w:tcW w:w="6240" w:type="dxa"/>
            <w:vAlign w:val="bottom"/>
            <w:gridSpan w:val="5"/>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100" w:type="dxa"/>
            <w:vAlign w:val="bottom"/>
            <w:shd w:val="clear" w:color="auto" w:fill="0563C1"/>
          </w:tcPr>
          <w:p>
            <w:pPr>
              <w:spacing w:after="0" w:line="20" w:lineRule="exact"/>
              <w:rPr>
                <w:sz w:val="1"/>
                <w:szCs w:val="1"/>
                <w:color w:val="auto"/>
              </w:rPr>
            </w:pPr>
          </w:p>
        </w:tc>
        <w:tc>
          <w:tcPr>
            <w:tcW w:w="2720" w:type="dxa"/>
            <w:vAlign w:val="bottom"/>
            <w:vMerge w:val="restart"/>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6460" w:type="dxa"/>
            <w:vAlign w:val="bottom"/>
            <w:gridSpan w:val="17"/>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7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820" w:type="dxa"/>
            <w:vAlign w:val="bottom"/>
            <w:gridSpan w:val="2"/>
            <w:vMerge w:val="restart"/>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60" w:type="dxa"/>
            <w:vAlign w:val="bottom"/>
            <w:gridSpan w:val="16"/>
          </w:tcPr>
          <w:p>
            <w:pPr>
              <w:spacing w:after="0" w:line="182" w:lineRule="exact"/>
              <w:rPr>
                <w:sz w:val="20"/>
                <w:szCs w:val="20"/>
                <w:color w:val="auto"/>
              </w:rPr>
            </w:pPr>
            <w:r>
              <w:rPr>
                <w:rFonts w:ascii="Arial" w:cs="Arial" w:eastAsia="Arial" w:hAnsi="Arial"/>
                <w:sz w:val="18"/>
                <w:szCs w:val="18"/>
                <w:color w:val="0563C1"/>
              </w:rPr>
              <w:t>Controls and Procedures</w:t>
            </w:r>
          </w:p>
        </w:tc>
        <w:tc>
          <w:tcPr>
            <w:tcW w:w="48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vMerge w:val="continue"/>
          </w:tcPr>
          <w:p>
            <w:pPr>
              <w:spacing w:after="0"/>
              <w:rPr>
                <w:sz w:val="24"/>
                <w:szCs w:val="24"/>
                <w:color w:val="auto"/>
              </w:rPr>
            </w:pPr>
          </w:p>
        </w:tc>
        <w:tc>
          <w:tcPr>
            <w:tcW w:w="9180" w:type="dxa"/>
            <w:vAlign w:val="bottom"/>
            <w:gridSpan w:val="18"/>
          </w:tcPr>
          <w:p>
            <w:pPr>
              <w:spacing w:after="0"/>
              <w:rPr>
                <w:sz w:val="20"/>
                <w:szCs w:val="20"/>
                <w:color w:val="auto"/>
              </w:rPr>
            </w:pPr>
            <w:r>
              <w:rPr>
                <w:rFonts w:ascii="Arial" w:cs="Arial" w:eastAsia="Arial" w:hAnsi="Arial"/>
                <w:sz w:val="18"/>
                <w:szCs w:val="18"/>
                <w:color w:val="0563C1"/>
              </w:rPr>
              <w:t>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5"/>
            <w:vMerge w:val="restart"/>
          </w:tcPr>
          <w:p>
            <w:pPr>
              <w:spacing w:after="0" w:line="20" w:lineRule="exact"/>
              <w:rPr>
                <w:sz w:val="1"/>
                <w:szCs w:val="1"/>
                <w:color w:val="auto"/>
              </w:rPr>
            </w:pPr>
          </w:p>
        </w:tc>
        <w:tc>
          <w:tcPr>
            <w:tcW w:w="4840" w:type="dxa"/>
            <w:vAlign w:val="bottom"/>
            <w:gridSpan w:val="3"/>
            <w:vMerge w:val="restart"/>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880" w:type="dxa"/>
            <w:vAlign w:val="bottom"/>
            <w:gridSpan w:val="8"/>
          </w:tcPr>
          <w:p>
            <w:pPr>
              <w:spacing w:after="0" w:line="182" w:lineRule="exact"/>
              <w:rPr>
                <w:sz w:val="20"/>
                <w:szCs w:val="20"/>
                <w:color w:val="auto"/>
              </w:rPr>
            </w:pPr>
            <w:r>
              <w:rPr>
                <w:rFonts w:ascii="Arial" w:cs="Arial" w:eastAsia="Arial" w:hAnsi="Arial"/>
                <w:sz w:val="18"/>
                <w:szCs w:val="18"/>
                <w:color w:val="0563C1"/>
              </w:rPr>
              <w:t>Legal Proceedings</w:t>
            </w:r>
          </w:p>
        </w:tc>
        <w:tc>
          <w:tcPr>
            <w:tcW w:w="440" w:type="dxa"/>
            <w:vAlign w:val="bottom"/>
            <w:gridSpan w:val="2"/>
            <w:vMerge w:val="continue"/>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4840" w:type="dxa"/>
            <w:vAlign w:val="bottom"/>
            <w:gridSpan w:val="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0" w:type="dxa"/>
            <w:vAlign w:val="bottom"/>
            <w:gridSpan w:val="5"/>
            <w:vMerge w:val="restart"/>
          </w:tcPr>
          <w:p>
            <w:pPr>
              <w:spacing w:after="0" w:line="20" w:lineRule="exact"/>
              <w:rPr>
                <w:sz w:val="1"/>
                <w:szCs w:val="1"/>
                <w:color w:val="auto"/>
              </w:rPr>
            </w:pPr>
          </w:p>
        </w:tc>
        <w:tc>
          <w:tcPr>
            <w:tcW w:w="2020" w:type="dxa"/>
            <w:vAlign w:val="bottom"/>
            <w:gridSpan w:val="5"/>
            <w:vMerge w:val="restart"/>
          </w:tcPr>
          <w:p>
            <w:pPr>
              <w:spacing w:after="0" w:line="20" w:lineRule="exact"/>
              <w:rPr>
                <w:sz w:val="1"/>
                <w:szCs w:val="1"/>
                <w:color w:val="auto"/>
              </w:rPr>
            </w:pPr>
          </w:p>
        </w:tc>
        <w:tc>
          <w:tcPr>
            <w:tcW w:w="4840" w:type="dxa"/>
            <w:vAlign w:val="bottom"/>
            <w:gridSpan w:val="3"/>
            <w:vMerge w:val="restart"/>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Arial" w:cs="Arial" w:eastAsia="Arial" w:hAnsi="Arial"/>
                <w:sz w:val="18"/>
                <w:szCs w:val="18"/>
                <w:color w:val="0563C1"/>
              </w:rPr>
              <w:t>Risk Factors</w:t>
            </w:r>
          </w:p>
        </w:tc>
        <w:tc>
          <w:tcPr>
            <w:tcW w:w="1000" w:type="dxa"/>
            <w:vAlign w:val="bottom"/>
            <w:gridSpan w:val="5"/>
            <w:vMerge w:val="continue"/>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4840" w:type="dxa"/>
            <w:vAlign w:val="bottom"/>
            <w:gridSpan w:val="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8280" w:type="dxa"/>
            <w:vAlign w:val="bottom"/>
            <w:gridSpan w:val="16"/>
            <w:vMerge w:val="restart"/>
          </w:tcPr>
          <w:p>
            <w:pPr>
              <w:ind w:left="60"/>
              <w:spacing w:after="0" w:line="202" w:lineRule="exact"/>
              <w:rPr>
                <w:sz w:val="20"/>
                <w:szCs w:val="20"/>
                <w:color w:val="auto"/>
              </w:rPr>
            </w:pPr>
            <w:r>
              <w:rPr>
                <w:rFonts w:ascii="Arial" w:cs="Arial" w:eastAsia="Arial" w:hAnsi="Arial"/>
                <w:sz w:val="18"/>
                <w:szCs w:val="18"/>
                <w:color w:val="0563C1"/>
              </w:rPr>
              <w:t>Sales of Equity Securities and Use of Proceeds</w:t>
            </w: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8"/>
                <w:szCs w:val="18"/>
                <w:color w:val="0563C1"/>
                <w:w w:val="85"/>
              </w:rPr>
              <w:t>Unregistered</w:t>
            </w:r>
          </w:p>
        </w:tc>
        <w:tc>
          <w:tcPr>
            <w:tcW w:w="8280" w:type="dxa"/>
            <w:vAlign w:val="bottom"/>
            <w:gridSpan w:val="16"/>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1020" w:type="dxa"/>
            <w:vAlign w:val="bottom"/>
            <w:gridSpan w:val="6"/>
            <w:shd w:val="clear" w:color="auto" w:fill="0563C1"/>
          </w:tcPr>
          <w:p>
            <w:pPr>
              <w:spacing w:after="0" w:line="20" w:lineRule="exact"/>
              <w:rPr>
                <w:sz w:val="1"/>
                <w:szCs w:val="1"/>
                <w:color w:val="auto"/>
              </w:rPr>
            </w:pPr>
          </w:p>
        </w:tc>
        <w:tc>
          <w:tcPr>
            <w:tcW w:w="2020" w:type="dxa"/>
            <w:vAlign w:val="bottom"/>
            <w:gridSpan w:val="5"/>
            <w:shd w:val="clear" w:color="auto" w:fill="0563C1"/>
          </w:tcPr>
          <w:p>
            <w:pPr>
              <w:spacing w:after="0" w:line="20" w:lineRule="exact"/>
              <w:rPr>
                <w:sz w:val="1"/>
                <w:szCs w:val="1"/>
                <w:color w:val="auto"/>
              </w:rPr>
            </w:pPr>
          </w:p>
        </w:tc>
        <w:tc>
          <w:tcPr>
            <w:tcW w:w="4840" w:type="dxa"/>
            <w:vAlign w:val="bottom"/>
            <w:gridSpan w:val="3"/>
            <w:vMerge w:val="restart"/>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40" w:type="dxa"/>
            <w:vAlign w:val="bottom"/>
            <w:gridSpan w:val="15"/>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4840" w:type="dxa"/>
            <w:vAlign w:val="bottom"/>
            <w:gridSpan w:val="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1020" w:type="dxa"/>
            <w:vAlign w:val="bottom"/>
            <w:gridSpan w:val="6"/>
            <w:shd w:val="clear" w:color="auto" w:fill="0563C1"/>
          </w:tcPr>
          <w:p>
            <w:pPr>
              <w:spacing w:after="0" w:line="20" w:lineRule="exact"/>
              <w:rPr>
                <w:sz w:val="1"/>
                <w:szCs w:val="1"/>
                <w:color w:val="auto"/>
              </w:rPr>
            </w:pPr>
          </w:p>
        </w:tc>
        <w:tc>
          <w:tcPr>
            <w:tcW w:w="6860" w:type="dxa"/>
            <w:vAlign w:val="bottom"/>
            <w:gridSpan w:val="8"/>
            <w:vMerge w:val="restart"/>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320" w:type="dxa"/>
            <w:vAlign w:val="bottom"/>
            <w:gridSpan w:val="10"/>
          </w:tcPr>
          <w:p>
            <w:pPr>
              <w:spacing w:after="0" w:line="182" w:lineRule="exact"/>
              <w:rPr>
                <w:sz w:val="20"/>
                <w:szCs w:val="20"/>
                <w:color w:val="auto"/>
              </w:rPr>
            </w:pPr>
            <w:r>
              <w:rPr>
                <w:rFonts w:ascii="Arial" w:cs="Arial" w:eastAsia="Arial" w:hAnsi="Arial"/>
                <w:sz w:val="18"/>
                <w:szCs w:val="18"/>
                <w:color w:val="0563C1"/>
              </w:rPr>
              <w:t>Mine Safety Disclosures</w:t>
            </w:r>
          </w:p>
        </w:tc>
        <w:tc>
          <w:tcPr>
            <w:tcW w:w="6860" w:type="dxa"/>
            <w:vAlign w:val="bottom"/>
            <w:gridSpan w:val="8"/>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7420" w:type="dxa"/>
            <w:vAlign w:val="bottom"/>
            <w:gridSpan w:val="12"/>
            <w:vMerge w:val="restart"/>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6"/>
          </w:tcPr>
          <w:p>
            <w:pPr>
              <w:spacing w:after="0" w:line="182" w:lineRule="exact"/>
              <w:rPr>
                <w:sz w:val="20"/>
                <w:szCs w:val="20"/>
                <w:color w:val="auto"/>
              </w:rPr>
            </w:pPr>
            <w:r>
              <w:rPr>
                <w:rFonts w:ascii="Arial" w:cs="Arial" w:eastAsia="Arial" w:hAnsi="Arial"/>
                <w:sz w:val="18"/>
                <w:szCs w:val="18"/>
                <w:color w:val="0563C1"/>
              </w:rPr>
              <w:t>Other Information</w:t>
            </w:r>
          </w:p>
        </w:tc>
        <w:tc>
          <w:tcPr>
            <w:tcW w:w="7420" w:type="dxa"/>
            <w:vAlign w:val="bottom"/>
            <w:gridSpan w:val="1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600" w:type="dxa"/>
            <w:vAlign w:val="bottom"/>
            <w:tcBorders>
              <w:left w:val="single" w:sz="8" w:color="0000EE"/>
            </w:tcBorders>
            <w:shd w:val="clear" w:color="auto" w:fill="0563C1"/>
          </w:tcPr>
          <w:p>
            <w:pPr>
              <w:spacing w:after="0" w:line="20" w:lineRule="exact"/>
              <w:rPr>
                <w:sz w:val="1"/>
                <w:szCs w:val="1"/>
                <w:color w:val="auto"/>
              </w:rPr>
            </w:pPr>
          </w:p>
        </w:tc>
        <w:tc>
          <w:tcPr>
            <w:tcW w:w="700" w:type="dxa"/>
            <w:vAlign w:val="bottom"/>
            <w:gridSpan w:val="3"/>
            <w:shd w:val="clear" w:color="auto" w:fill="0563C1"/>
          </w:tcPr>
          <w:p>
            <w:pPr>
              <w:spacing w:after="0" w:line="20" w:lineRule="exact"/>
              <w:rPr>
                <w:sz w:val="1"/>
                <w:szCs w:val="1"/>
                <w:color w:val="auto"/>
              </w:rPr>
            </w:pPr>
          </w:p>
        </w:tc>
        <w:tc>
          <w:tcPr>
            <w:tcW w:w="7880" w:type="dxa"/>
            <w:vAlign w:val="bottom"/>
            <w:gridSpan w:val="14"/>
            <w:vMerge w:val="restart"/>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00" w:type="dxa"/>
            <w:vAlign w:val="bottom"/>
            <w:gridSpan w:val="4"/>
          </w:tcPr>
          <w:p>
            <w:pPr>
              <w:spacing w:after="0" w:line="182" w:lineRule="exact"/>
              <w:rPr>
                <w:sz w:val="20"/>
                <w:szCs w:val="20"/>
                <w:color w:val="auto"/>
              </w:rPr>
            </w:pPr>
            <w:r>
              <w:rPr>
                <w:rFonts w:ascii="Arial" w:cs="Arial" w:eastAsia="Arial" w:hAnsi="Arial"/>
                <w:sz w:val="18"/>
                <w:szCs w:val="18"/>
                <w:color w:val="0563C1"/>
              </w:rPr>
              <w:t>Exhibits</w:t>
            </w:r>
          </w:p>
        </w:tc>
        <w:tc>
          <w:tcPr>
            <w:tcW w:w="7880" w:type="dxa"/>
            <w:vAlign w:val="bottom"/>
            <w:gridSpan w:val="14"/>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563C1"/>
                <w:w w:val="93"/>
              </w:rPr>
              <w:t>SIGNATURES</w:t>
            </w:r>
          </w:p>
        </w:tc>
        <w:tc>
          <w:tcPr>
            <w:tcW w:w="600" w:type="dxa"/>
            <w:vAlign w:val="bottom"/>
            <w:tcBorders>
              <w:top w:val="single" w:sz="8" w:color="0563C1"/>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749"/>
        <w:spacing w:after="0" w:line="261" w:lineRule="auto"/>
        <w:rPr>
          <w:sz w:val="20"/>
          <w:szCs w:val="20"/>
          <w:color w:val="auto"/>
        </w:rPr>
      </w:pPr>
      <w:r>
        <w:rPr>
          <w:rFonts w:ascii="Arial" w:cs="Arial" w:eastAsia="Arial" w:hAnsi="Arial"/>
          <w:sz w:val="17"/>
          <w:szCs w:val="17"/>
          <w:color w:val="auto"/>
        </w:rPr>
        <w:t>This quarterly report on Form 10-Q contains forward-looking statements.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64" w:lineRule="exact"/>
        <w:rPr>
          <w:sz w:val="20"/>
          <w:szCs w:val="20"/>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03" w:lineRule="exact"/>
        <w:rPr>
          <w:rFonts w:ascii="Arial" w:cs="Arial" w:eastAsia="Arial" w:hAnsi="Arial"/>
          <w:sz w:val="18"/>
          <w:szCs w:val="18"/>
          <w:color w:val="auto"/>
        </w:rPr>
      </w:pPr>
    </w:p>
    <w:p>
      <w:pPr>
        <w:ind w:left="1260" w:hanging="503"/>
        <w:spacing w:after="0" w:line="303" w:lineRule="auto"/>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progress and results of preclinical studies and clinical trials for ORIC-533, ORIC-114, ORIC-944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32" w:lineRule="exact"/>
        <w:rPr>
          <w:rFonts w:ascii="Arial" w:cs="Arial" w:eastAsia="Arial" w:hAnsi="Arial"/>
          <w:sz w:val="16"/>
          <w:szCs w:val="16"/>
          <w:color w:val="auto"/>
        </w:rPr>
      </w:pPr>
    </w:p>
    <w:p>
      <w:pPr>
        <w:ind w:left="1260" w:right="120" w:hanging="503"/>
        <w:spacing w:after="0" w:line="256"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Investigational New Drug, or IND, or Clinical Trial Application, or CTA, applications and final Food and Drug Administration, or FDA, approval of ORIC-533, ORIC-114, ORIC-944 and any other future product candidates;</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foreign regulatory filings and approvals;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product candidates and programs into, and successfully complete, clinical studies;</w:t>
      </w:r>
    </w:p>
    <w:p>
      <w:pPr>
        <w:spacing w:after="0" w:line="128" w:lineRule="exact"/>
        <w:rPr>
          <w:rFonts w:ascii="Arial" w:cs="Arial" w:eastAsia="Arial" w:hAnsi="Arial"/>
          <w:sz w:val="17"/>
          <w:szCs w:val="17"/>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relating to commercializing our product candidates, if approved, including the geographic areas of focus and sales strategy;</w:t>
      </w:r>
    </w:p>
    <w:p>
      <w:pPr>
        <w:spacing w:after="0" w:line="126" w:lineRule="exact"/>
        <w:rPr>
          <w:rFonts w:ascii="Arial" w:cs="Arial" w:eastAsia="Arial" w:hAnsi="Arial"/>
          <w:sz w:val="16"/>
          <w:szCs w:val="16"/>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103" w:lineRule="exact"/>
        <w:rPr>
          <w:rFonts w:ascii="Arial" w:cs="Arial" w:eastAsia="Arial" w:hAnsi="Arial"/>
          <w:sz w:val="18"/>
          <w:szCs w:val="18"/>
          <w:color w:val="auto"/>
        </w:rPr>
      </w:pPr>
    </w:p>
    <w:p>
      <w:pPr>
        <w:ind w:left="1260" w:right="480" w:hanging="503"/>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our estimates of the number of patients who suffer from the diseases we are targeting;</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 in combination with other drugs;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of our product candidates, including additional indications we may pursue;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Europe and other jurisdictions;</w:t>
      </w:r>
    </w:p>
    <w:p>
      <w:pPr>
        <w:spacing w:after="0" w:line="117" w:lineRule="exact"/>
        <w:rPr>
          <w:rFonts w:ascii="Arial" w:cs="Arial" w:eastAsia="Arial" w:hAnsi="Arial"/>
          <w:sz w:val="18"/>
          <w:szCs w:val="18"/>
          <w:color w:val="auto"/>
        </w:rPr>
      </w:pPr>
    </w:p>
    <w:p>
      <w:pPr>
        <w:ind w:left="1260" w:right="220" w:hanging="503"/>
        <w:spacing w:after="0" w:line="249"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and maintain for intellectual property rights covering ORIC-533, ORIC-114, ORIC-944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2" w:lineRule="exact"/>
        <w:rPr>
          <w:rFonts w:ascii="Arial" w:cs="Arial" w:eastAsia="Arial" w:hAnsi="Arial"/>
          <w:sz w:val="18"/>
          <w:szCs w:val="18"/>
          <w:color w:val="auto"/>
        </w:rPr>
      </w:pPr>
    </w:p>
    <w:p>
      <w:pPr>
        <w:ind w:left="1260" w:right="500" w:hanging="503"/>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76" w:lineRule="exact"/>
        <w:rPr>
          <w:rFonts w:ascii="Arial" w:cs="Arial" w:eastAsia="Arial" w:hAnsi="Arial"/>
          <w:sz w:val="18"/>
          <w:szCs w:val="18"/>
          <w:color w:val="auto"/>
        </w:rPr>
      </w:pPr>
    </w:p>
    <w:p>
      <w:pPr>
        <w:ind w:left="1260" w:right="580" w:hanging="503"/>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pricing and reimbursement of ORIC-533, ORIC-114, ORIC-944 and other product candidates we may develop, if approved;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1260" w:right="260" w:hanging="503"/>
        <w:spacing w:after="0" w:line="277"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ORIC-533, ORIC-114, ORIC-944 and other product candidates we may develop;</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260" w:right="440" w:hanging="503"/>
        <w:spacing w:after="0" w:line="261"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cash equivalents and investments will be sufficient to fund our future operating expenses and capital expenditure requirements;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w:t>
      </w:r>
    </w:p>
    <w:p>
      <w:pPr>
        <w:spacing w:after="0" w:line="104" w:lineRule="exact"/>
        <w:rPr>
          <w:sz w:val="20"/>
          <w:szCs w:val="20"/>
          <w:color w:val="auto"/>
        </w:rPr>
      </w:pPr>
    </w:p>
    <w:p>
      <w:pPr>
        <w:ind w:right="20" w:firstLine="749"/>
        <w:spacing w:after="0" w:line="26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65"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June 30, 2022</w:t>
            </w:r>
          </w:p>
        </w:tc>
        <w:tc>
          <w:tcPr>
            <w:tcW w:w="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9"/>
              </w:rPr>
              <w:t>December 31, 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gridSpan w:val="2"/>
          </w:tcPr>
          <w:p>
            <w:pPr>
              <w:jc w:val="right"/>
              <w:ind w:right="1040"/>
              <w:spacing w:after="0"/>
              <w:rPr>
                <w:sz w:val="20"/>
                <w:szCs w:val="20"/>
                <w:color w:val="auto"/>
              </w:rPr>
            </w:pPr>
            <w:r>
              <w:rPr>
                <w:rFonts w:ascii="Arial" w:cs="Arial" w:eastAsia="Arial" w:hAnsi="Arial"/>
                <w:sz w:val="16"/>
                <w:szCs w:val="16"/>
                <w:color w:val="auto"/>
              </w:rPr>
              <w:t>(unaudited)</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860" w:type="dxa"/>
            <w:vAlign w:val="bottom"/>
            <w:shd w:val="clear" w:color="auto" w:fill="CFF0FC"/>
          </w:tcPr>
          <w:p>
            <w:pPr>
              <w:ind w:left="536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49,080</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177,984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6,462</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233,526</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Long-term investments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10,772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12,381</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259,684</w:t>
            </w:r>
          </w:p>
        </w:tc>
        <w:tc>
          <w:tcPr>
            <w:tcW w:w="4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298,642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4320"/>
              <w:spacing w:after="0"/>
              <w:rPr>
                <w:sz w:val="20"/>
                <w:szCs w:val="20"/>
                <w:color w:val="auto"/>
              </w:rPr>
            </w:pPr>
            <w:r>
              <w:rPr>
                <w:rFonts w:ascii="Arial" w:cs="Arial" w:eastAsia="Arial" w:hAnsi="Arial"/>
                <w:sz w:val="16"/>
                <w:szCs w:val="16"/>
                <w:b w:val="1"/>
                <w:bCs w:val="1"/>
                <w:color w:val="auto"/>
                <w:w w:val="93"/>
              </w:rPr>
              <w:t>Liabilities and Stockholders' Equity</w:t>
            </w:r>
          </w:p>
        </w:tc>
        <w:tc>
          <w:tcPr>
            <w:tcW w:w="3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2,093</w:t>
            </w:r>
          </w:p>
        </w:tc>
        <w:tc>
          <w:tcPr>
            <w:tcW w:w="4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10,381</w:t>
            </w:r>
          </w:p>
        </w:tc>
        <w:tc>
          <w:tcPr>
            <w:tcW w:w="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12,474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10,340</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22,814</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8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Preferred stock, $0.0001 par value; 200,000,000 shares authorized; no shares issued and</w:t>
            </w:r>
          </w:p>
        </w:tc>
        <w:tc>
          <w:tcPr>
            <w:tcW w:w="320" w:type="dxa"/>
            <w:vAlign w:val="bottom"/>
            <w:shd w:val="clear" w:color="auto" w:fill="CFF0FC"/>
          </w:tcPr>
          <w:p>
            <w:pPr>
              <w:spacing w:after="0"/>
              <w:rPr>
                <w:sz w:val="13"/>
                <w:szCs w:val="13"/>
                <w:color w:val="auto"/>
              </w:rPr>
            </w:pPr>
          </w:p>
        </w:tc>
        <w:tc>
          <w:tcPr>
            <w:tcW w:w="2080" w:type="dxa"/>
            <w:vAlign w:val="bottom"/>
            <w:gridSpan w:val="2"/>
            <w:vMerge w:val="restart"/>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3"/>
                <w:szCs w:val="13"/>
                <w:color w:val="auto"/>
              </w:rPr>
            </w:pPr>
          </w:p>
        </w:tc>
        <w:tc>
          <w:tcPr>
            <w:tcW w:w="17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outstanding at June 30, 2022 and December 31, 2021</w:t>
            </w:r>
          </w:p>
        </w:tc>
        <w:tc>
          <w:tcPr>
            <w:tcW w:w="320" w:type="dxa"/>
            <w:vAlign w:val="bottom"/>
            <w:shd w:val="clear" w:color="auto" w:fill="CFF0FC"/>
          </w:tcPr>
          <w:p>
            <w:pPr>
              <w:spacing w:after="0"/>
              <w:rPr>
                <w:sz w:val="18"/>
                <w:szCs w:val="18"/>
                <w:color w:val="auto"/>
              </w:rPr>
            </w:pPr>
          </w:p>
        </w:tc>
        <w:tc>
          <w:tcPr>
            <w:tcW w:w="208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860" w:type="dxa"/>
            <w:vAlign w:val="bottom"/>
          </w:tcPr>
          <w:p>
            <w:pPr>
              <w:ind w:left="200"/>
              <w:spacing w:after="0" w:line="152" w:lineRule="exact"/>
              <w:rPr>
                <w:sz w:val="20"/>
                <w:szCs w:val="20"/>
                <w:color w:val="auto"/>
              </w:rPr>
            </w:pPr>
            <w:r>
              <w:rPr>
                <w:rFonts w:ascii="Arial" w:cs="Arial" w:eastAsia="Arial" w:hAnsi="Arial"/>
                <w:sz w:val="16"/>
                <w:szCs w:val="16"/>
                <w:color w:val="auto"/>
              </w:rPr>
              <w:t>Common stock, $0.0001 par value; 1,000,000,000 shares authorized; 39,575,454 and</w:t>
            </w:r>
          </w:p>
        </w:tc>
        <w:tc>
          <w:tcPr>
            <w:tcW w:w="32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860" w:type="dxa"/>
            <w:vAlign w:val="bottom"/>
          </w:tcPr>
          <w:p>
            <w:pPr>
              <w:ind w:left="200"/>
              <w:spacing w:after="0"/>
              <w:rPr>
                <w:sz w:val="20"/>
                <w:szCs w:val="20"/>
                <w:color w:val="auto"/>
              </w:rPr>
            </w:pPr>
            <w:r>
              <w:rPr>
                <w:rFonts w:ascii="Arial" w:cs="Arial" w:eastAsia="Arial" w:hAnsi="Arial"/>
                <w:sz w:val="16"/>
                <w:szCs w:val="16"/>
                <w:color w:val="auto"/>
                <w:w w:val="95"/>
              </w:rPr>
              <w:t>39,430,120 shares issued and outstanding at June 30, 2022 and December 31, 2021, respectively</w:t>
            </w:r>
          </w:p>
        </w:tc>
        <w:tc>
          <w:tcPr>
            <w:tcW w:w="3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526,651</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320" w:type="dxa"/>
            <w:vAlign w:val="bottom"/>
          </w:tcPr>
          <w:p>
            <w:pPr>
              <w:spacing w:after="0"/>
              <w:rPr>
                <w:sz w:val="18"/>
                <w:szCs w:val="18"/>
                <w:color w:val="auto"/>
              </w:rPr>
            </w:pP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(288,554 )</w:t>
            </w:r>
          </w:p>
        </w:tc>
        <w:tc>
          <w:tcPr>
            <w:tcW w:w="2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(245,108 )</w:t>
            </w: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(1,231 )</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10"/>
        </w:trPr>
        <w:tc>
          <w:tcPr>
            <w:tcW w:w="686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236,870</w:t>
            </w:r>
          </w:p>
        </w:tc>
        <w:tc>
          <w:tcPr>
            <w:tcW w:w="4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272,976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259,684</w:t>
            </w:r>
          </w:p>
        </w:tc>
        <w:tc>
          <w:tcPr>
            <w:tcW w:w="4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298,642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-3788410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-2956560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-2939415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-2142490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200"/>
        <w:spacing w:after="0"/>
        <w:rPr>
          <w:sz w:val="20"/>
          <w:szCs w:val="20"/>
          <w:color w:val="auto"/>
        </w:rPr>
      </w:pPr>
      <w:r>
        <w:rPr>
          <w:rFonts w:ascii="Arial" w:cs="Arial" w:eastAsia="Arial" w:hAnsi="Arial"/>
          <w:sz w:val="18"/>
          <w:szCs w:val="18"/>
          <w:b w:val="1"/>
          <w:bCs w:val="1"/>
          <w:color w:val="auto"/>
        </w:rPr>
        <w:t>ORIC PHARMACEUTICALS, INC.</w:t>
      </w:r>
    </w:p>
    <w:p>
      <w:pPr>
        <w:spacing w:after="0" w:line="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jc w:val="center"/>
              <w:ind w:right="47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7"/>
                <w:szCs w:val="17"/>
                <w:color w:val="auto"/>
              </w:rPr>
            </w:pPr>
          </w:p>
        </w:tc>
        <w:tc>
          <w:tcPr>
            <w:tcW w:w="258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Six Months Ended</w:t>
            </w:r>
          </w:p>
        </w:tc>
      </w:tr>
      <w:tr>
        <w:trPr>
          <w:trHeight w:val="255"/>
        </w:trPr>
        <w:tc>
          <w:tcPr>
            <w:tcW w:w="5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5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13,834</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15,517</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30,662</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27,214</w:t>
            </w:r>
          </w:p>
        </w:tc>
        <w:tc>
          <w:tcPr>
            <w:tcW w:w="100" w:type="dxa"/>
            <w:vAlign w:val="bottom"/>
          </w:tcPr>
          <w:p>
            <w:pPr>
              <w:spacing w:after="0"/>
              <w:rPr>
                <w:sz w:val="18"/>
                <w:szCs w:val="18"/>
                <w:color w:val="auto"/>
              </w:rPr>
            </w:pPr>
          </w:p>
        </w:tc>
      </w:tr>
      <w:tr>
        <w:trPr>
          <w:trHeight w:val="216"/>
        </w:trPr>
        <w:tc>
          <w:tcPr>
            <w:tcW w:w="5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20,696</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37,610</w:t>
            </w:r>
          </w:p>
        </w:tc>
        <w:tc>
          <w:tcPr>
            <w:tcW w:w="100" w:type="dxa"/>
            <w:vAlign w:val="bottom"/>
          </w:tcPr>
          <w:p>
            <w:pPr>
              <w:spacing w:after="0"/>
              <w:rPr>
                <w:sz w:val="18"/>
                <w:szCs w:val="18"/>
                <w:color w:val="auto"/>
              </w:rPr>
            </w:pPr>
          </w:p>
        </w:tc>
      </w:tr>
      <w:tr>
        <w:trPr>
          <w:trHeight w:val="20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(20,696</w:t>
            </w:r>
          </w:p>
        </w:tc>
        <w:tc>
          <w:tcPr>
            <w:tcW w:w="30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(21,057</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(43,954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8"/>
                <w:szCs w:val="18"/>
                <w:color w:val="auto"/>
              </w:rPr>
            </w:pPr>
          </w:p>
        </w:tc>
      </w:tr>
      <w:tr>
        <w:trPr>
          <w:trHeight w:val="209"/>
        </w:trPr>
        <w:tc>
          <w:tcPr>
            <w:tcW w:w="54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income</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FF0FC"/>
            </w:tcBorders>
          </w:tcPr>
          <w:p>
            <w:pPr>
              <w:spacing w:after="0"/>
              <w:rPr>
                <w:sz w:val="18"/>
                <w:szCs w:val="18"/>
                <w:color w:val="auto"/>
              </w:rPr>
            </w:pPr>
          </w:p>
        </w:tc>
      </w:tr>
      <w:tr>
        <w:trPr>
          <w:trHeight w:val="249"/>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(20,287</w:t>
            </w:r>
          </w:p>
        </w:tc>
        <w:tc>
          <w:tcPr>
            <w:tcW w:w="300" w:type="dxa"/>
            <w:vAlign w:val="bottom"/>
            <w:tcBorders>
              <w:bottom w:val="single" w:sz="8" w:color="CFF0FC"/>
            </w:tcBorders>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542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(loss) gain on investments</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(429 )</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(14 )</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(1,128 )</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8"/>
                <w:szCs w:val="18"/>
                <w:color w:val="auto"/>
              </w:rPr>
            </w:pPr>
          </w:p>
        </w:tc>
      </w:tr>
      <w:tr>
        <w:trPr>
          <w:trHeight w:val="20"/>
        </w:trPr>
        <w:tc>
          <w:tcPr>
            <w:tcW w:w="54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(20,716 )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(21,023 )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(44,574 )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(37,484 )</w:t>
            </w:r>
          </w:p>
        </w:tc>
      </w:tr>
      <w:tr>
        <w:trPr>
          <w:trHeight w:val="20"/>
        </w:trPr>
        <w:tc>
          <w:tcPr>
            <w:tcW w:w="5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(0.51</w:t>
            </w:r>
          </w:p>
        </w:tc>
        <w:tc>
          <w:tcPr>
            <w:tcW w:w="300" w:type="dxa"/>
            <w:vAlign w:val="bottom"/>
            <w:tcBorders>
              <w:bottom w:val="single" w:sz="8" w:color="CFF0FC"/>
            </w:tcBorders>
            <w:shd w:val="clear" w:color="auto" w:fill="CFF0FC"/>
          </w:tcPr>
          <w:p>
            <w:pPr>
              <w:jc w:val="center"/>
              <w:ind w:right="15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(0.57</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420" w:type="dxa"/>
            <w:vAlign w:val="bottom"/>
          </w:tcPr>
          <w:p>
            <w:pPr>
              <w:ind w:left="20"/>
              <w:spacing w:after="0" w:line="196" w:lineRule="exact"/>
              <w:rPr>
                <w:sz w:val="20"/>
                <w:szCs w:val="20"/>
                <w:color w:val="auto"/>
              </w:rPr>
            </w:pPr>
            <w:r>
              <w:rPr>
                <w:rFonts w:ascii="Arial" w:cs="Arial" w:eastAsia="Arial" w:hAnsi="Arial"/>
                <w:sz w:val="18"/>
                <w:szCs w:val="18"/>
                <w:color w:val="auto"/>
              </w:rPr>
              <w:t>Weighted-average shares outstanding, basic and diluted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39,481,628</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36,701,836</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39,456,812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36,690,824</w:t>
            </w:r>
          </w:p>
        </w:tc>
        <w:tc>
          <w:tcPr>
            <w:tcW w:w="100" w:type="dxa"/>
            <w:vAlign w:val="bottom"/>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-1928495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-1928495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-1928495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-1087755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-1087755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-1087755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-796925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-779145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-796925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-779145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-796925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-779145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-496570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-496570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-496570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-170815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200"/>
        <w:spacing w:after="0"/>
        <w:rPr>
          <w:sz w:val="20"/>
          <w:szCs w:val="20"/>
          <w:color w:val="auto"/>
        </w:rPr>
      </w:pPr>
      <w:r>
        <w:rPr>
          <w:rFonts w:ascii="Arial" w:cs="Arial" w:eastAsia="Arial" w:hAnsi="Arial"/>
          <w:sz w:val="18"/>
          <w:szCs w:val="18"/>
          <w:b w:val="1"/>
          <w:bCs w:val="1"/>
          <w:color w:val="auto"/>
        </w:rPr>
        <w:t>ORIC PHARMACEUTICALS, INC.</w:t>
      </w:r>
    </w:p>
    <w:p>
      <w:pPr>
        <w:spacing w:after="0" w:line="2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STATEMENTS OF STOCKHOLDERS’ EQUITY</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363"/>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188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363"/>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880" w:type="dxa"/>
            <w:vAlign w:val="bottom"/>
            <w:tcBorders>
              <w:bottom w:val="single" w:sz="8" w:color="auto"/>
            </w:tcBorders>
            <w:gridSpan w:val="4"/>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center"/>
              <w:ind w:right="323"/>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323"/>
              <w:spacing w:after="0"/>
              <w:rPr>
                <w:sz w:val="20"/>
                <w:szCs w:val="20"/>
                <w:color w:val="auto"/>
              </w:rPr>
            </w:pPr>
            <w:r>
              <w:rPr>
                <w:rFonts w:ascii="Arial" w:cs="Arial" w:eastAsia="Arial" w:hAnsi="Arial"/>
                <w:sz w:val="14"/>
                <w:szCs w:val="14"/>
                <w:b w:val="1"/>
                <w:bCs w:val="1"/>
                <w:color w:val="auto"/>
                <w:w w:val="93"/>
              </w:rPr>
              <w:t>Gain (Loss)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3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39,430,120</w:t>
            </w: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left w:val="single" w:sz="8" w:color="CFF0FC"/>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518,183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(245,108</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8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80" w:type="dxa"/>
            <w:vAlign w:val="bottom"/>
            <w:tcBorders>
              <w:right w:val="single" w:sz="8" w:color="CFF0FC"/>
            </w:tcBorders>
            <w:shd w:val="clear" w:color="auto" w:fill="CFF0FC"/>
          </w:tcPr>
          <w:p>
            <w:pPr>
              <w:jc w:val="right"/>
              <w:ind w:right="183"/>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272,976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00"/>
              <w:spacing w:after="0"/>
              <w:rPr>
                <w:sz w:val="20"/>
                <w:szCs w:val="20"/>
                <w:color w:val="auto"/>
              </w:rPr>
            </w:pPr>
            <w:r>
              <w:rPr>
                <w:rFonts w:ascii="Arial" w:cs="Arial" w:eastAsia="Arial" w:hAnsi="Arial"/>
                <w:sz w:val="14"/>
                <w:szCs w:val="14"/>
                <w:color w:val="auto"/>
              </w:rPr>
              <w:t>Exercise of common stock options</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8,482</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tcBorders>
              <w:left w:val="single" w:sz="8" w:color="CFF0FC"/>
            </w:tcBorders>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3,945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tcBorders>
              <w:right w:val="single" w:sz="8" w:color="CFF0FC"/>
            </w:tcBorders>
            <w:gridSpan w:val="2"/>
            <w:shd w:val="clear" w:color="auto" w:fill="CFF0FC"/>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00"/>
              <w:spacing w:after="0"/>
              <w:rPr>
                <w:sz w:val="20"/>
                <w:szCs w:val="20"/>
                <w:color w:val="auto"/>
              </w:rPr>
            </w:pPr>
            <w:r>
              <w:rPr>
                <w:rFonts w:ascii="Arial" w:cs="Arial" w:eastAsia="Arial" w:hAnsi="Arial"/>
                <w:sz w:val="14"/>
                <w:szCs w:val="14"/>
                <w:color w:val="auto"/>
              </w:rPr>
              <w:t>Unrealized loss on investments</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183"/>
              <w:spacing w:after="0"/>
              <w:rPr>
                <w:sz w:val="20"/>
                <w:szCs w:val="20"/>
                <w:color w:val="auto"/>
              </w:rPr>
            </w:pPr>
            <w:r>
              <w:rPr>
                <w:rFonts w:ascii="Arial" w:cs="Arial" w:eastAsia="Arial" w:hAnsi="Arial"/>
                <w:sz w:val="14"/>
                <w:szCs w:val="14"/>
                <w:color w:val="auto"/>
              </w:rPr>
              <w:t>(699 )</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(699 )</w:t>
            </w:r>
          </w:p>
        </w:tc>
        <w:tc>
          <w:tcPr>
            <w:tcW w:w="0" w:type="dxa"/>
            <w:vAlign w:val="bottom"/>
          </w:tcPr>
          <w:p>
            <w:pPr>
              <w:spacing w:after="0"/>
              <w:rPr>
                <w:sz w:val="1"/>
                <w:szCs w:val="1"/>
                <w:color w:val="auto"/>
              </w:rPr>
            </w:pPr>
          </w:p>
        </w:tc>
      </w:tr>
      <w:tr>
        <w:trPr>
          <w:trHeight w:val="176"/>
        </w:trPr>
        <w:tc>
          <w:tcPr>
            <w:tcW w:w="33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tcBorders>
              <w:left w:val="single" w:sz="8" w:color="CFF0FC"/>
            </w:tcBorders>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(23,159 )</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tcBorders>
              <w:right w:val="single" w:sz="8" w:color="CFF0FC"/>
            </w:tcBorders>
            <w:gridSpan w:val="2"/>
            <w:shd w:val="clear" w:color="auto" w:fill="CFF0FC"/>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(23,159 )</w:t>
            </w:r>
          </w:p>
        </w:tc>
        <w:tc>
          <w:tcPr>
            <w:tcW w:w="0" w:type="dxa"/>
            <w:vAlign w:val="bottom"/>
          </w:tcPr>
          <w:p>
            <w:pPr>
              <w:spacing w:after="0"/>
              <w:rPr>
                <w:sz w:val="1"/>
                <w:szCs w:val="1"/>
                <w:color w:val="auto"/>
              </w:rPr>
            </w:pPr>
          </w:p>
        </w:tc>
      </w:tr>
      <w:tr>
        <w:trPr>
          <w:trHeight w:val="20"/>
        </w:trPr>
        <w:tc>
          <w:tcPr>
            <w:tcW w:w="332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tcBorders>
              <w:left w:val="single" w:sz="8" w:color="CFF0FC"/>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39,438,602</w:t>
            </w:r>
          </w:p>
        </w:tc>
        <w:tc>
          <w:tcPr>
            <w:tcW w:w="220" w:type="dxa"/>
            <w:vAlign w:val="bottom"/>
          </w:tcPr>
          <w:p>
            <w:pPr>
              <w:spacing w:after="0"/>
              <w:rPr>
                <w:sz w:val="14"/>
                <w:szCs w:val="14"/>
                <w:color w:val="auto"/>
              </w:rPr>
            </w:pPr>
          </w:p>
        </w:tc>
        <w:tc>
          <w:tcPr>
            <w:tcW w:w="8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30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522,144</w:t>
            </w:r>
          </w:p>
        </w:tc>
        <w:tc>
          <w:tcPr>
            <w:tcW w:w="26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68"/>
              <w:spacing w:after="0"/>
              <w:rPr>
                <w:sz w:val="20"/>
                <w:szCs w:val="20"/>
                <w:color w:val="auto"/>
              </w:rPr>
            </w:pPr>
            <w:r>
              <w:rPr>
                <w:rFonts w:ascii="Arial" w:cs="Arial" w:eastAsia="Arial" w:hAnsi="Arial"/>
                <w:sz w:val="14"/>
                <w:szCs w:val="14"/>
                <w:color w:val="auto"/>
              </w:rPr>
              <w:t>(268,267 )</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83"/>
              <w:spacing w:after="0"/>
              <w:rPr>
                <w:sz w:val="20"/>
                <w:szCs w:val="20"/>
                <w:color w:val="auto"/>
              </w:rPr>
            </w:pPr>
            <w:r>
              <w:rPr>
                <w:rFonts w:ascii="Arial" w:cs="Arial" w:eastAsia="Arial" w:hAnsi="Arial"/>
                <w:sz w:val="14"/>
                <w:szCs w:val="14"/>
                <w:color w:val="auto"/>
              </w:rPr>
              <w:t>(802 )</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253,079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tcBorders>
              <w:right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Exercise of common stock options</w:t>
            </w:r>
          </w:p>
        </w:tc>
        <w:tc>
          <w:tcPr>
            <w:tcW w:w="84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38,407</w:t>
            </w:r>
          </w:p>
        </w:tc>
        <w:tc>
          <w:tcPr>
            <w:tcW w:w="220" w:type="dxa"/>
            <w:vAlign w:val="bottom"/>
            <w:shd w:val="clear" w:color="auto" w:fill="CFF0FC"/>
          </w:tcPr>
          <w:p>
            <w:pPr>
              <w:spacing w:after="0"/>
              <w:rPr>
                <w:sz w:val="13"/>
                <w:szCs w:val="13"/>
                <w:color w:val="auto"/>
              </w:rPr>
            </w:pPr>
          </w:p>
        </w:tc>
        <w:tc>
          <w:tcPr>
            <w:tcW w:w="820" w:type="dxa"/>
            <w:vAlign w:val="bottom"/>
            <w:tcBorders>
              <w:left w:val="single" w:sz="8" w:color="CFF0FC"/>
            </w:tcBorders>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61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tcBorders>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2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under the Employee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20" w:type="dxa"/>
            <w:vAlign w:val="bottom"/>
          </w:tcPr>
          <w:p>
            <w:pPr>
              <w:ind w:left="200"/>
              <w:spacing w:after="0"/>
              <w:rPr>
                <w:sz w:val="20"/>
                <w:szCs w:val="20"/>
                <w:color w:val="auto"/>
              </w:rPr>
            </w:pPr>
            <w:r>
              <w:rPr>
                <w:rFonts w:ascii="Arial" w:cs="Arial" w:eastAsia="Arial" w:hAnsi="Arial"/>
                <w:sz w:val="14"/>
                <w:szCs w:val="14"/>
                <w:color w:val="auto"/>
              </w:rPr>
              <w:t>Stock Purchase Plan</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98,445</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354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tcBorders>
              <w:left w:val="single" w:sz="8" w:color="CFF0FC"/>
            </w:tcBorders>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4,092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tcBorders>
              <w:right w:val="single" w:sz="8" w:color="CFF0FC"/>
            </w:tcBorders>
            <w:gridSpan w:val="2"/>
            <w:shd w:val="clear" w:color="auto" w:fill="CFF0FC"/>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00"/>
              <w:spacing w:after="0"/>
              <w:rPr>
                <w:sz w:val="20"/>
                <w:szCs w:val="20"/>
                <w:color w:val="auto"/>
              </w:rPr>
            </w:pPr>
            <w:r>
              <w:rPr>
                <w:rFonts w:ascii="Arial" w:cs="Arial" w:eastAsia="Arial" w:hAnsi="Arial"/>
                <w:sz w:val="14"/>
                <w:szCs w:val="14"/>
                <w:color w:val="auto"/>
              </w:rPr>
              <w:t>Unrealized loss on investments</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183"/>
              <w:spacing w:after="0"/>
              <w:rPr>
                <w:sz w:val="20"/>
                <w:szCs w:val="20"/>
                <w:color w:val="auto"/>
              </w:rPr>
            </w:pPr>
            <w:r>
              <w:rPr>
                <w:rFonts w:ascii="Arial" w:cs="Arial" w:eastAsia="Arial" w:hAnsi="Arial"/>
                <w:sz w:val="14"/>
                <w:szCs w:val="14"/>
                <w:color w:val="auto"/>
              </w:rPr>
              <w:t>(429 )</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(429 )</w:t>
            </w:r>
          </w:p>
        </w:tc>
        <w:tc>
          <w:tcPr>
            <w:tcW w:w="0" w:type="dxa"/>
            <w:vAlign w:val="bottom"/>
          </w:tcPr>
          <w:p>
            <w:pPr>
              <w:spacing w:after="0"/>
              <w:rPr>
                <w:sz w:val="1"/>
                <w:szCs w:val="1"/>
                <w:color w:val="auto"/>
              </w:rPr>
            </w:pPr>
          </w:p>
        </w:tc>
      </w:tr>
      <w:tr>
        <w:trPr>
          <w:trHeight w:val="175"/>
        </w:trPr>
        <w:tc>
          <w:tcPr>
            <w:tcW w:w="33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tcBorders>
              <w:left w:val="single" w:sz="8" w:color="CFF0FC"/>
            </w:tcBorders>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(20,287 )</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tcBorders>
              <w:right w:val="single" w:sz="8" w:color="CFF0FC"/>
            </w:tcBorders>
            <w:gridSpan w:val="2"/>
            <w:shd w:val="clear" w:color="auto" w:fill="CFF0FC"/>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(20,287 )</w:t>
            </w:r>
          </w:p>
        </w:tc>
        <w:tc>
          <w:tcPr>
            <w:tcW w:w="0" w:type="dxa"/>
            <w:vAlign w:val="bottom"/>
          </w:tcPr>
          <w:p>
            <w:pPr>
              <w:spacing w:after="0"/>
              <w:rPr>
                <w:sz w:val="1"/>
                <w:szCs w:val="1"/>
                <w:color w:val="auto"/>
              </w:rPr>
            </w:pPr>
          </w:p>
        </w:tc>
      </w:tr>
      <w:tr>
        <w:trPr>
          <w:trHeight w:val="20"/>
        </w:trPr>
        <w:tc>
          <w:tcPr>
            <w:tcW w:w="332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tcBorders>
              <w:left w:val="single" w:sz="8" w:color="CFF0FC"/>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39,575,454</w:t>
            </w:r>
          </w:p>
        </w:tc>
        <w:tc>
          <w:tcPr>
            <w:tcW w:w="220" w:type="dxa"/>
            <w:vAlign w:val="bottom"/>
          </w:tcPr>
          <w:p>
            <w:pPr>
              <w:spacing w:after="0"/>
              <w:rPr>
                <w:sz w:val="14"/>
                <w:szCs w:val="14"/>
                <w:color w:val="auto"/>
              </w:rPr>
            </w:pPr>
          </w:p>
        </w:tc>
        <w:tc>
          <w:tcPr>
            <w:tcW w:w="8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30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526,651</w:t>
            </w:r>
          </w:p>
        </w:tc>
        <w:tc>
          <w:tcPr>
            <w:tcW w:w="260" w:type="dxa"/>
            <w:vAlign w:val="bottom"/>
            <w:gridSpan w:val="2"/>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68"/>
              <w:spacing w:after="0"/>
              <w:rPr>
                <w:sz w:val="20"/>
                <w:szCs w:val="20"/>
                <w:color w:val="auto"/>
              </w:rPr>
            </w:pPr>
            <w:r>
              <w:rPr>
                <w:rFonts w:ascii="Arial" w:cs="Arial" w:eastAsia="Arial" w:hAnsi="Arial"/>
                <w:sz w:val="14"/>
                <w:szCs w:val="14"/>
                <w:color w:val="auto"/>
              </w:rPr>
              <w:t>(288,554 )</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83"/>
              <w:spacing w:after="0"/>
              <w:rPr>
                <w:sz w:val="20"/>
                <w:szCs w:val="20"/>
                <w:color w:val="auto"/>
              </w:rPr>
            </w:pPr>
            <w:r>
              <w:rPr>
                <w:rFonts w:ascii="Arial" w:cs="Arial" w:eastAsia="Arial" w:hAnsi="Arial"/>
                <w:sz w:val="14"/>
                <w:szCs w:val="14"/>
                <w:color w:val="auto"/>
              </w:rPr>
              <w:t>(1,231 )</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236,870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320" w:type="dxa"/>
            <w:vAlign w:val="bottom"/>
          </w:tcPr>
          <w:p>
            <w:pPr>
              <w:spacing w:after="0"/>
              <w:rPr>
                <w:sz w:val="24"/>
                <w:szCs w:val="24"/>
                <w:color w:val="auto"/>
              </w:rPr>
            </w:pPr>
          </w:p>
        </w:tc>
        <w:tc>
          <w:tcPr>
            <w:tcW w:w="1880" w:type="dxa"/>
            <w:vAlign w:val="bottom"/>
            <w:gridSpan w:val="4"/>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4"/>
            <w:vMerge w:val="restart"/>
          </w:tcPr>
          <w:p>
            <w:pPr>
              <w:jc w:val="right"/>
              <w:ind w:right="348"/>
              <w:spacing w:after="0"/>
              <w:rPr>
                <w:sz w:val="20"/>
                <w:szCs w:val="20"/>
                <w:color w:val="auto"/>
              </w:rPr>
            </w:pPr>
            <w:r>
              <w:rPr>
                <w:rFonts w:ascii="Arial" w:cs="Arial" w:eastAsia="Arial" w:hAnsi="Arial"/>
                <w:sz w:val="14"/>
                <w:szCs w:val="14"/>
                <w:b w:val="1"/>
                <w:bCs w:val="1"/>
                <w:color w:val="auto"/>
                <w:w w:val="97"/>
              </w:rPr>
              <w:t>Accumulated</w:t>
            </w: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403"/>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403"/>
              <w:spacing w:after="0"/>
              <w:rPr>
                <w:sz w:val="20"/>
                <w:szCs w:val="20"/>
                <w:color w:val="auto"/>
              </w:rPr>
            </w:pPr>
            <w:r>
              <w:rPr>
                <w:rFonts w:ascii="Arial" w:cs="Arial" w:eastAsia="Arial" w:hAnsi="Arial"/>
                <w:sz w:val="14"/>
                <w:szCs w:val="14"/>
                <w:b w:val="1"/>
                <w:bCs w:val="1"/>
                <w:color w:val="auto"/>
                <w:w w:val="93"/>
              </w:rPr>
              <w:t>Gain (Loss)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3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36,672,415</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tcBorders>
              <w:top w:val="single" w:sz="8" w:color="auto"/>
              <w:left w:val="single" w:sz="8" w:color="CFF0FC"/>
            </w:tcBorders>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456,196</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tcBorders>
              <w:top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(166,393</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4"/>
                <w:szCs w:val="14"/>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280" w:type="dxa"/>
            <w:vAlign w:val="bottom"/>
            <w:tcBorders>
              <w:right w:val="single" w:sz="8" w:color="CFF0FC"/>
            </w:tcBorders>
            <w:shd w:val="clear" w:color="auto" w:fill="CFF0FC"/>
          </w:tcPr>
          <w:p>
            <w:pPr>
              <w:jc w:val="right"/>
              <w:ind w:right="163"/>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289,776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0"/>
              <w:spacing w:after="0"/>
              <w:rPr>
                <w:sz w:val="20"/>
                <w:szCs w:val="20"/>
                <w:color w:val="auto"/>
              </w:rPr>
            </w:pPr>
            <w:r>
              <w:rPr>
                <w:rFonts w:ascii="Arial" w:cs="Arial" w:eastAsia="Arial" w:hAnsi="Arial"/>
                <w:sz w:val="14"/>
                <w:szCs w:val="14"/>
                <w:color w:val="auto"/>
              </w:rPr>
              <w:t>Exercise of common stock options</w:t>
            </w:r>
          </w:p>
        </w:tc>
        <w:tc>
          <w:tcPr>
            <w:tcW w:w="760" w:type="dxa"/>
            <w:vAlign w:val="bottom"/>
          </w:tcPr>
          <w:p>
            <w:pPr>
              <w:jc w:val="right"/>
              <w:spacing w:after="0"/>
              <w:rPr>
                <w:sz w:val="20"/>
                <w:szCs w:val="20"/>
                <w:color w:val="auto"/>
              </w:rPr>
            </w:pPr>
            <w:r>
              <w:rPr>
                <w:rFonts w:ascii="Arial" w:cs="Arial" w:eastAsia="Arial" w:hAnsi="Arial"/>
                <w:sz w:val="14"/>
                <w:szCs w:val="14"/>
                <w:color w:val="auto"/>
              </w:rPr>
              <w:t>18,411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tcBorders>
              <w:left w:val="single" w:sz="8" w:color="CFF0FC"/>
            </w:tcBorders>
            <w:shd w:val="clear" w:color="auto" w:fill="CFF0FC"/>
          </w:tcPr>
          <w:p>
            <w:pPr>
              <w:spacing w:after="0"/>
              <w:rPr>
                <w:sz w:val="15"/>
                <w:szCs w:val="15"/>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2,744</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tcBorders>
              <w:right w:val="single" w:sz="8" w:color="CFF0FC"/>
            </w:tcBorders>
            <w:gridSpan w:val="2"/>
            <w:shd w:val="clear" w:color="auto" w:fill="CFF0FC"/>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0"/>
              <w:spacing w:after="0"/>
              <w:rPr>
                <w:sz w:val="20"/>
                <w:szCs w:val="20"/>
                <w:color w:val="auto"/>
              </w:rPr>
            </w:pPr>
            <w:r>
              <w:rPr>
                <w:rFonts w:ascii="Arial" w:cs="Arial" w:eastAsia="Arial" w:hAnsi="Arial"/>
                <w:sz w:val="14"/>
                <w:szCs w:val="14"/>
                <w:color w:val="auto"/>
              </w:rPr>
              <w:t>Unrealized gain on investments</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tcBorders>
              <w:left w:val="single" w:sz="8" w:color="CFF0FC"/>
            </w:tcBorders>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(16,509 )</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tcBorders>
              <w:right w:val="single" w:sz="8" w:color="CFF0FC"/>
            </w:tcBorders>
            <w:gridSpan w:val="2"/>
            <w:shd w:val="clear" w:color="auto" w:fill="CFF0FC"/>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(16,509 )</w:t>
            </w:r>
          </w:p>
        </w:tc>
        <w:tc>
          <w:tcPr>
            <w:tcW w:w="0" w:type="dxa"/>
            <w:vAlign w:val="bottom"/>
          </w:tcPr>
          <w:p>
            <w:pPr>
              <w:spacing w:after="0"/>
              <w:rPr>
                <w:sz w:val="1"/>
                <w:szCs w:val="1"/>
                <w:color w:val="auto"/>
              </w:rPr>
            </w:pPr>
          </w:p>
        </w:tc>
      </w:tr>
      <w:tr>
        <w:trPr>
          <w:trHeight w:val="20"/>
        </w:trPr>
        <w:tc>
          <w:tcPr>
            <w:tcW w:w="332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760" w:type="dxa"/>
            <w:vAlign w:val="bottom"/>
          </w:tcPr>
          <w:p>
            <w:pPr>
              <w:jc w:val="right"/>
              <w:spacing w:after="0"/>
              <w:rPr>
                <w:sz w:val="20"/>
                <w:szCs w:val="20"/>
                <w:color w:val="auto"/>
              </w:rPr>
            </w:pPr>
            <w:r>
              <w:rPr>
                <w:rFonts w:ascii="Arial" w:cs="Arial" w:eastAsia="Arial" w:hAnsi="Arial"/>
                <w:sz w:val="14"/>
                <w:szCs w:val="14"/>
                <w:color w:val="auto"/>
              </w:rPr>
              <w:t>36,690,826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458,956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(182,902 )</w:t>
            </w:r>
          </w:p>
        </w:tc>
        <w:tc>
          <w:tcPr>
            <w:tcW w:w="200" w:type="dxa"/>
            <w:vAlign w:val="bottom"/>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276,075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tcBorders>
              <w:right w:val="single" w:sz="8" w:color="CFF0FC"/>
            </w:tcBorders>
            <w:shd w:val="clear" w:color="auto" w:fill="CFF0FC"/>
          </w:tcPr>
          <w:p>
            <w:pPr>
              <w:ind w:left="200"/>
              <w:spacing w:after="0" w:line="156" w:lineRule="exact"/>
              <w:rPr>
                <w:sz w:val="20"/>
                <w:szCs w:val="20"/>
                <w:color w:val="auto"/>
              </w:rPr>
            </w:pPr>
            <w:r>
              <w:rPr>
                <w:rFonts w:ascii="Arial" w:cs="Arial" w:eastAsia="Arial" w:hAnsi="Arial"/>
                <w:sz w:val="14"/>
                <w:szCs w:val="14"/>
                <w:color w:val="auto"/>
              </w:rPr>
              <w:t>Exercise of common stock options</w:t>
            </w: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24,786</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tcBorders>
              <w:lef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58</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tcBorders>
              <w:right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Unrealized loss on investments</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tcBorders>
              <w:left w:val="single" w:sz="8" w:color="CFF0FC"/>
            </w:tcBorders>
            <w:shd w:val="clear" w:color="auto" w:fill="CFF0FC"/>
          </w:tcPr>
          <w:p>
            <w:pPr>
              <w:spacing w:after="0"/>
              <w:rPr>
                <w:sz w:val="15"/>
                <w:szCs w:val="15"/>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20" w:type="dxa"/>
            <w:vAlign w:val="bottom"/>
            <w:tcBorders>
              <w:right w:val="single" w:sz="8" w:color="CFF0FC"/>
            </w:tcBorders>
            <w:gridSpan w:val="2"/>
            <w:shd w:val="clear" w:color="auto" w:fill="CFF0FC"/>
          </w:tcPr>
          <w:p>
            <w:pPr>
              <w:jc w:val="right"/>
              <w:ind w:right="163"/>
              <w:spacing w:after="0"/>
              <w:rPr>
                <w:sz w:val="20"/>
                <w:szCs w:val="20"/>
                <w:color w:val="auto"/>
              </w:rPr>
            </w:pPr>
            <w:r>
              <w:rPr>
                <w:rFonts w:ascii="Arial" w:cs="Arial" w:eastAsia="Arial" w:hAnsi="Arial"/>
                <w:sz w:val="14"/>
                <w:szCs w:val="14"/>
                <w:color w:val="auto"/>
              </w:rPr>
              <w:t>(14 )</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75"/>
        </w:trPr>
        <w:tc>
          <w:tcPr>
            <w:tcW w:w="33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(21,009 )</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24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(21,009 )</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36,715,612</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left w:val="single" w:sz="8" w:color="CFF0FC"/>
              <w:bottom w:val="single" w:sz="8" w:color="auto"/>
            </w:tcBorders>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462,227</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(203,911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258,323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-2691130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-2691130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-2691130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-2691130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-2691130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-1893570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-1893570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-1893570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-1893570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-1893570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-736600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-736600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-736600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-736600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-736600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-24765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-7620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ORIC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Six Months Ended</w:t>
      </w:r>
    </w:p>
    <w:p>
      <w:pPr>
        <w:jc w:val="center"/>
        <w:ind w:left="760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(43,446 )</w:t>
            </w: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(37,518 )</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Loss on fixed asset disposals</w:t>
            </w:r>
          </w:p>
        </w:tc>
        <w:tc>
          <w:tcPr>
            <w:tcW w:w="3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 of discount) amortization of premium on investments, net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(2,112 )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Accounts payable and accrued other liabilities</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(3,419 )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(1,185 )</w:t>
            </w:r>
          </w:p>
        </w:tc>
      </w:tr>
      <w:tr>
        <w:trPr>
          <w:trHeight w:val="209"/>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Acquisitions of property and equipment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(1,390 )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(317 )</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investments</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(145,473 )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(25,171 )</w:t>
            </w:r>
          </w:p>
        </w:tc>
      </w:tr>
      <w:tr>
        <w:trPr>
          <w:trHeight w:val="216"/>
        </w:trPr>
        <w:tc>
          <w:tcPr>
            <w:tcW w:w="77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Maturities of investments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148,500</w:t>
            </w:r>
          </w:p>
        </w:tc>
        <w:tc>
          <w:tcPr>
            <w:tcW w:w="100" w:type="dxa"/>
            <w:vAlign w:val="bottom"/>
            <w:tcBorders>
              <w:bottom w:val="single" w:sz="8" w:color="CFF0FC"/>
            </w:tcBorders>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provided by investing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Issuance costs associated with financings</w:t>
            </w:r>
          </w:p>
        </w:tc>
        <w:tc>
          <w:tcPr>
            <w:tcW w:w="3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(339 )</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under the Employee Stock Purchase Plan</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Proceeds from stock option exercises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(176,926 )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91,632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226,474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170,078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-2407920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-1726565</wp:posOffset>
            </wp:positionV>
            <wp:extent cx="9398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-1726565</wp:posOffset>
            </wp:positionV>
            <wp:extent cx="939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00" w:firstLine="749"/>
        <w:spacing w:after="0" w:line="250" w:lineRule="auto"/>
        <w:rPr>
          <w:sz w:val="20"/>
          <w:szCs w:val="20"/>
          <w:color w:val="auto"/>
        </w:rPr>
      </w:pPr>
      <w:r>
        <w:rPr>
          <w:rFonts w:ascii="Arial" w:cs="Arial" w:eastAsia="Arial" w:hAnsi="Arial"/>
          <w:sz w:val="18"/>
          <w:szCs w:val="18"/>
          <w:color w:val="auto"/>
        </w:rPr>
        <w:t>The following table provides a reconciliation of cash, cash equivalents and restricted cash within the balance sheets to the amounts shown in the statements of cash flows above,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49,080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170,078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49,548</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170,078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ORIC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8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Business</w:t>
      </w:r>
    </w:p>
    <w:p>
      <w:pPr>
        <w:spacing w:after="0" w:line="108" w:lineRule="exact"/>
        <w:rPr>
          <w:sz w:val="20"/>
          <w:szCs w:val="20"/>
          <w:color w:val="auto"/>
        </w:rPr>
      </w:pPr>
    </w:p>
    <w:p>
      <w:pPr>
        <w:jc w:val="both"/>
        <w:ind w:right="300" w:firstLine="749"/>
        <w:spacing w:after="0" w:line="278" w:lineRule="auto"/>
        <w:rPr>
          <w:sz w:val="20"/>
          <w:szCs w:val="20"/>
          <w:color w:val="auto"/>
        </w:rPr>
      </w:pPr>
      <w:r>
        <w:rPr>
          <w:rFonts w:ascii="Arial" w:cs="Arial" w:eastAsia="Arial" w:hAnsi="Arial"/>
          <w:sz w:val="17"/>
          <w:szCs w:val="17"/>
          <w:color w:val="auto"/>
        </w:rPr>
        <w:t xml:space="preserve">ORIC Pharmaceuticals, Inc. (ORIC or the Company)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 xml:space="preserve">vercoming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 xml:space="preserve">esistance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 xml:space="preserve">n </w:t>
      </w:r>
      <w:r>
        <w:rPr>
          <w:rFonts w:ascii="Arial" w:cs="Arial" w:eastAsia="Arial" w:hAnsi="Arial"/>
          <w:sz w:val="17"/>
          <w:szCs w:val="17"/>
          <w:i w:val="1"/>
          <w:iCs w:val="1"/>
          <w:u w:val="single" w:color="auto"/>
          <w:color w:val="auto"/>
        </w:rPr>
        <w:t>C</w:t>
      </w:r>
      <w:r>
        <w:rPr>
          <w:rFonts w:ascii="Arial" w:cs="Arial" w:eastAsia="Arial" w:hAnsi="Arial"/>
          <w:sz w:val="17"/>
          <w:szCs w:val="17"/>
          <w:i w:val="1"/>
          <w:iCs w:val="1"/>
          <w:color w:val="auto"/>
        </w:rPr>
        <w:t>ancer</w:t>
      </w:r>
      <w:r>
        <w:rPr>
          <w:rFonts w:ascii="Arial" w:cs="Arial" w:eastAsia="Arial" w:hAnsi="Arial"/>
          <w:sz w:val="17"/>
          <w:szCs w:val="17"/>
          <w:color w:val="auto"/>
        </w:rPr>
        <w:t>. The Company was incorporated in Delaware in August 2014 and has offices in South San Francisco and San Diego,</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The Company’s principal operations are in the United States and the Company operates in one segment.</w:t>
      </w:r>
    </w:p>
    <w:p>
      <w:pPr>
        <w:spacing w:after="0" w:line="50" w:lineRule="exact"/>
        <w:rPr>
          <w:sz w:val="20"/>
          <w:szCs w:val="20"/>
          <w:color w:val="auto"/>
        </w:rPr>
      </w:pPr>
    </w:p>
    <w:p>
      <w:pPr>
        <w:ind w:right="60" w:firstLine="749"/>
        <w:spacing w:after="0" w:line="246" w:lineRule="auto"/>
        <w:rPr>
          <w:sz w:val="20"/>
          <w:szCs w:val="20"/>
          <w:color w:val="auto"/>
        </w:rPr>
      </w:pPr>
      <w:r>
        <w:rPr>
          <w:rFonts w:ascii="Arial" w:cs="Arial" w:eastAsia="Arial" w:hAnsi="Arial"/>
          <w:sz w:val="18"/>
          <w:szCs w:val="18"/>
          <w:color w:val="auto"/>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development and commercialization rights to an allosteric inhibitor program directed towards the polycomb repressive complex 2 (PRC2) and in October 2020, the Company licensed from Voronoi Inc.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spacing w:after="0" w:line="77"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As of June 30, 2022, the Company had an accumulated deficit of $288.6 million. Through June 30, 2022, all of the Company’s financial support has been provided by proceeds from the issuance of common stock and convertible preferred stock.</w:t>
      </w:r>
    </w:p>
    <w:p>
      <w:pPr>
        <w:spacing w:after="0" w:line="76" w:lineRule="exact"/>
        <w:rPr>
          <w:sz w:val="20"/>
          <w:szCs w:val="20"/>
          <w:color w:val="auto"/>
        </w:rPr>
      </w:pPr>
    </w:p>
    <w:p>
      <w:pPr>
        <w:ind w:right="80" w:firstLine="749"/>
        <w:spacing w:after="0" w:line="279" w:lineRule="auto"/>
        <w:rPr>
          <w:sz w:val="20"/>
          <w:szCs w:val="20"/>
          <w:color w:val="auto"/>
        </w:rPr>
      </w:pPr>
      <w:r>
        <w:rPr>
          <w:rFonts w:ascii="Arial" w:cs="Arial" w:eastAsia="Arial" w:hAnsi="Arial"/>
          <w:sz w:val="16"/>
          <w:szCs w:val="16"/>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At-The-Market Sales Agreement and Offering</w:t>
      </w:r>
    </w:p>
    <w:p>
      <w:pPr>
        <w:spacing w:after="0" w:line="104" w:lineRule="exact"/>
        <w:rPr>
          <w:sz w:val="20"/>
          <w:szCs w:val="20"/>
          <w:color w:val="auto"/>
        </w:rPr>
      </w:pPr>
    </w:p>
    <w:p>
      <w:pPr>
        <w:ind w:right="200" w:firstLine="749"/>
        <w:spacing w:after="0" w:line="279" w:lineRule="auto"/>
        <w:rPr>
          <w:sz w:val="20"/>
          <w:szCs w:val="20"/>
          <w:color w:val="auto"/>
        </w:rPr>
      </w:pPr>
      <w:r>
        <w:rPr>
          <w:rFonts w:ascii="Arial" w:cs="Arial" w:eastAsia="Arial" w:hAnsi="Arial"/>
          <w:sz w:val="16"/>
          <w:szCs w:val="16"/>
          <w:color w:val="auto"/>
        </w:rPr>
        <w:t>On May 6, 2021, the Company entered into an "at the market" (ATM) sales agreement with Jefferies LLC as the Company's sales agent, under which the Company may offer and sell from time to time up to $150 million of shares of the Company's common stock in negotiated transactions or transactions that are deemed to be an ATM offering. On July 8, 2021, the Company raised gross proceeds of $50.0 million through the sale of 2,597,402 shares in an ATM offering, with participation based on unsolicited interest received from a healthcare specialist fund. The Company sold such shares at a purchase price per share of $19.25, a premium to the market price at the time of sale. After deducting commissions and other offering expenses related to the ATM offering of $1.9 million, the net proceeds to the Company from the transaction were $48.1 million.</w:t>
      </w:r>
    </w:p>
    <w:p>
      <w:pPr>
        <w:spacing w:after="0" w:line="63" w:lineRule="exact"/>
        <w:rPr>
          <w:sz w:val="20"/>
          <w:szCs w:val="20"/>
          <w:color w:val="auto"/>
        </w:rPr>
      </w:pPr>
    </w:p>
    <w:p>
      <w:pPr>
        <w:ind w:left="760" w:right="5680" w:hanging="752"/>
        <w:spacing w:after="0" w:line="362" w:lineRule="auto"/>
        <w:tabs>
          <w:tab w:leader="none" w:pos="19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60" w:firstLine="749"/>
        <w:spacing w:after="0" w:line="263"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interim period are not necessarily indicative of future results.</w:t>
      </w:r>
    </w:p>
    <w:p>
      <w:pPr>
        <w:spacing w:after="0" w:line="65" w:lineRule="exact"/>
        <w:rPr>
          <w:sz w:val="20"/>
          <w:szCs w:val="20"/>
          <w:color w:val="auto"/>
        </w:rPr>
      </w:pPr>
    </w:p>
    <w:p>
      <w:pPr>
        <w:ind w:right="40" w:firstLine="749"/>
        <w:spacing w:after="0" w:line="280" w:lineRule="auto"/>
        <w:rPr>
          <w:sz w:val="20"/>
          <w:szCs w:val="20"/>
          <w:color w:val="auto"/>
        </w:rPr>
      </w:pPr>
      <w:r>
        <w:rPr>
          <w:rFonts w:ascii="Arial" w:cs="Arial" w:eastAsia="Arial" w:hAnsi="Arial"/>
          <w:sz w:val="16"/>
          <w:szCs w:val="16"/>
          <w:color w:val="auto"/>
        </w:rPr>
        <w:t>In March 2020, the World Health Organization declared the novel coronavirus disease, or COVID-19, outbreak a global pandemic. Governments have taken various actions in response to the COVID-19 pandemic, including the issuance of stay-at-home orders and physical distancing guidelines. Accordingly, businesses have adjusted, reduced or suspended certain operating activities. Disruptions caused by the COVID-19 pandemic have impacted the Company, including the temporary suspension or delayed enrollment of patients in the Company’s clinical trials. The future impacts of the COVID-19 pandemic depend, in part, on the length and severity of the restrictions and other limitations on the Company’s ability to conduct business in the ordinary course. As a result, research and development expenses and general and administrative expenses may vary significantly if there is an increased impact from COVID-19 on the costs and timing associated with the conduct of the clinical trials and other related business activities.</w:t>
      </w:r>
    </w:p>
    <w:p>
      <w:pPr>
        <w:spacing w:after="0" w:line="50" w:lineRule="exact"/>
        <w:rPr>
          <w:sz w:val="20"/>
          <w:szCs w:val="20"/>
          <w:color w:val="auto"/>
        </w:rPr>
      </w:pPr>
    </w:p>
    <w:p>
      <w:pPr>
        <w:ind w:firstLine="749"/>
        <w:spacing w:after="0" w:line="249" w:lineRule="auto"/>
        <w:rPr>
          <w:sz w:val="20"/>
          <w:szCs w:val="20"/>
          <w:color w:val="auto"/>
        </w:rPr>
      </w:pPr>
      <w:r>
        <w:rPr>
          <w:rFonts w:ascii="Arial" w:cs="Arial" w:eastAsia="Arial" w:hAnsi="Arial"/>
          <w:sz w:val="18"/>
          <w:szCs w:val="18"/>
          <w:color w:val="auto"/>
        </w:rPr>
        <w:t>The accompanying unaudited financial statements should be read in conjunction with the audited financial statements and the related notes thereto for the year ended December 31, 2021, which are included in the Company’s Annual Report on Form 10-K filed with the SEC. Furthermore, the Company’s significant accounting policies are disclosed in the audited financial statements for the periods ended December 31, 2021 and 2020, included in the Company’s Annual Report on Form 10-K. Since the date of those financial statements, there have been no changes to its significant accounting policies, except as noted below.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left="7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auto"/>
        </w:rPr>
        <w:t>Stock-based compensation expense represents the grant date fair value of employee, officer, director and non-employee stock option and restricted stock unit grants, estimated in accordance with the applicable accounting guidance and recognized over the vesting period, which approximates the requisite service period of the awards. The Company recognizes forfeitures as they occur.</w:t>
      </w:r>
    </w:p>
    <w:p>
      <w:pPr>
        <w:spacing w:after="0" w:line="87" w:lineRule="exact"/>
        <w:rPr>
          <w:sz w:val="20"/>
          <w:szCs w:val="20"/>
          <w:color w:val="auto"/>
        </w:rPr>
      </w:pPr>
    </w:p>
    <w:p>
      <w:pPr>
        <w:ind w:right="40" w:firstLine="749"/>
        <w:spacing w:after="0" w:line="259" w:lineRule="auto"/>
        <w:rPr>
          <w:sz w:val="20"/>
          <w:szCs w:val="20"/>
          <w:color w:val="auto"/>
        </w:rPr>
      </w:pPr>
      <w:r>
        <w:rPr>
          <w:rFonts w:ascii="Arial" w:cs="Arial" w:eastAsia="Arial" w:hAnsi="Arial"/>
          <w:sz w:val="17"/>
          <w:szCs w:val="17"/>
          <w:color w:val="auto"/>
        </w:rPr>
        <w:t>The fair value of stock options is estimated using a Black-Scholes-Merton valuation model on the date of grant. This method requires certain assumptions be used as inputs, such as a risk-free interest rate, expected volatility of the Company’s common stock and expected term of the option before exercise. The risk-free interest rate is based on U.S. Treasury instruments with maturities similar to the expected term. The expected volatility is computed using historical volatility for a period equal to the expected term. Given the limited period of time the Company's stock has been traded, expected volatility is based on the Company's historical volatility and the historical volatility of a group of similar companies that are publicly traded. The expected term represents the length of time the stock options are expected to be outstanding. Because the Company does not have sufficient exercise behavior, it determines the expected term assumption using the simplified method, which is an average of the contractual term of the option and its vesting period. Options granted have a maximum contractual term of ten years and generally vest over a four year period.</w:t>
      </w:r>
    </w:p>
    <w:p>
      <w:pPr>
        <w:spacing w:after="0" w:line="67"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The fair value of restricted stock units is equal to the closing price of the Company's stock on the date of grant. Restricted stock units generally vest over a three year period.</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800" w:firstLine="749"/>
        <w:spacing w:after="0" w:line="261" w:lineRule="auto"/>
        <w:rPr>
          <w:sz w:val="20"/>
          <w:szCs w:val="20"/>
          <w:color w:val="auto"/>
        </w:rPr>
      </w:pPr>
      <w:r>
        <w:rPr>
          <w:rFonts w:ascii="Arial" w:cs="Arial" w:eastAsia="Arial" w:hAnsi="Arial"/>
          <w:sz w:val="18"/>
          <w:szCs w:val="18"/>
          <w:color w:val="auto"/>
        </w:rPr>
        <w:t>There are no recently issued accounting pronouncements that would materially impact the Company’s financial statements and related disclosures.</w:t>
      </w:r>
    </w:p>
    <w:p>
      <w:pPr>
        <w:spacing w:after="0" w:line="7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Agreements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Voronoi License Agreement</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October 19, 2020, the Company entered into a license and collaboration agreement (Voronoi License Agreement) with Voronoi Inc.</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Under the Voronoi License Agreement, Voronoi has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74"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The Company’s financial obligations under the Voronoi License Agreement included an upfront payment of $5.0 million in cash and the issuance to Voronoi of 283,259 shares of the Company’s common stock, valued at approximately $6.8 million,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for transactions by an issuer not involving any public offering.</w:t>
      </w:r>
    </w:p>
    <w:p>
      <w:pPr>
        <w:spacing w:after="0" w:line="77" w:lineRule="exact"/>
        <w:rPr>
          <w:sz w:val="20"/>
          <w:szCs w:val="20"/>
          <w:color w:val="auto"/>
        </w:rPr>
      </w:pPr>
    </w:p>
    <w:p>
      <w:pPr>
        <w:ind w:firstLine="749"/>
        <w:spacing w:after="0" w:line="280" w:lineRule="auto"/>
        <w:rPr>
          <w:sz w:val="20"/>
          <w:szCs w:val="20"/>
          <w:color w:val="auto"/>
        </w:rPr>
      </w:pPr>
      <w:r>
        <w:rPr>
          <w:rFonts w:ascii="Arial" w:cs="Arial" w:eastAsia="Arial" w:hAnsi="Arial"/>
          <w:sz w:val="16"/>
          <w:szCs w:val="16"/>
          <w:color w:val="auto"/>
        </w:rPr>
        <w:t>Under the Voronoi License Agreement, Voronoi was responsible for certain research and development costs up to a predetermined threshold. Upon achievement of the predetermined threshold during the quarter ended June 30, 2022, Voronoi has chosen to opt-out of participation in and funding of future development activities. The Company is also obligated to make milestone payments to Voronoi upon the achievement of certain events. Upon the achievement of certain development and regulatory milestones with respect to the first licensed product, the Company is obligated to pay Voronoi up to a maximum of $111.0 million. Upon the achievement of certain commercial milestones with respect to the first licensed product, the Company is obligated to pay Voronoi up to a maximum of $225.0 million. If the Company pursues a second licensed product, the Company could pay Voronoi up to an additional $272.0 million in success-based milestones. In addition, the Company is obligated to pay royalties on net sales of licensed products in the ORIC Territory.</w:t>
      </w:r>
    </w:p>
    <w:p>
      <w:pPr>
        <w:spacing w:after="0" w:line="50" w:lineRule="exact"/>
        <w:rPr>
          <w:sz w:val="20"/>
          <w:szCs w:val="20"/>
          <w:color w:val="auto"/>
        </w:rPr>
      </w:pPr>
    </w:p>
    <w:p>
      <w:pPr>
        <w:ind w:right="80" w:firstLine="749"/>
        <w:spacing w:after="0" w:line="263" w:lineRule="auto"/>
        <w:rPr>
          <w:sz w:val="20"/>
          <w:szCs w:val="20"/>
          <w:color w:val="auto"/>
        </w:rPr>
      </w:pPr>
      <w:r>
        <w:rPr>
          <w:rFonts w:ascii="Arial" w:cs="Arial" w:eastAsia="Arial" w:hAnsi="Arial"/>
          <w:sz w:val="17"/>
          <w:szCs w:val="17"/>
          <w:color w:val="auto"/>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 w:name="page11"/>
    <w:bookmarkEnd w:id="10"/>
    <w:p>
      <w:pPr>
        <w:ind w:right="180" w:firstLine="749"/>
        <w:spacing w:after="0" w:line="256" w:lineRule="auto"/>
        <w:rPr>
          <w:sz w:val="20"/>
          <w:szCs w:val="20"/>
          <w:color w:val="auto"/>
        </w:rPr>
      </w:pPr>
      <w:r>
        <w:rPr>
          <w:rFonts w:ascii="Arial" w:cs="Arial" w:eastAsia="Arial" w:hAnsi="Arial"/>
          <w:sz w:val="18"/>
          <w:szCs w:val="18"/>
          <w:color w:val="auto"/>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Mirati License Agreement</w:t>
      </w:r>
    </w:p>
    <w:p>
      <w:pPr>
        <w:spacing w:after="0" w:line="117" w:lineRule="exact"/>
        <w:rPr>
          <w:sz w:val="20"/>
          <w:szCs w:val="20"/>
          <w:color w:val="auto"/>
        </w:rPr>
      </w:pPr>
    </w:p>
    <w:p>
      <w:pPr>
        <w:ind w:right="60" w:firstLine="749"/>
        <w:spacing w:after="0" w:line="260" w:lineRule="auto"/>
        <w:rPr>
          <w:sz w:val="20"/>
          <w:szCs w:val="20"/>
          <w:color w:val="auto"/>
        </w:rPr>
      </w:pPr>
      <w:r>
        <w:rPr>
          <w:rFonts w:ascii="Arial" w:cs="Arial" w:eastAsia="Arial" w:hAnsi="Arial"/>
          <w:sz w:val="17"/>
          <w:szCs w:val="17"/>
          <w:color w:val="auto"/>
        </w:rPr>
        <w:t>On August 3, 2020, the Company entered into a license agreement (Mirati License Agreement) with Mirati Therapeutics, Inc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66" w:lineRule="exact"/>
        <w:rPr>
          <w:sz w:val="20"/>
          <w:szCs w:val="20"/>
          <w:color w:val="auto"/>
        </w:rPr>
      </w:pPr>
    </w:p>
    <w:p>
      <w:pPr>
        <w:ind w:right="140" w:firstLine="749"/>
        <w:spacing w:after="0" w:line="261" w:lineRule="auto"/>
        <w:rPr>
          <w:sz w:val="20"/>
          <w:szCs w:val="20"/>
          <w:color w:val="auto"/>
        </w:rPr>
      </w:pPr>
      <w:r>
        <w:rPr>
          <w:rFonts w:ascii="Arial" w:cs="Arial" w:eastAsia="Arial" w:hAnsi="Arial"/>
          <w:sz w:val="17"/>
          <w:szCs w:val="17"/>
          <w:color w:val="auto"/>
        </w:rPr>
        <w:t>The Company’s financial obligation under the Mirati License Agreement was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of 1933, as amended,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The Company is not obligated to pay Mirati milestones or royalties.</w:t>
      </w:r>
    </w:p>
    <w:p>
      <w:pPr>
        <w:spacing w:after="0" w:line="78"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7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 net</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2021</w:t>
            </w:r>
          </w:p>
        </w:tc>
        <w:tc>
          <w:tcPr>
            <w:tcW w:w="1120" w:type="dxa"/>
            <w:vAlign w:val="bottom"/>
          </w:tcPr>
          <w:p>
            <w:pPr>
              <w:spacing w:after="0"/>
              <w:rPr>
                <w:sz w:val="16"/>
                <w:szCs w:val="16"/>
                <w:color w:val="auto"/>
              </w:rPr>
            </w:pPr>
          </w:p>
        </w:tc>
      </w:tr>
      <w:tr>
        <w:trPr>
          <w:trHeight w:val="209"/>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Lab equipment</w:t>
            </w:r>
          </w:p>
        </w:tc>
        <w:tc>
          <w:tcPr>
            <w:tcW w:w="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5,922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1,730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Total property and equipment, gross</w:t>
            </w:r>
          </w:p>
        </w:tc>
        <w:tc>
          <w:tcPr>
            <w:tcW w:w="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8,456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4"/>
          </w:tcPr>
          <w:p>
            <w:pPr>
              <w:jc w:val="right"/>
              <w:ind w:right="70"/>
              <w:spacing w:after="0"/>
              <w:rPr>
                <w:sz w:val="20"/>
                <w:szCs w:val="20"/>
                <w:color w:val="auto"/>
              </w:rPr>
            </w:pPr>
            <w:r>
              <w:rPr>
                <w:rFonts w:ascii="Arial" w:cs="Arial" w:eastAsia="Arial" w:hAnsi="Arial"/>
                <w:sz w:val="18"/>
                <w:szCs w:val="18"/>
                <w:color w:val="auto"/>
              </w:rPr>
              <w:t>(5,451 )</w:t>
            </w:r>
          </w:p>
        </w:tc>
        <w:tc>
          <w:tcPr>
            <w:tcW w:w="16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(4,989 )</w:t>
            </w:r>
          </w:p>
        </w:tc>
        <w:tc>
          <w:tcPr>
            <w:tcW w:w="1120" w:type="dxa"/>
            <w:vAlign w:val="bottom"/>
          </w:tcPr>
          <w:p>
            <w:pPr>
              <w:spacing w:after="0"/>
              <w:rPr>
                <w:sz w:val="18"/>
                <w:szCs w:val="18"/>
                <w:color w:val="auto"/>
              </w:rPr>
            </w:pPr>
          </w:p>
        </w:tc>
      </w:tr>
      <w:tr>
        <w:trPr>
          <w:trHeight w:val="249"/>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property and equipment, net</w:t>
            </w:r>
          </w:p>
        </w:tc>
        <w:tc>
          <w:tcPr>
            <w:tcW w:w="5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3,005</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67"/>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5. Accrued Liabilities</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45"/>
        </w:trPr>
        <w:tc>
          <w:tcPr>
            <w:tcW w:w="180" w:type="dxa"/>
            <w:vAlign w:val="bottom"/>
          </w:tcPr>
          <w:p>
            <w:pPr>
              <w:spacing w:after="0"/>
              <w:rPr>
                <w:sz w:val="24"/>
                <w:szCs w:val="24"/>
                <w:color w:val="auto"/>
              </w:rPr>
            </w:pPr>
          </w:p>
        </w:tc>
        <w:tc>
          <w:tcPr>
            <w:tcW w:w="5160" w:type="dxa"/>
            <w:vAlign w:val="bottom"/>
            <w:gridSpan w:val="3"/>
          </w:tcPr>
          <w:p>
            <w:pPr>
              <w:ind w:left="580"/>
              <w:spacing w:after="0"/>
              <w:rPr>
                <w:sz w:val="20"/>
                <w:szCs w:val="20"/>
                <w:color w:val="auto"/>
              </w:rPr>
            </w:pPr>
            <w:r>
              <w:rPr>
                <w:rFonts w:ascii="Arial" w:cs="Arial" w:eastAsia="Arial" w:hAnsi="Arial"/>
                <w:sz w:val="18"/>
                <w:szCs w:val="18"/>
                <w:color w:val="auto"/>
                <w:w w:val="97"/>
              </w:rPr>
              <w:t>Accrued liabilities consisted of the following (in thousands):</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40"/>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0"/>
              </w:rPr>
              <w:t>June 30, 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December 31, 2021</w:t>
            </w:r>
          </w:p>
        </w:tc>
        <w:tc>
          <w:tcPr>
            <w:tcW w:w="112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clinical and manufacturing costs</w:t>
            </w:r>
          </w:p>
        </w:tc>
        <w:tc>
          <w:tcPr>
            <w:tcW w:w="54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4,798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liabilities - short-term</w:t>
            </w:r>
          </w:p>
        </w:tc>
        <w:tc>
          <w:tcPr>
            <w:tcW w:w="5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accruals</w:t>
            </w:r>
          </w:p>
        </w:tc>
        <w:tc>
          <w:tcPr>
            <w:tcW w:w="5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accrued liabilities</w:t>
            </w:r>
          </w:p>
        </w:tc>
        <w:tc>
          <w:tcPr>
            <w:tcW w:w="5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10,381</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9"/>
        </w:trPr>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-2125345</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-2108200</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-2125345</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-2108200</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-513715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-496570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-659765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-659765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available-for-sale investments consisted of the following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June 30, 2022</w:t>
            </w:r>
          </w:p>
        </w:tc>
        <w:tc>
          <w:tcPr>
            <w:tcW w:w="140" w:type="dxa"/>
            <w:vAlign w:val="bottom"/>
          </w:tcPr>
          <w:p>
            <w:pPr>
              <w:spacing w:after="0"/>
              <w:rPr>
                <w:sz w:val="14"/>
                <w:szCs w:val="14"/>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ind w:left="260"/>
              <w:spacing w:after="0" w:line="158" w:lineRule="exact"/>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81"/>
              <w:spacing w:after="0" w:line="158" w:lineRule="exact"/>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3"/>
                <w:szCs w:val="13"/>
                <w:color w:val="auto"/>
              </w:rPr>
            </w:pPr>
          </w:p>
        </w:tc>
        <w:tc>
          <w:tcPr>
            <w:tcW w:w="920" w:type="dxa"/>
            <w:vAlign w:val="bottom"/>
          </w:tcPr>
          <w:p>
            <w:pPr>
              <w:jc w:val="right"/>
              <w:ind w:right="133"/>
              <w:spacing w:after="0" w:line="158"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20" w:type="dxa"/>
            <w:vAlign w:val="bottom"/>
            <w:gridSpan w:val="4"/>
            <w:shd w:val="clear" w:color="auto" w:fill="CFF0FC"/>
          </w:tcPr>
          <w:p>
            <w:pPr>
              <w:spacing w:after="0" w:line="156" w:lineRule="exact"/>
              <w:rPr>
                <w:sz w:val="20"/>
                <w:szCs w:val="20"/>
                <w:color w:val="auto"/>
              </w:rPr>
            </w:pPr>
            <w:r>
              <w:rPr>
                <w:rFonts w:ascii="Arial" w:cs="Arial" w:eastAsia="Arial" w:hAnsi="Arial"/>
                <w:sz w:val="18"/>
                <w:szCs w:val="18"/>
                <w:color w:val="auto"/>
              </w:rPr>
              <w:t>Short-term</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4"/>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177,275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(1,205 )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(11 )</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4"/>
          </w:tcPr>
          <w:p>
            <w:pPr>
              <w:ind w:left="3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179,200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(1,216 )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20" w:type="dxa"/>
            <w:vAlign w:val="bottom"/>
            <w:gridSpan w:val="4"/>
          </w:tcPr>
          <w:p>
            <w:pPr>
              <w:spacing w:after="0" w:line="176" w:lineRule="exact"/>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9,807</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tcPr>
          <w:p>
            <w:pPr>
              <w:ind w:left="18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8"/>
                <w:szCs w:val="18"/>
                <w:color w:val="auto"/>
              </w:rPr>
              <w:t>Long-term investments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720" w:type="dxa"/>
            <w:vAlign w:val="bottom"/>
            <w:gridSpan w:val="4"/>
          </w:tcPr>
          <w:p>
            <w:pPr>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20" w:type="dxa"/>
            <w:vAlign w:val="bottom"/>
            <w:gridSpan w:val="4"/>
            <w:shd w:val="clear" w:color="auto" w:fill="CFF0FC"/>
          </w:tcPr>
          <w:p>
            <w:pPr>
              <w:spacing w:after="0" w:line="176" w:lineRule="exact"/>
              <w:rPr>
                <w:sz w:val="20"/>
                <w:szCs w:val="20"/>
                <w:color w:val="auto"/>
              </w:rPr>
            </w:pPr>
            <w:r>
              <w:rPr>
                <w:rFonts w:ascii="Arial" w:cs="Arial" w:eastAsia="Arial" w:hAnsi="Arial"/>
                <w:sz w:val="18"/>
                <w:szCs w:val="18"/>
                <w:color w:val="auto"/>
              </w:rPr>
              <w:t>Short-term</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4"/>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10,014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gridSpan w:val="4"/>
          </w:tcPr>
          <w:p>
            <w:pPr>
              <w:ind w:left="3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10,975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(2 )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20" w:type="dxa"/>
            <w:vAlign w:val="bottom"/>
            <w:gridSpan w:val="4"/>
          </w:tcPr>
          <w:p>
            <w:pPr>
              <w:spacing w:after="0" w:line="176" w:lineRule="exact"/>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4"/>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42,517</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(98 )</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4"/>
          </w:tcPr>
          <w:p>
            <w:pPr>
              <w:ind w:left="18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8"/>
                <w:szCs w:val="18"/>
                <w:color w:val="auto"/>
              </w:rPr>
              <w:t>Long-term investments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43,386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-2468245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-2468245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-2468245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-2468245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-1602105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-1584960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-1602105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-1584960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-1602105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-1584960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-1602105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-1584960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-890905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-890905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-890905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-890905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The Company has determined that there were no material declines in fair value of its investments due to credit-related factors as of June 30, 2022 and December 31, 2021. Credit loss is limited due to the nature of the investments.</w:t>
      </w:r>
    </w:p>
    <w:p>
      <w:pPr>
        <w:spacing w:after="0" w:line="59"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21"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15"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major categories of assets measured at fair value on a recurring basis (in thousands):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185"/>
        </w:trPr>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Fair Value Measurements</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189"/>
        </w:trPr>
        <w:tc>
          <w:tcPr>
            <w:tcW w:w="10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b w:val="1"/>
                <w:bCs w:val="1"/>
                <w:color w:val="auto"/>
                <w:w w:val="88"/>
              </w:rPr>
              <w:t>June 30, 2022</w:t>
            </w:r>
          </w:p>
        </w:tc>
        <w:tc>
          <w:tcPr>
            <w:tcW w:w="2300" w:type="dxa"/>
            <w:vAlign w:val="bottom"/>
            <w:tcBorders>
              <w:bottom w:val="single" w:sz="8" w:color="CFF0FC"/>
            </w:tcBorders>
            <w:gridSpan w:val="2"/>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r>
      <w:tr>
        <w:trPr>
          <w:trHeight w:val="216"/>
        </w:trPr>
        <w:tc>
          <w:tcPr>
            <w:tcW w:w="3360" w:type="dxa"/>
            <w:vAlign w:val="bottom"/>
            <w:gridSpan w:val="3"/>
          </w:tcPr>
          <w:p>
            <w:pPr>
              <w:ind w:left="180"/>
              <w:spacing w:after="0" w:line="216"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49,080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49,080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49,080</w:t>
            </w:r>
          </w:p>
        </w:tc>
        <w:tc>
          <w:tcPr>
            <w:tcW w:w="80" w:type="dxa"/>
            <w:vAlign w:val="bottom"/>
          </w:tcPr>
          <w:p>
            <w:pPr>
              <w:spacing w:after="0"/>
              <w:rPr>
                <w:sz w:val="18"/>
                <w:szCs w:val="18"/>
                <w:color w:val="auto"/>
              </w:rPr>
            </w:pPr>
          </w:p>
        </w:tc>
      </w:tr>
      <w:tr>
        <w:trPr>
          <w:trHeight w:val="216"/>
        </w:trPr>
        <w:tc>
          <w:tcPr>
            <w:tcW w:w="33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185,877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185,877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185,877</w:t>
            </w:r>
          </w:p>
        </w:tc>
        <w:tc>
          <w:tcPr>
            <w:tcW w:w="80" w:type="dxa"/>
            <w:vAlign w:val="bottom"/>
            <w:shd w:val="clear" w:color="auto" w:fill="CFF0FC"/>
          </w:tcPr>
          <w:p>
            <w:pPr>
              <w:spacing w:after="0"/>
              <w:rPr>
                <w:sz w:val="18"/>
                <w:szCs w:val="18"/>
                <w:color w:val="auto"/>
              </w:rPr>
            </w:pPr>
          </w:p>
        </w:tc>
      </w:tr>
      <w:tr>
        <w:trPr>
          <w:trHeight w:val="216"/>
        </w:trPr>
        <w:tc>
          <w:tcPr>
            <w:tcW w:w="3360" w:type="dxa"/>
            <w:vAlign w:val="bottom"/>
            <w:gridSpan w:val="3"/>
          </w:tcPr>
          <w:p>
            <w:pPr>
              <w:ind w:left="18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80" w:type="dxa"/>
            <w:vAlign w:val="bottom"/>
          </w:tcPr>
          <w:p>
            <w:pPr>
              <w:spacing w:after="0"/>
              <w:rPr>
                <w:sz w:val="18"/>
                <w:szCs w:val="18"/>
                <w:color w:val="auto"/>
              </w:rPr>
            </w:pPr>
          </w:p>
        </w:tc>
      </w:tr>
      <w:tr>
        <w:trPr>
          <w:trHeight w:val="249"/>
        </w:trPr>
        <w:tc>
          <w:tcPr>
            <w:tcW w:w="336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237,836</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237,836</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237,836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56"/>
        </w:trPr>
        <w:tc>
          <w:tcPr>
            <w:tcW w:w="3360" w:type="dxa"/>
            <w:vAlign w:val="bottom"/>
            <w:gridSpan w:val="3"/>
          </w:tcPr>
          <w:p>
            <w:pPr>
              <w:spacing w:after="0" w:line="156" w:lineRule="exact"/>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360" w:type="dxa"/>
            <w:vAlign w:val="bottom"/>
            <w:gridSpan w:val="3"/>
            <w:shd w:val="clear" w:color="auto" w:fill="CFF0FC"/>
          </w:tcPr>
          <w:p>
            <w:pPr>
              <w:ind w:left="180"/>
              <w:spacing w:after="0" w:line="216" w:lineRule="exact"/>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226,006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226,006</w:t>
            </w:r>
          </w:p>
        </w:tc>
        <w:tc>
          <w:tcPr>
            <w:tcW w:w="80" w:type="dxa"/>
            <w:vAlign w:val="bottom"/>
            <w:shd w:val="clear" w:color="auto" w:fill="CFF0FC"/>
          </w:tcPr>
          <w:p>
            <w:pPr>
              <w:spacing w:after="0"/>
              <w:rPr>
                <w:sz w:val="18"/>
                <w:szCs w:val="18"/>
                <w:color w:val="auto"/>
              </w:rPr>
            </w:pPr>
          </w:p>
        </w:tc>
      </w:tr>
      <w:tr>
        <w:trPr>
          <w:trHeight w:val="216"/>
        </w:trPr>
        <w:tc>
          <w:tcPr>
            <w:tcW w:w="3360" w:type="dxa"/>
            <w:vAlign w:val="bottom"/>
            <w:gridSpan w:val="3"/>
          </w:tcPr>
          <w:p>
            <w:pPr>
              <w:ind w:left="180"/>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52,432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52,432</w:t>
            </w:r>
          </w:p>
        </w:tc>
        <w:tc>
          <w:tcPr>
            <w:tcW w:w="80" w:type="dxa"/>
            <w:vAlign w:val="bottom"/>
          </w:tcPr>
          <w:p>
            <w:pPr>
              <w:spacing w:after="0"/>
              <w:rPr>
                <w:sz w:val="18"/>
                <w:szCs w:val="18"/>
                <w:color w:val="auto"/>
              </w:rPr>
            </w:pPr>
          </w:p>
        </w:tc>
      </w:tr>
      <w:tr>
        <w:trPr>
          <w:trHeight w:val="216"/>
        </w:trPr>
        <w:tc>
          <w:tcPr>
            <w:tcW w:w="336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36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280,365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280,365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280,365</w:t>
            </w:r>
          </w:p>
        </w:tc>
        <w:tc>
          <w:tcPr>
            <w:tcW w:w="8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-744855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-728345</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-744855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-728345</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-744855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-728345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-744855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-728345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-744855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-728345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-170815</wp:posOffset>
            </wp:positionV>
            <wp:extent cx="596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1795780</wp:posOffset>
            </wp:positionH>
            <wp:positionV relativeFrom="paragraph">
              <wp:posOffset>-1242060</wp:posOffset>
            </wp:positionV>
            <wp:extent cx="285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1795780</wp:posOffset>
            </wp:positionH>
            <wp:positionV relativeFrom="paragraph">
              <wp:posOffset>-521970</wp:posOffset>
            </wp:positionV>
            <wp:extent cx="285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(1) Included in cash and cash equivalents in accompanying balance sheets.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transfers between levels occurred during either of the reporting periods presented.</w:t>
      </w:r>
    </w:p>
    <w:p>
      <w:pPr>
        <w:spacing w:after="0" w:line="10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Incentive Plans and Stock-Based Compensation</w:t>
      </w:r>
    </w:p>
    <w:p>
      <w:pPr>
        <w:spacing w:after="0" w:line="121"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As of June 30, 2022, there were 2,133,880 shares available for future issuance under the 2020 Equity Incentive Plan and 500,000 shares available for future issuance under the 2022 Inducement Equity Incentive Plan, which was adopted on March 1, 2022. The 2020 Equity Incentive Plan provides for the grants of stock options and other equity-based awards to employees, non-employee directors and consultants of the Company. The 2022 Inducement Equity Incentive Plan provides for the grants of equity-based awards to individuals not previously employees or non-employee directors of the Company.</w:t>
      </w:r>
    </w:p>
    <w:p>
      <w:pPr>
        <w:spacing w:after="0" w:line="42"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The table below summarizes the total stock-based compensation expense included in the Company’s statements of operations and comprehensive loss for the periods presented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95"/>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5"/>
        </w:trPr>
        <w:tc>
          <w:tcPr>
            <w:tcW w:w="4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left="759"/>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6"/>
        </w:trPr>
        <w:tc>
          <w:tcPr>
            <w:tcW w:w="4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r>
      <w:tr>
        <w:trPr>
          <w:trHeight w:val="20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3,155</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4,882</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8"/>
                <w:szCs w:val="18"/>
                <w:color w:val="auto"/>
              </w:rPr>
            </w:pPr>
          </w:p>
        </w:tc>
      </w:tr>
      <w:tr>
        <w:trPr>
          <w:trHeight w:val="250"/>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2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8,037</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59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59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stock option activity for the six months ended June 30, 2022:</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center"/>
              <w:ind w:left="364"/>
              <w:spacing w:after="0"/>
              <w:rPr>
                <w:sz w:val="20"/>
                <w:szCs w:val="20"/>
                <w:color w:val="auto"/>
              </w:rPr>
            </w:pPr>
            <w:r>
              <w:rPr>
                <w:rFonts w:ascii="Arial" w:cs="Arial" w:eastAsia="Arial" w:hAnsi="Arial"/>
                <w:sz w:val="14"/>
                <w:szCs w:val="14"/>
                <w:b w:val="1"/>
                <w:bCs w:val="1"/>
                <w:color w:val="auto"/>
                <w:w w:val="94"/>
              </w:rPr>
              <w:t>Weighted-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53"/>
        </w:trPr>
        <w:tc>
          <w:tcPr>
            <w:tcW w:w="3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left="344"/>
              <w:spacing w:after="0" w:line="153"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6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08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85"/>
        </w:trPr>
        <w:tc>
          <w:tcPr>
            <w:tcW w:w="3300" w:type="dxa"/>
            <w:vAlign w:val="bottom"/>
            <w:vMerge w:val="restart"/>
          </w:tcPr>
          <w:p>
            <w:pPr>
              <w:spacing w:after="0"/>
              <w:rPr>
                <w:sz w:val="20"/>
                <w:szCs w:val="20"/>
                <w:color w:val="auto"/>
              </w:rPr>
            </w:pPr>
            <w:r>
              <w:rPr>
                <w:rFonts w:ascii="Arial" w:cs="Arial" w:eastAsia="Arial" w:hAnsi="Arial"/>
                <w:sz w:val="18"/>
                <w:szCs w:val="18"/>
                <w:color w:val="auto"/>
              </w:rPr>
              <w:t>Outstanding at December 31, 2021</w:t>
            </w:r>
          </w:p>
        </w:tc>
        <w:tc>
          <w:tcPr>
            <w:tcW w:w="1660" w:type="dxa"/>
            <w:vAlign w:val="bottom"/>
            <w:gridSpan w:val="2"/>
            <w:vMerge w:val="continue"/>
          </w:tcPr>
          <w:p>
            <w:pPr>
              <w:spacing w:after="0"/>
              <w:rPr>
                <w:sz w:val="16"/>
                <w:szCs w:val="16"/>
                <w:color w:val="auto"/>
              </w:rPr>
            </w:pPr>
          </w:p>
        </w:tc>
        <w:tc>
          <w:tcPr>
            <w:tcW w:w="1080" w:type="dxa"/>
            <w:vAlign w:val="bottom"/>
          </w:tcPr>
          <w:p>
            <w:pPr>
              <w:jc w:val="center"/>
              <w:ind w:left="364"/>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95"/>
        </w:trPr>
        <w:tc>
          <w:tcPr>
            <w:tcW w:w="3300" w:type="dxa"/>
            <w:vAlign w:val="bottom"/>
            <w:vMerge w:val="continue"/>
          </w:tcPr>
          <w:p>
            <w:pPr>
              <w:spacing w:after="0"/>
              <w:rPr>
                <w:sz w:val="16"/>
                <w:szCs w:val="16"/>
                <w:color w:val="auto"/>
              </w:rPr>
            </w:pP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5,268,320</w:t>
            </w:r>
          </w:p>
        </w:tc>
        <w:tc>
          <w:tcPr>
            <w:tcW w:w="260" w:type="dxa"/>
            <w:vAlign w:val="bottom"/>
          </w:tcPr>
          <w:p>
            <w:pPr>
              <w:spacing w:after="0"/>
              <w:rPr>
                <w:sz w:val="16"/>
                <w:szCs w:val="16"/>
                <w:color w:val="auto"/>
              </w:rPr>
            </w:pPr>
          </w:p>
        </w:tc>
        <w:tc>
          <w:tcPr>
            <w:tcW w:w="1080" w:type="dxa"/>
            <w:vAlign w:val="bottom"/>
            <w:tcBorders>
              <w:top w:val="single" w:sz="8" w:color="auto"/>
            </w:tcBorders>
          </w:tcPr>
          <w:p>
            <w:pPr>
              <w:jc w:val="right"/>
              <w:ind w:right="904"/>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14.16</w:t>
            </w:r>
          </w:p>
        </w:tc>
        <w:tc>
          <w:tcPr>
            <w:tcW w:w="24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1,757,035</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(46,889 )</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Forfeited and cancelled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(324,389 )</w:t>
            </w: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16.94</w:t>
            </w: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-548005</wp:posOffset>
            </wp:positionV>
            <wp:extent cx="641223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Aggregate</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Intrinsic</w:t>
      </w:r>
    </w:p>
    <w:p>
      <w:pPr>
        <w:jc w:val="center"/>
        <w:ind w:right="980"/>
        <w:spacing w:after="0" w:line="222" w:lineRule="auto"/>
        <w:rPr>
          <w:sz w:val="20"/>
          <w:szCs w:val="20"/>
          <w:color w:val="auto"/>
        </w:rPr>
      </w:pPr>
      <w:r>
        <w:rPr>
          <w:rFonts w:ascii="Arial" w:cs="Arial" w:eastAsia="Arial" w:hAnsi="Arial"/>
          <w:sz w:val="14"/>
          <w:szCs w:val="14"/>
          <w:b w:val="1"/>
          <w:bCs w:val="1"/>
          <w:color w:val="auto"/>
        </w:rPr>
        <w:t>Value</w:t>
      </w:r>
    </w:p>
    <w:p>
      <w:pPr>
        <w:spacing w:after="0" w:line="1" w:lineRule="exact"/>
        <w:rPr>
          <w:sz w:val="20"/>
          <w:szCs w:val="20"/>
          <w:color w:val="auto"/>
        </w:rPr>
      </w:pPr>
    </w:p>
    <w:p>
      <w:pPr>
        <w:jc w:val="center"/>
        <w:ind w:right="980"/>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19685</wp:posOffset>
            </wp:positionV>
            <wp:extent cx="9601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909" w:lineRule="exact"/>
        <w:rPr>
          <w:sz w:val="20"/>
          <w:szCs w:val="20"/>
          <w:color w:val="auto"/>
        </w:rPr>
      </w:pPr>
    </w:p>
    <w:p>
      <w:pPr>
        <w:sectPr>
          <w:pgSz w:w="11900" w:h="16838" w:orient="portrait"/>
          <w:cols w:equalWidth="0" w:num="2">
            <w:col w:w="8820" w:space="560"/>
            <w:col w:w="1860"/>
          </w:cols>
          <w:pgMar w:left="320" w:top="333" w:right="33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3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2022</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6,654,077</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Exercisable at June 30,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3,087,337</w:t>
            </w:r>
          </w:p>
        </w:tc>
        <w:tc>
          <w:tcPr>
            <w:tcW w:w="26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-153670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-153670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-153670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fair value of stock option awards to employees, executives, directors, and other service providers was estimated at the date of grant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Black-Scholes-Merton option 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gridSpan w:val="3"/>
          </w:tcPr>
          <w:p>
            <w:pPr>
              <w:jc w:val="right"/>
              <w:ind w:right="91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2"/>
        </w:trPr>
        <w:tc>
          <w:tcPr>
            <w:tcW w:w="5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4"/>
                <w:szCs w:val="14"/>
                <w:b w:val="1"/>
                <w:bCs w:val="1"/>
                <w:color w:val="auto"/>
              </w:rPr>
              <w:t>June 30,</w:t>
            </w:r>
          </w:p>
        </w:tc>
        <w:tc>
          <w:tcPr>
            <w:tcW w:w="140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76"/>
        </w:trPr>
        <w:tc>
          <w:tcPr>
            <w:tcW w:w="5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260" w:type="dxa"/>
            <w:vAlign w:val="bottom"/>
            <w:gridSpan w:val="2"/>
          </w:tcPr>
          <w:p>
            <w:pPr>
              <w:jc w:val="center"/>
              <w:ind w:left="613"/>
              <w:spacing w:after="0"/>
              <w:rPr>
                <w:sz w:val="20"/>
                <w:szCs w:val="20"/>
                <w:color w:val="auto"/>
              </w:rPr>
            </w:pPr>
            <w:r>
              <w:rPr>
                <w:rFonts w:ascii="Arial" w:cs="Arial" w:eastAsia="Arial" w:hAnsi="Arial"/>
                <w:sz w:val="14"/>
                <w:szCs w:val="14"/>
                <w:b w:val="1"/>
                <w:bCs w:val="1"/>
                <w:color w:val="auto"/>
                <w:w w:val="89"/>
              </w:rPr>
              <w:t>2022</w:t>
            </w:r>
          </w:p>
        </w:tc>
        <w:tc>
          <w:tcPr>
            <w:tcW w:w="3660" w:type="dxa"/>
            <w:vAlign w:val="bottom"/>
            <w:gridSpan w:val="4"/>
          </w:tcPr>
          <w:p>
            <w:pPr>
              <w:jc w:val="right"/>
              <w:ind w:right="1130"/>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- 3.34%</w:t>
            </w: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1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- 1.15%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jc w:val="right"/>
              <w:spacing w:after="0"/>
              <w:rPr>
                <w:sz w:val="20"/>
                <w:szCs w:val="20"/>
                <w:color w:val="auto"/>
              </w:rPr>
            </w:pPr>
            <w:r>
              <w:rPr>
                <w:rFonts w:ascii="Arial" w:cs="Arial" w:eastAsia="Arial" w:hAnsi="Arial"/>
                <w:sz w:val="18"/>
                <w:szCs w:val="18"/>
                <w:color w:val="auto"/>
              </w:rPr>
              <w:t>82.98%</w:t>
            </w:r>
          </w:p>
        </w:tc>
        <w:tc>
          <w:tcPr>
            <w:tcW w:w="820" w:type="dxa"/>
            <w:vAlign w:val="bottom"/>
          </w:tcPr>
          <w:p>
            <w:pPr>
              <w:ind w:left="20"/>
              <w:spacing w:after="0"/>
              <w:rPr>
                <w:sz w:val="20"/>
                <w:szCs w:val="20"/>
                <w:color w:val="auto"/>
              </w:rPr>
            </w:pPr>
            <w:r>
              <w:rPr>
                <w:rFonts w:ascii="Arial" w:cs="Arial" w:eastAsia="Arial" w:hAnsi="Arial"/>
                <w:sz w:val="18"/>
                <w:szCs w:val="18"/>
                <w:color w:val="auto"/>
              </w:rPr>
              <w:t>- 87.60%</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85.31%</w:t>
            </w:r>
          </w:p>
        </w:tc>
        <w:tc>
          <w:tcPr>
            <w:tcW w:w="1400" w:type="dxa"/>
            <w:vAlign w:val="bottom"/>
          </w:tcPr>
          <w:p>
            <w:pPr>
              <w:ind w:left="20"/>
              <w:spacing w:after="0"/>
              <w:rPr>
                <w:sz w:val="20"/>
                <w:szCs w:val="20"/>
                <w:color w:val="auto"/>
              </w:rPr>
            </w:pPr>
            <w:r>
              <w:rPr>
                <w:rFonts w:ascii="Arial" w:cs="Arial" w:eastAsia="Arial" w:hAnsi="Arial"/>
                <w:sz w:val="18"/>
                <w:szCs w:val="18"/>
                <w:color w:val="auto"/>
              </w:rPr>
              <w:t>- 88.43%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260" w:type="dxa"/>
            <w:vAlign w:val="bottom"/>
            <w:gridSpan w:val="2"/>
            <w:shd w:val="clear" w:color="auto" w:fill="CFF0FC"/>
          </w:tcPr>
          <w:p>
            <w:pPr>
              <w:jc w:val="center"/>
              <w:ind w:left="613"/>
              <w:spacing w:after="0"/>
              <w:rPr>
                <w:sz w:val="20"/>
                <w:szCs w:val="20"/>
                <w:color w:val="auto"/>
              </w:rPr>
            </w:pPr>
            <w:r>
              <w:rPr>
                <w:rFonts w:ascii="Arial" w:cs="Arial" w:eastAsia="Arial" w:hAnsi="Arial"/>
                <w:sz w:val="18"/>
                <w:szCs w:val="18"/>
                <w:color w:val="auto"/>
                <w:w w:val="89"/>
              </w:rPr>
              <w:t>5.50-6.08</w:t>
            </w:r>
          </w:p>
        </w:tc>
        <w:tc>
          <w:tcPr>
            <w:tcW w:w="2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- 6.08</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60" w:type="dxa"/>
            <w:vAlign w:val="bottom"/>
            <w:gridSpan w:val="2"/>
          </w:tcPr>
          <w:p>
            <w:pPr>
              <w:jc w:val="center"/>
              <w:ind w:left="613"/>
              <w:spacing w:after="0"/>
              <w:rPr>
                <w:sz w:val="20"/>
                <w:szCs w:val="20"/>
                <w:color w:val="auto"/>
              </w:rPr>
            </w:pPr>
            <w:r>
              <w:rPr>
                <w:rFonts w:ascii="Arial" w:cs="Arial" w:eastAsia="Arial" w:hAnsi="Arial"/>
                <w:sz w:val="18"/>
                <w:szCs w:val="18"/>
                <w:color w:val="auto"/>
                <w:w w:val="92"/>
              </w:rPr>
              <w:t>0%</w:t>
            </w:r>
          </w:p>
        </w:tc>
        <w:tc>
          <w:tcPr>
            <w:tcW w:w="3660" w:type="dxa"/>
            <w:vAlign w:val="bottom"/>
            <w:gridSpan w:val="4"/>
          </w:tcPr>
          <w:p>
            <w:pPr>
              <w:jc w:val="right"/>
              <w:ind w:right="115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20"/>
                <w:szCs w:val="20"/>
                <w:color w:val="auto"/>
              </w:rPr>
            </w:pPr>
          </w:p>
        </w:tc>
      </w:tr>
      <w:tr>
        <w:trPr>
          <w:trHeight w:val="634"/>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40" w:type="dxa"/>
            <w:vAlign w:val="bottom"/>
          </w:tcPr>
          <w:p>
            <w:pPr>
              <w:jc w:val="right"/>
              <w:ind w:right="393"/>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 w:name="page14"/>
    <w:bookmarkEnd w:id="13"/>
    <w:p>
      <w:pPr>
        <w:ind w:right="20" w:firstLine="749"/>
        <w:spacing w:after="0" w:line="249" w:lineRule="auto"/>
        <w:rPr>
          <w:sz w:val="20"/>
          <w:szCs w:val="20"/>
          <w:color w:val="auto"/>
        </w:rPr>
      </w:pPr>
      <w:r>
        <w:rPr>
          <w:rFonts w:ascii="Arial" w:cs="Arial" w:eastAsia="Arial" w:hAnsi="Arial"/>
          <w:sz w:val="18"/>
          <w:szCs w:val="18"/>
          <w:color w:val="auto"/>
        </w:rPr>
        <w:t>The Company recognized stock-based compensation expense related to the vesting of stock options of $3.8 million and $3.2 million during the three months ended June 30, 2022 and 2021, respectively, and $7.5 million and $6.0 million during the six months ended June 30, 2022 and 2021, respectively. The total unrecognized compensation expense related to outstanding unvested stock-option awards as of June 30, 2022, was $35.8 million, which is expected to be recognized over a weighted-average remaining service period of 2.8 years.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restricted stock unit activity for the six months ended June 30, 2022:</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jc w:val="center"/>
              <w:ind w:right="378"/>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r>
      <w:tr>
        <w:trPr>
          <w:trHeight w:val="148"/>
        </w:trPr>
        <w:tc>
          <w:tcPr>
            <w:tcW w:w="5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jc w:val="center"/>
              <w:ind w:right="39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r>
      <w:tr>
        <w:trPr>
          <w:trHeight w:val="149"/>
        </w:trPr>
        <w:tc>
          <w:tcPr>
            <w:tcW w:w="5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jc w:val="center"/>
              <w:ind w:right="418"/>
              <w:spacing w:after="0" w:line="149" w:lineRule="exact"/>
              <w:rPr>
                <w:sz w:val="20"/>
                <w:szCs w:val="20"/>
                <w:color w:val="auto"/>
              </w:rPr>
            </w:pPr>
            <w:r>
              <w:rPr>
                <w:rFonts w:ascii="Arial" w:cs="Arial" w:eastAsia="Arial" w:hAnsi="Arial"/>
                <w:sz w:val="14"/>
                <w:szCs w:val="14"/>
                <w:b w:val="1"/>
                <w:bCs w:val="1"/>
                <w:color w:val="auto"/>
                <w:w w:val="99"/>
              </w:rPr>
              <w:t>Grant-Date</w:t>
            </w:r>
          </w:p>
        </w:tc>
        <w:tc>
          <w:tcPr>
            <w:tcW w:w="100" w:type="dxa"/>
            <w:vAlign w:val="bottom"/>
          </w:tcPr>
          <w:p>
            <w:pPr>
              <w:spacing w:after="0"/>
              <w:rPr>
                <w:sz w:val="12"/>
                <w:szCs w:val="12"/>
                <w:color w:val="auto"/>
              </w:rPr>
            </w:pPr>
          </w:p>
        </w:tc>
      </w:tr>
      <w:tr>
        <w:trPr>
          <w:trHeight w:val="198"/>
        </w:trPr>
        <w:tc>
          <w:tcPr>
            <w:tcW w:w="5000" w:type="dxa"/>
            <w:vAlign w:val="bottom"/>
          </w:tcPr>
          <w:p>
            <w:pPr>
              <w:spacing w:after="0"/>
              <w:rPr>
                <w:sz w:val="17"/>
                <w:szCs w:val="17"/>
                <w:color w:val="auto"/>
              </w:rPr>
            </w:pPr>
          </w:p>
        </w:tc>
        <w:tc>
          <w:tcPr>
            <w:tcW w:w="17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91"/>
              </w:rPr>
              <w:t>Number of Shares</w:t>
            </w:r>
          </w:p>
        </w:tc>
        <w:tc>
          <w:tcPr>
            <w:tcW w:w="6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37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7"/>
                <w:szCs w:val="17"/>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7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249,018</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r>
      <w:tr>
        <w:trPr>
          <w:trHeight w:val="216"/>
        </w:trPr>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(12,076 )</w:t>
            </w:r>
          </w:p>
        </w:tc>
        <w:tc>
          <w:tcPr>
            <w:tcW w:w="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2022</w:t>
            </w:r>
          </w:p>
        </w:tc>
        <w:tc>
          <w:tcPr>
            <w:tcW w:w="17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236,942</w:t>
            </w: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40" w:firstLine="749"/>
        <w:spacing w:after="0" w:line="249" w:lineRule="auto"/>
        <w:rPr>
          <w:sz w:val="20"/>
          <w:szCs w:val="20"/>
          <w:color w:val="auto"/>
        </w:rPr>
      </w:pPr>
      <w:r>
        <w:rPr>
          <w:rFonts w:ascii="Arial" w:cs="Arial" w:eastAsia="Arial" w:hAnsi="Arial"/>
          <w:sz w:val="18"/>
          <w:szCs w:val="18"/>
          <w:color w:val="auto"/>
        </w:rPr>
        <w:t>The Company recognized stock-based compensation expense related to the vesting of restricted stock units of $0.2 million and $0.3 million during the three and six months ended June 30, 2022, respectively. The Company did not grant restricted stock units in 2021. Total unrecognized compensation expense related to restricted stock units as of June 30, 2022, was $1.8 million, which is expected to be recognized over a weighted-average remaining service period of 2.5 years.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The company recognized stock-based compensation expense related to the Employee Stock Purchase Plan (ESPP) of $0.1 million and $0.2 million during the three and six months ended June 30, 2022, respectively. There was no ESPP expense for the three and six months ended June 30, 2021.</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5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7"/>
                <w:szCs w:val="17"/>
                <w:color w:val="auto"/>
              </w:rPr>
            </w:pPr>
          </w:p>
        </w:tc>
      </w:tr>
      <w:tr>
        <w:trPr>
          <w:trHeight w:val="175"/>
        </w:trPr>
        <w:tc>
          <w:tcPr>
            <w:tcW w:w="4260" w:type="dxa"/>
            <w:vAlign w:val="bottom"/>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5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16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4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6,654,077</w:t>
            </w: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5,206,688</w:t>
            </w:r>
          </w:p>
        </w:tc>
        <w:tc>
          <w:tcPr>
            <w:tcW w:w="2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6,654,077</w:t>
            </w: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5,206,688</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ind w:left="60"/>
              <w:spacing w:after="0"/>
              <w:rPr>
                <w:sz w:val="20"/>
                <w:szCs w:val="20"/>
                <w:color w:val="auto"/>
              </w:rPr>
            </w:pPr>
            <w:r>
              <w:rPr>
                <w:rFonts w:ascii="Arial" w:cs="Arial" w:eastAsia="Arial" w:hAnsi="Arial"/>
                <w:sz w:val="18"/>
                <w:szCs w:val="18"/>
                <w:color w:val="auto"/>
              </w:rPr>
              <w:t>Non-vested restricted stock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236,942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236,942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4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6,891,019</w:t>
            </w:r>
          </w:p>
        </w:tc>
        <w:tc>
          <w:tcPr>
            <w:tcW w:w="2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5,206,688</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6,891,019</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5,206,688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54" w:lineRule="exact"/>
        <w:rPr>
          <w:sz w:val="20"/>
          <w:szCs w:val="20"/>
          <w:color w:val="auto"/>
        </w:rPr>
      </w:pPr>
    </w:p>
    <w:p>
      <w:pPr>
        <w:jc w:val="both"/>
        <w:ind w:right="140" w:firstLine="749"/>
        <w:spacing w:after="0" w:line="245" w:lineRule="auto"/>
        <w:rPr>
          <w:sz w:val="20"/>
          <w:szCs w:val="20"/>
          <w:color w:val="auto"/>
        </w:rPr>
      </w:pPr>
      <w:r>
        <w:rPr>
          <w:rFonts w:ascii="Arial" w:cs="Arial" w:eastAsia="Arial" w:hAnsi="Arial"/>
          <w:sz w:val="18"/>
          <w:szCs w:val="18"/>
          <w:color w:val="auto"/>
        </w:rPr>
        <w:t>On June 21, 2022, the Company filed with the Securities and Exchange Commission a Tender Offer Statement on Schedule TO defining the terms and conditions of a one-time voluntary stock option exchange of certain eligible options for its employees (the “Option Exchange”). On July 20, 2022, the completion date of the Option Exchange, stock options covering an aggregate of 4,406,732 shares of common stock were tendered by eligible employees, and the Company granted new options covering an aggregate of 4,406,732 shares of common stock under the 2020 Plan in exchange for the tendered options.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44"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financial statements and related notes included elsewhere in this quarterly report on Form 10-Q and our audited financial statements and notes thereto as of and for the year ended December 31, 2021 and the related Management’s Discussion and Analysis of Financial Condition and Results of Operations, both of which are contained in our Annual Report on Form 10-K for the fiscal year ended December 31, 2021, filed with the Securities and Exchange Commission on March 21, 2022.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ORIC Pharmaceuticals is a clinical-stage biopharmaceutical company dedicated to improving patients’ lives by </w:t>
      </w:r>
      <w:r>
        <w:rPr>
          <w:rFonts w:ascii="Arial" w:cs="Arial" w:eastAsia="Arial" w:hAnsi="Arial"/>
          <w:sz w:val="17"/>
          <w:szCs w:val="17"/>
          <w:i w:val="1"/>
          <w:iCs w:val="1"/>
          <w:u w:val="single" w:color="auto"/>
          <w:color w:val="auto"/>
        </w:rPr>
        <w:t>O</w:t>
      </w:r>
      <w:r>
        <w:rPr>
          <w:rFonts w:ascii="Arial" w:cs="Arial" w:eastAsia="Arial" w:hAnsi="Arial"/>
          <w:sz w:val="17"/>
          <w:szCs w:val="17"/>
          <w:i w:val="1"/>
          <w:iCs w:val="1"/>
          <w:color w:val="auto"/>
        </w:rPr>
        <w:t>vercoming</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w:t>
      </w:r>
      <w:r>
        <w:rPr>
          <w:rFonts w:ascii="Arial" w:cs="Arial" w:eastAsia="Arial" w:hAnsi="Arial"/>
          <w:sz w:val="17"/>
          <w:szCs w:val="17"/>
          <w:i w:val="1"/>
          <w:iCs w:val="1"/>
          <w:color w:val="auto"/>
        </w:rPr>
        <w:t>esistance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I</w:t>
      </w:r>
      <w:r>
        <w:rPr>
          <w:rFonts w:ascii="Arial" w:cs="Arial" w:eastAsia="Arial" w:hAnsi="Arial"/>
          <w:sz w:val="17"/>
          <w:szCs w:val="17"/>
          <w:i w:val="1"/>
          <w:iCs w:val="1"/>
          <w:color w:val="auto"/>
        </w:rPr>
        <w: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w:t>
      </w:r>
      <w:r>
        <w:rPr>
          <w:rFonts w:ascii="Arial" w:cs="Arial" w:eastAsia="Arial" w:hAnsi="Arial"/>
          <w:sz w:val="18"/>
          <w:szCs w:val="18"/>
          <w:i w:val="1"/>
          <w:iCs w:val="1"/>
          <w:color w:val="auto"/>
        </w:rPr>
        <w:t>ancer.</w:t>
      </w:r>
    </w:p>
    <w:p>
      <w:pPr>
        <w:spacing w:after="0" w:line="209" w:lineRule="exact"/>
        <w:rPr>
          <w:sz w:val="20"/>
          <w:szCs w:val="20"/>
          <w:color w:val="auto"/>
        </w:rPr>
      </w:pPr>
    </w:p>
    <w:p>
      <w:pPr>
        <w:jc w:val="both"/>
        <w:ind w:right="640" w:firstLine="749"/>
        <w:spacing w:after="0" w:line="248" w:lineRule="auto"/>
        <w:rPr>
          <w:sz w:val="20"/>
          <w:szCs w:val="20"/>
          <w:color w:val="auto"/>
        </w:rPr>
      </w:pPr>
      <w:r>
        <w:rPr>
          <w:rFonts w:ascii="Arial" w:cs="Arial" w:eastAsia="Arial" w:hAnsi="Arial"/>
          <w:sz w:val="18"/>
          <w:szCs w:val="18"/>
          <w:color w:val="auto"/>
        </w:rPr>
        <w:t>Our fully integrated discovery and development team is advancing a diverse pipeline of innovative clinical and discovery stage therapies designed to counter resistance mechanisms in cancer by leveraging our expertise within three specific areas: hormone-dependent cancers, precision oncology and key tumor dependencies.</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clinical stage product candidates include:</w:t>
      </w:r>
    </w:p>
    <w:p>
      <w:pPr>
        <w:spacing w:after="0" w:line="104" w:lineRule="exact"/>
        <w:rPr>
          <w:sz w:val="20"/>
          <w:szCs w:val="20"/>
          <w:color w:val="auto"/>
        </w:rPr>
      </w:pPr>
    </w:p>
    <w:p>
      <w:pPr>
        <w:ind w:left="1260" w:right="20" w:hanging="503"/>
        <w:spacing w:after="0" w:line="268"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ORIC-533, an orally bioavailable small molecule inhibitor of CD73, a key node in the adenosine pathway believed to play a central role in resistance to chemotherapy- and immunotherapy-based treatment regimens. In the second quarter of 2021, the U.S. Food and Drug Administration (FDA) cleared the Investigational New Drug Application (IND) for ORIC-533, and we are enrolling patients in a Phase 1b trial as a single-agent in multiple myeloma and expect to report initial data in the first half of 2023.</w:t>
      </w:r>
    </w:p>
    <w:p>
      <w:pPr>
        <w:spacing w:after="0" w:line="58" w:lineRule="exact"/>
        <w:rPr>
          <w:rFonts w:ascii="Arial" w:cs="Arial" w:eastAsia="Arial" w:hAnsi="Arial"/>
          <w:sz w:val="17"/>
          <w:szCs w:val="17"/>
          <w:color w:val="auto"/>
        </w:rPr>
      </w:pPr>
    </w:p>
    <w:p>
      <w:pPr>
        <w:ind w:left="1260" w:right="20" w:hanging="503"/>
        <w:spacing w:after="0" w:line="261"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the fourth quarter of 2021, we filed a Clinical Trial Application (CTA) in South Korea for ORIC-114, which was cleared in the first quarter of 2022. We are pursuing a Phase 1b single agent trial which is enrolling patients with advanced solid tumors with EGFR and HER2 exon 20 alterations or HER2 amplifications and allows patients with CNS metastases that are either treated or untreated but asymptomatic. We expect to report initial Phase 1b data from this trial in the first half of 2023.</w:t>
      </w:r>
    </w:p>
    <w:p>
      <w:pPr>
        <w:spacing w:after="0" w:line="64" w:lineRule="exact"/>
        <w:rPr>
          <w:rFonts w:ascii="Arial" w:cs="Arial" w:eastAsia="Arial" w:hAnsi="Arial"/>
          <w:sz w:val="17"/>
          <w:szCs w:val="17"/>
          <w:color w:val="auto"/>
        </w:rPr>
      </w:pPr>
    </w:p>
    <w:p>
      <w:pPr>
        <w:ind w:left="1260" w:right="20" w:hanging="503"/>
        <w:spacing w:after="0" w:line="268"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ORIC-944, an allosteric inhibitor of the polycomb repressive complex 2 (PRC2) via the embryonic ectoderm development (EED) subunit, for which we licensed development and commercialization rights from Mirati Therapeutics, Inc. (Mirati) in August 2020 (Mirati License Agreement). We filed and cleared an IND with the FDA for ORIC-944 in the fourth quarter of 2021, and we are enrolling patients in a Phase 1b trial as a single-agent in prostate cancer and expect to report initial data in the first half of 2023.</w:t>
      </w:r>
    </w:p>
    <w:p>
      <w:pPr>
        <w:spacing w:after="0" w:line="180"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Beyond these clinical stage product candidates, we are developing multiple discovery stage precision medicines targeting other hallmark cancer resistance mechanisms.</w:t>
      </w:r>
    </w:p>
    <w:p>
      <w:pPr>
        <w:spacing w:after="0" w:line="63" w:lineRule="exact"/>
        <w:rPr>
          <w:sz w:val="20"/>
          <w:szCs w:val="20"/>
          <w:color w:val="auto"/>
        </w:rPr>
      </w:pPr>
    </w:p>
    <w:p>
      <w:pPr>
        <w:ind w:right="100" w:firstLine="749"/>
        <w:spacing w:after="0" w:line="261" w:lineRule="auto"/>
        <w:rPr>
          <w:sz w:val="20"/>
          <w:szCs w:val="20"/>
          <w:color w:val="auto"/>
        </w:rPr>
      </w:pPr>
      <w:r>
        <w:rPr>
          <w:rFonts w:ascii="Arial" w:cs="Arial" w:eastAsia="Arial" w:hAnsi="Arial"/>
          <w:sz w:val="17"/>
          <w:szCs w:val="17"/>
          <w:color w:val="auto"/>
        </w:rPr>
        <w:t>We have incurred significant losses since the commencement of our operations. Our net loss for the six months ended June 30, 2022 was $43.4 million and we had an accumulated deficit of $288.6 million as of June 30, 2022.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ORIC-533, ORIC-114, ORIC-944 and any future product candidates from discovery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spacing w:after="0" w:line="64"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color w:val="auto"/>
        </w:rPr>
        <w:t>In March 2020, the World Health Organization declared the novel coronavirus disease, or COVID-19, outbreak a global pandemic. Governments have taken various actions in response to the COVID-19 pandemic, including the issuance of stay-at-home orders and physical distancing guidelines. Accordingly, businesses have adjusted, reduced or suspended certain operating activities. Disruptions caused by the COVID-19 pandemic have impacted the Company, including the temporary suspension or delayed enrollment of patients in the Company’s clinical trials. The future impacts of the COVID-19 pandemic depend, in part, on the length and severity of the restrictions and other limitations on our ability to conduct business in the ordinary course. As a result, research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 w:name="page16"/>
    <w:bookmarkEnd w:id="15"/>
    <w:p>
      <w:pPr>
        <w:ind w:right="320"/>
        <w:spacing w:after="0" w:line="277" w:lineRule="auto"/>
        <w:rPr>
          <w:sz w:val="20"/>
          <w:szCs w:val="20"/>
          <w:color w:val="auto"/>
        </w:rPr>
      </w:pPr>
      <w:r>
        <w:rPr>
          <w:rFonts w:ascii="Arial" w:cs="Arial" w:eastAsia="Arial" w:hAnsi="Arial"/>
          <w:sz w:val="18"/>
          <w:szCs w:val="18"/>
          <w:color w:val="auto"/>
        </w:rPr>
        <w:t>development expenses and general and administrative expenses may vary significantly if there is an increased impact from COVID-19 on the costs and timing associated with the conduct of our clinical trials and other related business activities.</w:t>
      </w:r>
    </w:p>
    <w:p>
      <w:pPr>
        <w:spacing w:after="0" w:line="49" w:lineRule="exact"/>
        <w:rPr>
          <w:sz w:val="20"/>
          <w:szCs w:val="20"/>
          <w:color w:val="auto"/>
        </w:rPr>
      </w:pPr>
    </w:p>
    <w:p>
      <w:pPr>
        <w:ind w:right="20" w:firstLine="749"/>
        <w:spacing w:after="0" w:line="246" w:lineRule="auto"/>
        <w:rPr>
          <w:sz w:val="20"/>
          <w:szCs w:val="20"/>
          <w:color w:val="auto"/>
        </w:rPr>
      </w:pPr>
      <w:r>
        <w:rPr>
          <w:rFonts w:ascii="Arial" w:cs="Arial" w:eastAsia="Arial" w:hAnsi="Arial"/>
          <w:sz w:val="18"/>
          <w:szCs w:val="18"/>
          <w:color w:val="auto"/>
        </w:rPr>
        <w:t>On May 6, 2021, we entered into an "at-the-market"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 After deducting commissions and other offering expenses related to the ATM offering of $1.9 million, the net proceeds we received from the transaction were $48.1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External expenses include:</w:t>
      </w:r>
    </w:p>
    <w:p>
      <w:pPr>
        <w:spacing w:after="0" w:line="104" w:lineRule="exact"/>
        <w:rPr>
          <w:sz w:val="20"/>
          <w:szCs w:val="20"/>
          <w:color w:val="auto"/>
        </w:rPr>
      </w:pPr>
    </w:p>
    <w:p>
      <w:pPr>
        <w:ind w:left="1260" w:right="40" w:hanging="503"/>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to third parties in connection with the clinical development of our product candidates, including contract research organizations (CROs) and consultants;</w:t>
      </w:r>
    </w:p>
    <w:p>
      <w:pPr>
        <w:spacing w:after="0" w:line="48" w:lineRule="exact"/>
        <w:rPr>
          <w:rFonts w:ascii="Arial" w:cs="Arial" w:eastAsia="Arial" w:hAnsi="Arial"/>
          <w:sz w:val="18"/>
          <w:szCs w:val="18"/>
          <w:color w:val="auto"/>
        </w:rPr>
      </w:pPr>
    </w:p>
    <w:p>
      <w:pPr>
        <w:ind w:left="1260" w:right="400" w:hanging="503"/>
        <w:spacing w:after="0" w:line="261"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76" w:lineRule="exact"/>
        <w:rPr>
          <w:rFonts w:ascii="Arial" w:cs="Arial" w:eastAsia="Arial" w:hAnsi="Arial"/>
          <w:sz w:val="18"/>
          <w:szCs w:val="18"/>
          <w:color w:val="auto"/>
        </w:rPr>
      </w:pPr>
    </w:p>
    <w:p>
      <w:pPr>
        <w:ind w:left="1260" w:right="340" w:hanging="503"/>
        <w:spacing w:after="0" w:line="291"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payments to third parties in connection with the preclinical development of our product candidates, including outsourced professional scientific development services, consulting research fees and sponsored research arrangements with third parties;</w:t>
      </w:r>
    </w:p>
    <w:p>
      <w:pPr>
        <w:spacing w:after="0" w:line="38" w:lineRule="exact"/>
        <w:rPr>
          <w:rFonts w:ascii="Arial" w:cs="Arial" w:eastAsia="Arial" w:hAnsi="Arial"/>
          <w:sz w:val="17"/>
          <w:szCs w:val="17"/>
          <w:color w:val="auto"/>
        </w:rPr>
      </w:pPr>
    </w:p>
    <w:p>
      <w:pPr>
        <w:ind w:left="1260" w:hanging="503"/>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laboratory supplies;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127" w:lineRule="exact"/>
        <w:rPr>
          <w:sz w:val="20"/>
          <w:szCs w:val="20"/>
          <w:color w:val="auto"/>
        </w:rPr>
      </w:pPr>
    </w:p>
    <w:p>
      <w:pPr>
        <w:ind w:right="80" w:firstLine="749"/>
        <w:spacing w:after="0" w:line="249" w:lineRule="auto"/>
        <w:rPr>
          <w:sz w:val="20"/>
          <w:szCs w:val="20"/>
          <w:color w:val="auto"/>
        </w:rPr>
      </w:pPr>
      <w:r>
        <w:rPr>
          <w:rFonts w:ascii="Arial" w:cs="Arial" w:eastAsia="Arial" w:hAnsi="Arial"/>
          <w:sz w:val="18"/>
          <w:szCs w:val="18"/>
          <w:color w:val="auto"/>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73" w:lineRule="exact"/>
        <w:rPr>
          <w:sz w:val="20"/>
          <w:szCs w:val="20"/>
          <w:color w:val="auto"/>
        </w:rPr>
      </w:pPr>
    </w:p>
    <w:p>
      <w:pPr>
        <w:ind w:right="780" w:firstLine="749"/>
        <w:spacing w:after="0" w:line="261" w:lineRule="auto"/>
        <w:rPr>
          <w:sz w:val="20"/>
          <w:szCs w:val="20"/>
          <w:color w:val="auto"/>
        </w:rPr>
      </w:pPr>
      <w:r>
        <w:rPr>
          <w:rFonts w:ascii="Arial" w:cs="Arial" w:eastAsia="Arial" w:hAnsi="Arial"/>
          <w:sz w:val="18"/>
          <w:szCs w:val="18"/>
          <w:color w:val="auto"/>
        </w:rPr>
        <w:t>Internal expenses include employee-related costs such as salaries, related benefits and non-cash stock-based compensation expense for employees engaged in research and development functions.</w:t>
      </w:r>
    </w:p>
    <w:p>
      <w:pPr>
        <w:spacing w:after="0" w:line="76" w:lineRule="exact"/>
        <w:rPr>
          <w:sz w:val="20"/>
          <w:szCs w:val="20"/>
          <w:color w:val="auto"/>
        </w:rPr>
      </w:pPr>
    </w:p>
    <w:p>
      <w:pPr>
        <w:ind w:firstLine="749"/>
        <w:spacing w:after="0" w:line="249" w:lineRule="auto"/>
        <w:rPr>
          <w:sz w:val="20"/>
          <w:szCs w:val="20"/>
          <w:color w:val="auto"/>
        </w:rPr>
      </w:pPr>
      <w:r>
        <w:rPr>
          <w:rFonts w:ascii="Arial" w:cs="Arial" w:eastAsia="Arial" w:hAnsi="Arial"/>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spacing w:after="0" w:line="73"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spacing w:after="0" w:line="42"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187" w:lineRule="exact"/>
        <w:rPr>
          <w:sz w:val="20"/>
          <w:szCs w:val="20"/>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6" w:name="page17"/>
    <w:bookmarkEnd w:id="16"/>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03" w:lineRule="exact"/>
        <w:rPr>
          <w:rFonts w:ascii="Arial" w:cs="Arial" w:eastAsia="Arial" w:hAnsi="Arial"/>
          <w:sz w:val="18"/>
          <w:szCs w:val="18"/>
          <w:color w:val="auto"/>
        </w:rPr>
      </w:pPr>
    </w:p>
    <w:p>
      <w:pPr>
        <w:ind w:left="1260" w:right="20" w:hanging="50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successful completion of clinical trials with safety, tolerability and efficacy profiles that are satisfactory to the FDA or any comparable foreign regulatory authority;</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licensing or collaboration arrangements;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retaining research and development personnel;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260" w:right="680" w:hanging="503"/>
        <w:spacing w:after="0" w:line="261"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and timely delivery of commercial-grade product formulations that can be used in our planned clinical trials and for commercial launch;</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approved, whether alone or in collaboration with others;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104"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60" w:firstLine="749"/>
        <w:spacing w:after="0" w:line="263" w:lineRule="auto"/>
        <w:rPr>
          <w:sz w:val="20"/>
          <w:szCs w:val="20"/>
          <w:color w:val="auto"/>
        </w:rPr>
      </w:pPr>
      <w:r>
        <w:rPr>
          <w:rFonts w:ascii="Arial" w:cs="Arial" w:eastAsia="Arial" w:hAnsi="Arial"/>
          <w:sz w:val="17"/>
          <w:szCs w:val="17"/>
          <w:color w:val="auto"/>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104"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Interest income, net primarily consists of interest income generated from our interest-bearing money market accounts and available-for-sale investments.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2022 and 2021</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2"/>
        </w:trPr>
        <w:tc>
          <w:tcPr>
            <w:tcW w:w="3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3"/>
        </w:trPr>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7"/>
                <w:szCs w:val="17"/>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7"/>
              </w:rPr>
              <w:t>Change</w:t>
            </w:r>
          </w:p>
        </w:tc>
        <w:tc>
          <w:tcPr>
            <w:tcW w:w="560" w:type="dxa"/>
            <w:vAlign w:val="bottom"/>
          </w:tcPr>
          <w:p>
            <w:pPr>
              <w:spacing w:after="0"/>
              <w:rPr>
                <w:sz w:val="17"/>
                <w:szCs w:val="17"/>
                <w:color w:val="auto"/>
              </w:rPr>
            </w:pPr>
          </w:p>
        </w:tc>
      </w:tr>
      <w:tr>
        <w:trPr>
          <w:trHeight w:val="20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13,834</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15,517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(1,683 )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30,662</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27,214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36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(361 )</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(21,057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(43,954</w:t>
            </w:r>
          </w:p>
        </w:tc>
        <w:tc>
          <w:tcPr>
            <w:tcW w:w="26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(37,610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r>
      <w:tr>
        <w:trPr>
          <w:trHeight w:val="25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(20,287 )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(21,009 )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(43,446 )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7"/>
              </w:rPr>
              <w:t>(37,518 )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(5,928 )</w:t>
            </w:r>
          </w:p>
        </w:tc>
        <w:tc>
          <w:tcPr>
            <w:tcW w:w="560" w:type="dxa"/>
            <w:vAlign w:val="bottom"/>
          </w:tcPr>
          <w:p>
            <w:pPr>
              <w:spacing w:after="0"/>
              <w:rPr>
                <w:sz w:val="22"/>
                <w:szCs w:val="22"/>
                <w:color w:val="auto"/>
              </w:rPr>
            </w:pPr>
          </w:p>
        </w:tc>
      </w:tr>
      <w:tr>
        <w:trPr>
          <w:trHeight w:val="628"/>
        </w:trPr>
        <w:tc>
          <w:tcPr>
            <w:tcW w:w="36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-1362075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-1362075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-1362075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-1362075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-1362075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-1362075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-796290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-796290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-796290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-796290</wp:posOffset>
            </wp:positionV>
            <wp:extent cx="603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-796290</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-513715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-496570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-513715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-496570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-513715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-496570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-513715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-496570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-513715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-496570</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firstLine="749"/>
        <w:spacing w:after="0" w:line="283" w:lineRule="auto"/>
        <w:rPr>
          <w:sz w:val="20"/>
          <w:szCs w:val="20"/>
          <w:color w:val="auto"/>
        </w:rPr>
      </w:pPr>
      <w:r>
        <w:rPr>
          <w:rFonts w:ascii="Arial" w:cs="Arial" w:eastAsia="Arial" w:hAnsi="Arial"/>
          <w:sz w:val="16"/>
          <w:szCs w:val="16"/>
          <w:color w:val="auto"/>
        </w:rPr>
        <w:t>Research and development expenses were $13.8 million for the three months ended June 30, 2022, compared to $15.5 million for the same period in 2021, a decrease of $1.7 million. The decrease was primarily driven by a net decrease in external expenses of $2.4 million, offset by higher personnel costs of $0.7 million, including additional non-cash stock-based compensation of $0.3 million. The net decrease in external expenses was related to lower ORIC-101 costs due to the discontinuation of the program in the first quarter of 2022 and lower ORIC-533 manufacturing, offset by an increase in external expenses related to the advancement of ORIC-114, ORIC-944 and our other product candidates.</w:t>
      </w:r>
    </w:p>
    <w:p>
      <w:pPr>
        <w:spacing w:after="0" w:line="49"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For the six months ended June 30, 2022, research and development expenses were $30.7 million compared to $27.2 million for the same period in 2021, an increase of $3.4 million. The increase was primarily driven by a net increase in external expenses of $1.5 million related to the advancement of ORIC-533, ORIC-114, ORIC-944 and our other product candidates, and a decrease in ORIC-101 costs due to the discontinuation of the program. Higher personnel costs of $2.0 million, including additional non-cash stock-based compensation of $0.8 million, also contributed to the increase.</w:t>
      </w:r>
    </w:p>
    <w:p>
      <w:pPr>
        <w:spacing w:after="0" w:line="4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our external and internal costs for the three and six months ended June 30, 2022 and 2021 (in thousands):</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5"/>
        </w:trPr>
        <w:tc>
          <w:tcPr>
            <w:tcW w:w="4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8"/>
                <w:szCs w:val="18"/>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Change</w:t>
            </w:r>
          </w:p>
        </w:tc>
      </w:tr>
      <w:tr>
        <w:trPr>
          <w:trHeight w:val="209"/>
        </w:trPr>
        <w:tc>
          <w:tcPr>
            <w:tcW w:w="4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External costs:</w:t>
            </w: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280"/>
              <w:spacing w:after="0"/>
              <w:rPr>
                <w:sz w:val="20"/>
                <w:szCs w:val="20"/>
                <w:color w:val="auto"/>
              </w:rPr>
            </w:pPr>
            <w:r>
              <w:rPr>
                <w:rFonts w:ascii="Arial" w:cs="Arial" w:eastAsia="Arial" w:hAnsi="Arial"/>
                <w:sz w:val="18"/>
                <w:szCs w:val="18"/>
                <w:color w:val="auto"/>
              </w:rPr>
              <w:t>ORIC-533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2,360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(1,410 )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3,156</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ORIC-114</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280"/>
              <w:spacing w:after="0"/>
              <w:rPr>
                <w:sz w:val="20"/>
                <w:szCs w:val="20"/>
                <w:color w:val="auto"/>
              </w:rPr>
            </w:pPr>
            <w:r>
              <w:rPr>
                <w:rFonts w:ascii="Arial" w:cs="Arial" w:eastAsia="Arial" w:hAnsi="Arial"/>
                <w:sz w:val="18"/>
                <w:szCs w:val="18"/>
                <w:color w:val="auto"/>
              </w:rPr>
              <w:t>ORIC-944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ORIC-101 (discontinued)</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(3,055 )</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(3,714 )</w:t>
            </w:r>
          </w:p>
        </w:tc>
      </w:tr>
      <w:tr>
        <w:trPr>
          <w:trHeight w:val="216"/>
        </w:trPr>
        <w:tc>
          <w:tcPr>
            <w:tcW w:w="4220" w:type="dxa"/>
            <w:vAlign w:val="bottom"/>
          </w:tcPr>
          <w:p>
            <w:pPr>
              <w:ind w:left="280"/>
              <w:spacing w:after="0"/>
              <w:rPr>
                <w:sz w:val="20"/>
                <w:szCs w:val="20"/>
                <w:color w:val="auto"/>
              </w:rPr>
            </w:pPr>
            <w:r>
              <w:rPr>
                <w:rFonts w:ascii="Arial" w:cs="Arial" w:eastAsia="Arial" w:hAnsi="Arial"/>
                <w:sz w:val="18"/>
                <w:szCs w:val="18"/>
                <w:color w:val="auto"/>
              </w:rPr>
              <w:t>Preclinical and other unallocated costs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18"/>
                <w:szCs w:val="18"/>
                <w:color w:val="auto"/>
              </w:rPr>
            </w:pPr>
          </w:p>
        </w:tc>
      </w:tr>
      <w:tr>
        <w:trPr>
          <w:trHeight w:val="210"/>
        </w:trPr>
        <w:tc>
          <w:tcPr>
            <w:tcW w:w="42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external costs</w:t>
            </w: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10,898</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ind w:left="100"/>
              <w:spacing w:after="0"/>
              <w:rPr>
                <w:sz w:val="20"/>
                <w:szCs w:val="20"/>
                <w:color w:val="auto"/>
              </w:rPr>
            </w:pPr>
            <w:r>
              <w:rPr>
                <w:rFonts w:ascii="Arial" w:cs="Arial" w:eastAsia="Arial" w:hAnsi="Arial"/>
                <w:sz w:val="18"/>
                <w:szCs w:val="18"/>
                <w:color w:val="auto"/>
              </w:rPr>
              <w:t>Internal costs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10,698</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8"/>
                <w:szCs w:val="18"/>
                <w:color w:val="auto"/>
              </w:rPr>
            </w:pPr>
          </w:p>
        </w:tc>
      </w:tr>
      <w:tr>
        <w:trPr>
          <w:trHeight w:val="249"/>
        </w:trPr>
        <w:tc>
          <w:tcPr>
            <w:tcW w:w="4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13,834</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15,517</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27,214</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-316230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-316230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-316230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-316230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-316230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-316230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right="120" w:firstLine="749"/>
        <w:spacing w:after="0" w:line="256"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749"/>
        <w:spacing w:after="0" w:line="245" w:lineRule="auto"/>
        <w:rPr>
          <w:sz w:val="20"/>
          <w:szCs w:val="20"/>
          <w:color w:val="auto"/>
        </w:rPr>
      </w:pPr>
      <w:r>
        <w:rPr>
          <w:rFonts w:ascii="Arial" w:cs="Arial" w:eastAsia="Arial" w:hAnsi="Arial"/>
          <w:sz w:val="18"/>
          <w:szCs w:val="18"/>
          <w:color w:val="auto"/>
        </w:rPr>
        <w:t>General and administrative expenses were $6.9 million for the three months ended June 30, 2022, compared to $5.5 million for the same period in 2021, an increase of $1.3 million. The increase was primarily due to higher personnel costs, including additional non-cash stock-based compensation of $0.6 million. For the six months ended June 30, 2022, general and administrative expenses were $13.3 million compared to $10.4 million for the same period in 2021, an increase of $2.9 million. The increase was primarily due to higher personnel costs, including additional non-cash stock-based compensation of $1.3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On May 6, 2021, we entered into an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before deducting commissions and other offering expenses, through the sale of 2,597,402 shares in an ATM offering, with participation based on unsolicited interest received from a healthcare specialist fund. We sold such shares at a purchase price per share of $19.25, a premium to the market price at the time of sale.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749"/>
        <w:spacing w:after="0" w:line="260" w:lineRule="auto"/>
        <w:rPr>
          <w:sz w:val="20"/>
          <w:szCs w:val="20"/>
          <w:color w:val="auto"/>
        </w:rPr>
      </w:pPr>
      <w:r>
        <w:rPr>
          <w:rFonts w:ascii="Arial" w:cs="Arial" w:eastAsia="Arial" w:hAnsi="Arial"/>
          <w:sz w:val="17"/>
          <w:szCs w:val="17"/>
          <w:color w:val="auto"/>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8" w:name="page19"/>
    <w:bookmarkEnd w:id="18"/>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our product candidates through preclinical and clinical development;</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03" w:lineRule="exact"/>
        <w:rPr>
          <w:rFonts w:ascii="Arial" w:cs="Arial" w:eastAsia="Arial" w:hAnsi="Arial"/>
          <w:sz w:val="18"/>
          <w:szCs w:val="18"/>
          <w:color w:val="auto"/>
        </w:rPr>
      </w:pPr>
    </w:p>
    <w:p>
      <w:pPr>
        <w:ind w:left="1260" w:right="300" w:hanging="503"/>
        <w:spacing w:after="0" w:line="277"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48" w:lineRule="exact"/>
        <w:rPr>
          <w:rFonts w:ascii="Arial" w:cs="Arial" w:eastAsia="Arial" w:hAnsi="Arial"/>
          <w:sz w:val="18"/>
          <w:szCs w:val="18"/>
          <w:color w:val="auto"/>
        </w:rPr>
      </w:pPr>
    </w:p>
    <w:p>
      <w:pPr>
        <w:ind w:left="1260" w:right="440" w:hanging="503"/>
        <w:spacing w:after="0" w:line="261"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development, manufacturing and commercialization efforts and our operations as a public company;</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04"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We expect our current cash, cash equivalents and investments will be sufficient to fund our current operating plan into the second half of 2024.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spacing w:after="0" w:line="62"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We have based our projections of operating capital requirements on our current operating plan, which is based on several assumptions that may prove to be incorrect and we may use all of our available capital resources sooner than we expect. Because of 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spacing w:after="0" w:line="153" w:lineRule="exact"/>
        <w:rPr>
          <w:sz w:val="20"/>
          <w:szCs w:val="20"/>
          <w:color w:val="auto"/>
        </w:rPr>
      </w:pPr>
    </w:p>
    <w:p>
      <w:pPr>
        <w:ind w:left="1260" w:hanging="503"/>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preclinical studies and clinical trials;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03" w:lineRule="exact"/>
        <w:rPr>
          <w:rFonts w:ascii="Arial" w:cs="Arial" w:eastAsia="Arial" w:hAnsi="Arial"/>
          <w:sz w:val="18"/>
          <w:szCs w:val="18"/>
          <w:color w:val="auto"/>
        </w:rPr>
      </w:pPr>
    </w:p>
    <w:p>
      <w:pPr>
        <w:ind w:left="1260" w:right="240" w:hanging="503"/>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products and sufficient inventory to support commercial launch;</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revenue, if any, received from commercial sale of our products, should any of our product candidates receive marketing approval;</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03" w:lineRule="exact"/>
        <w:rPr>
          <w:rFonts w:ascii="Arial" w:cs="Arial" w:eastAsia="Arial" w:hAnsi="Arial"/>
          <w:sz w:val="18"/>
          <w:szCs w:val="18"/>
          <w:color w:val="auto"/>
        </w:rPr>
      </w:pPr>
    </w:p>
    <w:p>
      <w:pPr>
        <w:ind w:left="1260" w:right="60" w:hanging="503"/>
        <w:spacing w:after="0" w:line="261"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establish and maintain collaborations on favorable terms, if at all;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 and</w:t>
      </w:r>
    </w:p>
    <w:p>
      <w:pPr>
        <w:spacing w:after="0" w:line="103" w:lineRule="exact"/>
        <w:rPr>
          <w:rFonts w:ascii="Arial" w:cs="Arial" w:eastAsia="Arial" w:hAnsi="Arial"/>
          <w:sz w:val="18"/>
          <w:szCs w:val="18"/>
          <w:color w:val="auto"/>
        </w:rPr>
      </w:pPr>
    </w:p>
    <w:p>
      <w:pPr>
        <w:ind w:left="1260" w:right="320" w:hanging="503"/>
        <w:spacing w:after="0" w:line="261"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receipt and amount of sales of, or milestone payments related to or royalties on, our current or future product candidates, if 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ind w:right="140" w:firstLine="749"/>
        <w:spacing w:after="0" w:line="278" w:lineRule="auto"/>
        <w:rPr>
          <w:sz w:val="20"/>
          <w:szCs w:val="20"/>
          <w:color w:val="auto"/>
        </w:rPr>
      </w:pPr>
      <w:r>
        <w:rPr>
          <w:rFonts w:ascii="Arial" w:cs="Arial" w:eastAsia="Arial" w:hAnsi="Arial"/>
          <w:sz w:val="17"/>
          <w:szCs w:val="17"/>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sources and uses of our cash (in thousands):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rPr>
              <w:t>Six Months Ended June 30,</w:t>
            </w:r>
          </w:p>
        </w:tc>
      </w:tr>
      <w:tr>
        <w:trPr>
          <w:trHeight w:val="216"/>
        </w:trPr>
        <w:tc>
          <w:tcPr>
            <w:tcW w:w="6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r>
      <w:tr>
        <w:trPr>
          <w:trHeight w:val="20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(136,863 )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123,012</w:t>
            </w:r>
          </w:p>
        </w:tc>
        <w:tc>
          <w:tcPr>
            <w:tcW w:w="80" w:type="dxa"/>
            <w:vAlign w:val="bottom"/>
          </w:tcPr>
          <w:p>
            <w:pPr>
              <w:spacing w:after="0"/>
              <w:rPr>
                <w:sz w:val="18"/>
                <w:szCs w:val="18"/>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(265 )</w:t>
            </w:r>
          </w:p>
        </w:tc>
      </w:tr>
      <w:tr>
        <w:trPr>
          <w:trHeight w:val="20"/>
        </w:trPr>
        <w:tc>
          <w:tcPr>
            <w:tcW w:w="6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(176,926 )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91,632</w:t>
            </w:r>
          </w:p>
        </w:tc>
        <w:tc>
          <w:tcPr>
            <w:tcW w:w="8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20" w:firstLine="749"/>
        <w:spacing w:after="0" w:line="249" w:lineRule="auto"/>
        <w:rPr>
          <w:sz w:val="20"/>
          <w:szCs w:val="20"/>
          <w:color w:val="auto"/>
        </w:rPr>
      </w:pPr>
      <w:r>
        <w:rPr>
          <w:rFonts w:ascii="Arial" w:cs="Arial" w:eastAsia="Arial" w:hAnsi="Arial"/>
          <w:sz w:val="18"/>
          <w:szCs w:val="18"/>
          <w:color w:val="auto"/>
        </w:rPr>
        <w:t>Net cash used in operating activities during the six months ended June 30, 2022, of $40.5 million was attributable to our net loss of $43.4 million and a $5.5 million net decrease in working capital primarily related to a decrease in accrued compensation and an increase in prepaid expenses related to timing and an increase in costs related to our studies, offset by non-cash expenses of $8.5 million, which were primarily driven by stock-based compensation.</w:t>
      </w:r>
    </w:p>
    <w:p>
      <w:pPr>
        <w:spacing w:after="0" w:line="73"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18"/>
          <w:szCs w:val="18"/>
          <w:color w:val="auto"/>
        </w:rPr>
        <w:t>Net cash used in operating activities during the six months ended June 30, 2021, of $31.1 million was attributable to our net loss of $37.5 million and a net decrease of working capital of $0.9 million primarily related to a decrease in accrued compensation, offset by non-cash expenses of $7.3 million, which were primarily driven by stock based-compensation.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2022, of $136.9 million was primarily attributable to the purchases of investments, net of maturities.</w:t>
      </w:r>
    </w:p>
    <w:p>
      <w:pPr>
        <w:spacing w:after="0" w:line="49"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Net cash provided by investing activities during the six months ended June 30, 2021, of $123.0 million was primarily attributable to maturities of investments, net of 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2022, of $0.4 million consisted of net proceeds received from stock option exercises and common stock issued under the Employee Stock Purchase Plan.</w:t>
      </w:r>
    </w:p>
    <w:p>
      <w:pPr>
        <w:spacing w:after="0" w:line="49"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Net cash used in financing activities during the six months ended June 30, 2021, of $0.3 million was primarily attributable to deferred financing costs in connection with our ATM sales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Judgements and Estimates</w:t>
      </w:r>
    </w:p>
    <w:p>
      <w:pPr>
        <w:spacing w:after="0" w:line="117" w:lineRule="exact"/>
        <w:rPr>
          <w:sz w:val="20"/>
          <w:szCs w:val="20"/>
          <w:color w:val="auto"/>
        </w:rPr>
      </w:pPr>
    </w:p>
    <w:p>
      <w:pPr>
        <w:ind w:right="60" w:firstLine="749"/>
        <w:spacing w:after="0" w:line="259"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 There have been no significant changes in our critical accounting policies as discussed in our Annual Report on Form 10-K for the year ended December 31,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40" w:firstLine="749"/>
        <w:spacing w:after="0" w:line="245" w:lineRule="auto"/>
        <w:rPr>
          <w:sz w:val="20"/>
          <w:szCs w:val="20"/>
          <w:color w:val="auto"/>
        </w:rPr>
      </w:pPr>
      <w:r>
        <w:rPr>
          <w:rFonts w:ascii="Arial" w:cs="Arial" w:eastAsia="Arial" w:hAnsi="Arial"/>
          <w:sz w:val="18"/>
          <w:szCs w:val="18"/>
          <w:color w:val="auto"/>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not to use the extended transition, which election is irrevocable. As a result, our financial statements may not be comparable to other emerging growth companies that elect to take advantage of the extended transition period.</w:t>
      </w:r>
    </w:p>
    <w:p>
      <w:pPr>
        <w:spacing w:after="0" w:line="78"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0" w:name="page21"/>
    <w:bookmarkEnd w:id="20"/>
    <w:p>
      <w:pPr>
        <w:ind w:right="460"/>
        <w:spacing w:after="0" w:line="277" w:lineRule="auto"/>
        <w:rPr>
          <w:sz w:val="20"/>
          <w:szCs w:val="20"/>
          <w:color w:val="auto"/>
        </w:rPr>
      </w:pPr>
      <w:r>
        <w:rPr>
          <w:rFonts w:ascii="Arial" w:cs="Arial" w:eastAsia="Arial" w:hAnsi="Arial"/>
          <w:sz w:val="18"/>
          <w:szCs w:val="18"/>
          <w:color w:val="auto"/>
        </w:rPr>
        <w:t>equity securities held by non-affiliates; (3) the date on which we have issued more than $1.0 billion in non-convertible debt securities during the prior three-year period; and (4) December 31, 2025.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June 30, 2022, we had cash equivalents and investments of $237.8 million, consisting of interest-bearing money market funds, certificates of deposit and securities issued by the U.S. Treasury. Due to the nature of our cash equivalents and investments, an immediate 100 basis point change in interest rates would not have a material effect on their fair market value.</w:t>
      </w:r>
    </w:p>
    <w:p>
      <w:pPr>
        <w:spacing w:after="0" w:line="58"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Inflation generally affects us by increasing our cost of labor, clinical trial and manufacturing costs. We do not believe that inflation, interest rate changes or exchange rate fluctuations had a significant impact on our results of operations for any periods presented herein.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June 30, 2022,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June 30, 2022.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Securities Exchange Act of 1934 that occurred during the quarter ended June 30, 2022 that have materially affected, or are reasonably likely to materially affect, our internal control over financial reporting.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00" w:firstLine="749"/>
        <w:spacing w:after="0" w:line="249" w:lineRule="auto"/>
        <w:rPr>
          <w:sz w:val="20"/>
          <w:szCs w:val="20"/>
          <w:color w:val="auto"/>
        </w:rPr>
      </w:pPr>
      <w:r>
        <w:rPr>
          <w:rFonts w:ascii="Arial" w:cs="Arial" w:eastAsia="Arial" w:hAnsi="Arial"/>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i w:val="1"/>
          <w:iCs w:val="1"/>
          <w:color w:val="auto"/>
        </w:rPr>
        <w:t>You should carefully consider the risks described below, as well as the other information in this quarterly report on Form 10-Q,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i w:val="1"/>
          <w:iCs w:val="1"/>
          <w:color w:val="auto"/>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past and anticipated future net losses;</w:t>
      </w:r>
    </w:p>
    <w:p>
      <w:pPr>
        <w:spacing w:after="0" w:line="9"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related to our ability to generate revenue and achieve profitability; and</w:t>
      </w:r>
    </w:p>
    <w:p>
      <w:pPr>
        <w:spacing w:after="0" w:line="22" w:lineRule="exact"/>
        <w:rPr>
          <w:rFonts w:ascii="Arial" w:cs="Arial" w:eastAsia="Arial" w:hAnsi="Arial"/>
          <w:sz w:val="18"/>
          <w:szCs w:val="18"/>
          <w:color w:val="auto"/>
        </w:rPr>
      </w:pPr>
    </w:p>
    <w:p>
      <w:pPr>
        <w:ind w:left="1260" w:hanging="503"/>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for substantial additional capital to finance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 of our product candidates</w:t>
      </w:r>
    </w:p>
    <w:p>
      <w:pPr>
        <w:spacing w:after="0" w:line="25" w:lineRule="exact"/>
        <w:rPr>
          <w:sz w:val="20"/>
          <w:szCs w:val="20"/>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substantial dependence on our product candidates;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challenges in discovering, developing and commercializing additional product candidates;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in regulatory approval processes and product candidate approvals;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clinical trials that may fail to satisfactorily demonstrate safety and efficacy;</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that may cause significant adverse events, toxicities or other undesirable side effects;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negative clinical trial results and challenges related to FDA, EMA and other regulatory requirements;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deficiencies in audits and verification procedures of our clinical trial data;</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due to third parties investigating the same product candidates as us in different territories;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delays or difficulties in enrollment and/or maintenance of patients in clinical trials;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develop effective companion diagnostic tests for our product candidates;</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difficulties in developing our potential programs;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profitability challenges related to our focus on developing our product candidates for particular indications;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competition in the markets in which we operate;</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production difficulties encountered by our third-party manufacturers;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methods of product candidate manufacturing or formulation;</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unacceptance of our product candidates in the medical community;</w:t>
      </w:r>
    </w:p>
    <w:p>
      <w:pPr>
        <w:ind w:left="1260" w:hanging="503"/>
        <w:spacing w:after="0" w:line="234"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market opportunities for our product candidates;</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augment our product pipeline through acquisitions and in-licenses;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for unfavorable third-party coverage and reimbursement practices of our product candidates; and</w:t>
      </w: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of our product liability and insurance coverage.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legal and other compliance matters</w:t>
      </w:r>
    </w:p>
    <w:p>
      <w:pPr>
        <w:spacing w:after="0" w:line="11" w:lineRule="exact"/>
        <w:rPr>
          <w:sz w:val="20"/>
          <w:szCs w:val="20"/>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our ability to obtain regulatory approval of our product candidates;</w:t>
      </w: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EMA and other regulatory authorities’ unacceptance of data from trials conducted outside their jurisdiction;</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obtain and maintain regulatory approval of our product candidates in various jurisdictions;</w:t>
      </w:r>
    </w:p>
    <w:p>
      <w:pPr>
        <w:ind w:left="1260" w:hanging="503"/>
        <w:spacing w:after="0" w:line="234"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burdens related to post-marketing regulatory requirements and oversight of our product candidates;</w:t>
      </w: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impacts of regulatory authorities’ enforcement of laws and regulations prohibiting promotion of off-label uses;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related to FDA approval of required companion diagnostic tests;</w:t>
      </w:r>
    </w:p>
    <w:p>
      <w:pPr>
        <w:spacing w:after="0" w:line="23"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related to our ability to obtain Fast Track designation from the FDA for our product candidates;</w:t>
      </w: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to our ability to obtain orphan drug designation or maintain orphan drug exclusivity for our product candidates;</w:t>
      </w: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delays or barriers to secure approval for accelerated registration pathways;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current regulations and future legislation that impact us adversely;</w:t>
      </w: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funding of regulatory agencies that may hinder timely product development or commercialization;</w:t>
      </w:r>
    </w:p>
    <w:p>
      <w:pPr>
        <w:ind w:left="1260" w:hanging="503"/>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misconduct or noncompliance with regulatory standards by our employees and certain third parties;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U.S. healthcare laws and requirements;</w:t>
      </w: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environmental, health and safety laws and regulations;</w:t>
      </w:r>
    </w:p>
    <w:p>
      <w:pPr>
        <w:ind w:left="1260" w:hanging="503"/>
        <w:spacing w:after="0" w:line="23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anti-bribery, anti-corruption, export, trade sanctions and import laws or regulations; and</w:t>
      </w:r>
    </w:p>
    <w:p>
      <w:pPr>
        <w:ind w:left="1260" w:hanging="503"/>
        <w:spacing w:after="0" w:line="258"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potential incompliance with California laws or The Nasdaq Global Select Market (Nasdaq) rules governing diversity of our board of directors.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management of our growth</w:t>
      </w:r>
    </w:p>
    <w:p>
      <w:pPr>
        <w:spacing w:after="0" w:line="25" w:lineRule="exact"/>
        <w:rPr>
          <w:sz w:val="20"/>
          <w:szCs w:val="20"/>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to our ability to attract and retain highly skilled executive officers and employees;</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our ability to sell or market our product candidates;</w:t>
      </w: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inability to grow and manage growth of our organization;</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or data privacy breaches or incidents impacting our internal systems or those of commercial third parties;</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and other catastrophic events that may cause damage or disruption;</w:t>
      </w: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Securities and Exchange Commission civil enforcement action against one of our officers;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inability to use our net operating losses and tax credits to offset future taxable income;</w:t>
      </w:r>
    </w:p>
    <w:p>
      <w:pPr>
        <w:ind w:left="1260" w:hanging="503"/>
        <w:spacing w:after="0" w:line="234"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federal income tax reform and additional effort and expenses incurred as a result;</w:t>
      </w: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related to international marketing of our product candidates;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military conflict in Ukraine, and any resulting trade war, could result in increased manufacturing costs; and</w:t>
      </w: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inflation may adversely affect us by increasing our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 w:lineRule="exact"/>
        <w:rPr>
          <w:sz w:val="20"/>
          <w:szCs w:val="20"/>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to our ability to protect our intellectual property and proprietary technologies;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potentially narrow scope of patent protection we receive;</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threats to our competitive advantage;</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operate without infringing intellectual property rights and claims of infringement by third parties;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potential inability to obtain or maintain rights to our product candidates through acquisitions and in-licenses;</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protecting or enforcing our patents and our licensors’ patents;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 litigation that may lead to unfavorable publicity;</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outcomes from necessary derivation proceedings;</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 reform legislation and related uncertainties and costs;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U.S. and international intellectual property laws and related challenges;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challenging ownership of our intellectual property, including internationally;</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 terms and access to extensions that may not adequately protect our competitive position;</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patent protection and dependence on compliance with various regulations;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limited name recognition in our markets that depend on protection of our trademarks and trade names;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protecting confidentiality of our trade secrets;</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of wrongful disclosure of our confidential information or trade secrets;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of wrongful hiring or disclosure or use of competitors’ confidential information or trade secrets;</w:t>
      </w:r>
    </w:p>
    <w:p>
      <w:pPr>
        <w:ind w:left="1260" w:hanging="503"/>
        <w:spacing w:after="0" w:line="23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development and commercialization rights that are subject to unfavorable terms and conditions of licensors;</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business relationship disruptions due to failure to comply with license agreement obligations;</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patent protection and prosecution that may be dependent on third parties; and</w:t>
      </w: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 discovered through government funding and potential limits on our exclusive rights.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11" w:lineRule="exact"/>
        <w:rPr>
          <w:sz w:val="20"/>
          <w:szCs w:val="20"/>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third parties for production, preclinical studies and clinical trials of our product candidates;</w:t>
      </w: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or strategic partnerships that may increase capital requirements, dilution and debt;</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establish commercially reasonable collaborations; and</w:t>
      </w: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related to collaborations for development and commercialization of product candidates.</w:t>
      </w: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8"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5" w:lineRule="exact"/>
        <w:rPr>
          <w:sz w:val="20"/>
          <w:szCs w:val="20"/>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conditions and price that may limit your ability to sell our common stock;</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or misleading industry analyst publications regarding our business or market;</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fluctuations in our operating results;</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principal stockholders and management that may exert significant control over stockholder approval matters;</w:t>
      </w: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 sales of our stock that could cause our stock price to fall;</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related to our status as an emerging growth company and our transition after such status;</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our internal controls that could impair our ability to produce accurate financial statements;</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of our disclosure controls and procedures;</w:t>
      </w: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related to securities litigation;</w:t>
      </w:r>
    </w:p>
    <w:p>
      <w:pPr>
        <w:spacing w:after="0" w:line="7" w:lineRule="exact"/>
        <w:rPr>
          <w:rFonts w:ascii="Arial" w:cs="Arial" w:eastAsia="Arial" w:hAnsi="Arial"/>
          <w:sz w:val="18"/>
          <w:szCs w:val="18"/>
          <w:color w:val="auto"/>
        </w:rPr>
      </w:pPr>
    </w:p>
    <w:p>
      <w:pPr>
        <w:ind w:left="1260" w:hanging="503"/>
        <w:spacing w:after="0" w:line="236"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intention not to pay dividends;</w:t>
      </w:r>
    </w:p>
    <w:p>
      <w:pPr>
        <w:ind w:left="1260" w:hanging="503"/>
        <w:spacing w:after="0" w:line="234"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of our certificate of incorporation and bylaws that may prevent or delay a change in control; and</w:t>
      </w: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exclusive forum provisions in our bylaws that may limit stockholder ability to obtain a favorable judicial forum.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2"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We have initiated clinical trials for a limited number of our product candidates. To date, we have devoted substantially all of our resources to research and development activities, including with respect to the preclinical and clinical development of ORIC-533, ORIC-114, ORIC-944, ORIC-101 (now discontinued) and our other product candidates, in-licensing of external programs, business planning, establishing and maintaining our intellectual property portfolio, hiring personnel, raising capital and providing general and administrative support for these operations.</w:t>
      </w:r>
    </w:p>
    <w:p>
      <w:pPr>
        <w:spacing w:after="0" w:line="79" w:lineRule="exact"/>
        <w:rPr>
          <w:sz w:val="20"/>
          <w:szCs w:val="20"/>
          <w:color w:val="auto"/>
        </w:rPr>
      </w:pPr>
    </w:p>
    <w:p>
      <w:pPr>
        <w:ind w:right="140" w:firstLine="749"/>
        <w:spacing w:after="0" w:line="249" w:lineRule="auto"/>
        <w:rPr>
          <w:sz w:val="20"/>
          <w:szCs w:val="20"/>
          <w:color w:val="auto"/>
        </w:rPr>
      </w:pPr>
      <w:r>
        <w:rPr>
          <w:rFonts w:ascii="Arial" w:cs="Arial" w:eastAsia="Arial" w:hAnsi="Arial"/>
          <w:sz w:val="18"/>
          <w:szCs w:val="18"/>
          <w:color w:val="auto"/>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3" w:lineRule="exact"/>
        <w:rPr>
          <w:sz w:val="20"/>
          <w:szCs w:val="20"/>
          <w:color w:val="auto"/>
        </w:rPr>
      </w:pPr>
    </w:p>
    <w:p>
      <w:pPr>
        <w:ind w:right="180" w:firstLine="749"/>
        <w:spacing w:after="0" w:line="249"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27"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We have incurred significant net losses since our inception, have not generated any revenue from product sales to date and have financed our operations principally through private placements of our convertible preferred stock and the sale of our common stock in our initial public offering (IPO) in April 2020 and our public offering in November 2020. Our net loss was $43.4 million for the six months ended June 30, 2022, and as of June 30, 2022, we had an accumulated deficit of $288.6 million. In the second quarter of 2021, the U.S. Food and Drug Administration (FDA) cleared an Investigational New Drug Application (IND) for ORIC-533. In the fourth quarter of 2021, we filed a Clinical Trial Application (CTA) in South Korea for ORIC-114, which was cleared in the first quarter of 2022. We also filed and cleared an IND with the FDA for ORIC-944 in the fourth quarter of 2021.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8" w:lineRule="exact"/>
        <w:rPr>
          <w:sz w:val="20"/>
          <w:szCs w:val="20"/>
          <w:color w:val="auto"/>
        </w:rPr>
      </w:pPr>
    </w:p>
    <w:p>
      <w:pPr>
        <w:ind w:firstLine="749"/>
        <w:spacing w:after="0" w:line="267"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4" w:name="page25"/>
    <w:bookmarkEnd w:id="24"/>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49" w:lineRule="exact"/>
        <w:rPr>
          <w:sz w:val="20"/>
          <w:szCs w:val="20"/>
          <w:color w:val="auto"/>
        </w:rPr>
      </w:pPr>
    </w:p>
    <w:p>
      <w:pPr>
        <w:ind w:firstLine="749"/>
        <w:spacing w:after="0" w:line="303" w:lineRule="auto"/>
        <w:rPr>
          <w:sz w:val="20"/>
          <w:szCs w:val="20"/>
          <w:color w:val="auto"/>
        </w:rPr>
      </w:pPr>
      <w:r>
        <w:rPr>
          <w:rFonts w:ascii="Arial" w:cs="Arial" w:eastAsia="Arial" w:hAnsi="Arial"/>
          <w:sz w:val="16"/>
          <w:szCs w:val="16"/>
          <w:color w:val="auto"/>
        </w:rPr>
        <w:t>Our business depends entirely on the successful discovery, development and commercialization of product candidates. We have no products approved for commercial sale and do not anticipate generating any revenue from product sales for the next several years, if ever. Our ability to generate revenue and achieve profitability depends significantly on our ability, or any current or future collaborator’s ability, to achieve several objectives, including:</w:t>
      </w:r>
    </w:p>
    <w:p>
      <w:pPr>
        <w:spacing w:after="0" w:line="19" w:lineRule="exact"/>
        <w:rPr>
          <w:sz w:val="20"/>
          <w:szCs w:val="20"/>
          <w:color w:val="auto"/>
        </w:rPr>
      </w:pPr>
    </w:p>
    <w:p>
      <w:pPr>
        <w:ind w:left="1260" w:right="54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ORIC-533, ORIC-114, ORIC-944 and our other future product candidates;</w:t>
      </w:r>
    </w:p>
    <w:p>
      <w:pPr>
        <w:spacing w:after="0" w:line="49" w:lineRule="exact"/>
        <w:rPr>
          <w:rFonts w:ascii="Arial" w:cs="Arial" w:eastAsia="Arial" w:hAnsi="Arial"/>
          <w:sz w:val="18"/>
          <w:szCs w:val="18"/>
          <w:color w:val="auto"/>
        </w:rPr>
      </w:pPr>
    </w:p>
    <w:p>
      <w:pPr>
        <w:ind w:left="1260" w:right="18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ORIC-533, ORIC-114, ORIC-944 and our other future product candidates;</w:t>
      </w:r>
    </w:p>
    <w:p>
      <w:pPr>
        <w:spacing w:after="0" w:line="62" w:lineRule="exact"/>
        <w:rPr>
          <w:rFonts w:ascii="Arial" w:cs="Arial" w:eastAsia="Arial" w:hAnsi="Arial"/>
          <w:sz w:val="18"/>
          <w:szCs w:val="18"/>
          <w:color w:val="auto"/>
        </w:rPr>
      </w:pPr>
    </w:p>
    <w:p>
      <w:pPr>
        <w:ind w:left="1260" w:right="620" w:hanging="503"/>
        <w:spacing w:after="0" w:line="246"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75" w:lineRule="exact"/>
        <w:rPr>
          <w:rFonts w:ascii="Arial" w:cs="Arial" w:eastAsia="Arial" w:hAnsi="Arial"/>
          <w:sz w:val="18"/>
          <w:szCs w:val="18"/>
          <w:color w:val="auto"/>
        </w:rPr>
      </w:pPr>
    </w:p>
    <w:p>
      <w:pPr>
        <w:ind w:left="1260" w:right="40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49" w:lineRule="exact"/>
        <w:rPr>
          <w:rFonts w:ascii="Arial" w:cs="Arial" w:eastAsia="Arial" w:hAnsi="Arial"/>
          <w:sz w:val="18"/>
          <w:szCs w:val="18"/>
          <w:color w:val="auto"/>
        </w:rPr>
      </w:pPr>
    </w:p>
    <w:p>
      <w:pPr>
        <w:ind w:left="1260" w:right="20" w:hanging="503"/>
        <w:spacing w:after="0" w:line="248"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0" w:lineRule="exact"/>
        <w:rPr>
          <w:rFonts w:ascii="Arial" w:cs="Arial" w:eastAsia="Arial" w:hAnsi="Arial"/>
          <w:sz w:val="18"/>
          <w:szCs w:val="18"/>
          <w:color w:val="auto"/>
        </w:rPr>
      </w:pPr>
    </w:p>
    <w:p>
      <w:pPr>
        <w:ind w:left="1260" w:right="16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03" w:lineRule="exact"/>
        <w:rPr>
          <w:rFonts w:ascii="Arial" w:cs="Arial" w:eastAsia="Arial" w:hAnsi="Arial"/>
          <w:sz w:val="18"/>
          <w:szCs w:val="18"/>
          <w:color w:val="auto"/>
        </w:rPr>
      </w:pPr>
    </w:p>
    <w:p>
      <w:pPr>
        <w:ind w:left="1260" w:right="220" w:hanging="503"/>
        <w:spacing w:after="0" w:line="246"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90" w:lineRule="exact"/>
        <w:rPr>
          <w:rFonts w:ascii="Arial" w:cs="Arial" w:eastAsia="Arial" w:hAnsi="Arial"/>
          <w:sz w:val="18"/>
          <w:szCs w:val="18"/>
          <w:color w:val="auto"/>
        </w:rPr>
      </w:pPr>
    </w:p>
    <w:p>
      <w:pPr>
        <w:ind w:left="1260" w:right="560" w:hanging="503"/>
        <w:spacing w:after="0" w:line="261"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ind w:right="180" w:firstLine="749"/>
        <w:spacing w:after="0" w:line="257"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81" w:lineRule="exact"/>
        <w:rPr>
          <w:sz w:val="20"/>
          <w:szCs w:val="20"/>
          <w:color w:val="auto"/>
        </w:rPr>
      </w:pPr>
    </w:p>
    <w:p>
      <w:pPr>
        <w:ind w:right="100"/>
        <w:spacing w:after="0" w:line="356"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749"/>
        <w:spacing w:after="0" w:line="280"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ORIC-533, ORIC-114 and ORIC-944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European Medicines Agency (EMA) or other regulatory agencies to perform clinical trials or preclinical studies in addition to those that we currently anticipate. Other unanticipated costs may also arise. Because the design and outcome of our planned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ind w:right="180"/>
        <w:spacing w:after="0" w:line="268" w:lineRule="auto"/>
        <w:rPr>
          <w:sz w:val="20"/>
          <w:szCs w:val="20"/>
          <w:color w:val="auto"/>
        </w:rPr>
      </w:pPr>
      <w:r>
        <w:rPr>
          <w:rFonts w:ascii="Arial" w:cs="Arial" w:eastAsia="Arial" w:hAnsi="Arial"/>
          <w:sz w:val="17"/>
          <w:szCs w:val="17"/>
          <w:color w:val="auto"/>
        </w:rPr>
        <w:t>anticipated clinical trials are highly uncertain, we cannot reasonably estimate the actual amount of resources and funding that will be necessary to successfully complete the development and commercialization of any product candidate we develop. We have not yet met with the FDA to discuss any of our product candidates or development programs, and we are not permitted to market or promote our product candidates before we receive marketing approval from the FDA. Accordingly, we will need to obtain substantial additional funding in order to continue our operations.</w:t>
      </w:r>
    </w:p>
    <w:p>
      <w:pPr>
        <w:spacing w:after="0" w:line="72"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As of June 30, 2022, we had $237.8 million in cash, cash equivalents and investments. Based on our current operating plan, we believe that our existing cash, cash equivalents and investments will be sufficient to fund our operations into the second half of 2024. Our estimate as to how long we expect our existing cash, cash equivalents, and available-for-sale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79"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77" w:lineRule="exact"/>
        <w:rPr>
          <w:sz w:val="20"/>
          <w:szCs w:val="20"/>
          <w:color w:val="auto"/>
        </w:rPr>
      </w:pPr>
    </w:p>
    <w:p>
      <w:pPr>
        <w:ind w:right="60" w:firstLine="749"/>
        <w:spacing w:after="0" w:line="256"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ORIC-533, ORIC-114 and ORIC-944. If we are unable to complete development of, obtain approval for and commercialize our product candidates for one or more indications in a timely manner, our business will be harmed.</w:t>
      </w:r>
    </w:p>
    <w:p>
      <w:pPr>
        <w:spacing w:after="0" w:line="74" w:lineRule="exact"/>
        <w:rPr>
          <w:sz w:val="20"/>
          <w:szCs w:val="20"/>
          <w:color w:val="auto"/>
        </w:rPr>
      </w:pPr>
    </w:p>
    <w:p>
      <w:pPr>
        <w:ind w:right="60" w:firstLine="749"/>
        <w:spacing w:after="0" w:line="256" w:lineRule="auto"/>
        <w:rPr>
          <w:sz w:val="20"/>
          <w:szCs w:val="20"/>
          <w:color w:val="auto"/>
        </w:rPr>
      </w:pPr>
      <w:r>
        <w:rPr>
          <w:rFonts w:ascii="Arial" w:cs="Arial" w:eastAsia="Arial" w:hAnsi="Arial"/>
          <w:sz w:val="18"/>
          <w:szCs w:val="18"/>
          <w:color w:val="auto"/>
        </w:rPr>
        <w:t>We allocate the majority of our efforts and financial resources to the development of ORIC-533, ORIC-114 and ORIC-944. Our future success is dependent on our ability to timely and successfully complete clinical trials, obtain marketing approval for and successfully commercialize ORIC-533, ORIC-114 and ORIC-944.</w:t>
      </w:r>
    </w:p>
    <w:p>
      <w:pPr>
        <w:spacing w:after="0" w:line="67"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ORIC-533 is an orally bioavailable small molecule inhibitor of CD73 that has demonstrated more potent adenosine inhibition in vitro compared to an antibody-based approach and other small molecule CD73 inhibitors. In the second quarter of 2021, the FDA cleared the IND for ORIC-533, and we have initiated a Phase 1b trial as a single agent in multiple myeloma. ORIC-114 is a brain penetrant, orally bioavailable, irreversible inhibitor designed to selectively target EGFR and HER2 with high potency against exon 20 mutations. In the fourth quarter of 2021, we filed a CTA for ORIC-114 in South Korea, which was cleared in the first quarter of 2022. We are pursuing a Phase 1b single agent trial which will enroll patients with advanced solid tumors with EGFR or HER2 exon 20 alterations or HER2 amplifications and will allow patients with CNS metastases that are either treated or untreated but asymptomatic. ORIC-944 is a potent and selective allosteric inhibitor of PRC2 via the EED subunit and is efficacious in androgen-insensitive and enzalutamide-resistant prostate cancer models in preclinical studies. We filed and cleared an IND with the FDA for ORIC-944 in the fourth quarter of 2021, and we are pursuing a single agent clinical development plan in prostate cancer. These product candidates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ORIC-533, ORIC-114, ORIC-944, or any other product candidate, before we receive marketing approval from the FDA and comparable foreign regulatory authorities, and we may never receive such marketing approvals.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17" w:lineRule="exact"/>
        <w:rPr>
          <w:sz w:val="20"/>
          <w:szCs w:val="20"/>
          <w:color w:val="auto"/>
        </w:rPr>
      </w:pPr>
    </w:p>
    <w:p>
      <w:pPr>
        <w:ind w:left="1260" w:hanging="50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successful and timely completion of our ongoing clinical trials of our product candidates;</w:t>
      </w:r>
    </w:p>
    <w:p>
      <w:pPr>
        <w:spacing w:after="0" w:line="103" w:lineRule="exact"/>
        <w:rPr>
          <w:rFonts w:ascii="Arial" w:cs="Arial" w:eastAsia="Arial" w:hAnsi="Arial"/>
          <w:sz w:val="18"/>
          <w:szCs w:val="18"/>
          <w:color w:val="auto"/>
        </w:rPr>
      </w:pPr>
    </w:p>
    <w:p>
      <w:pPr>
        <w:ind w:left="1260" w:right="700" w:hanging="503"/>
        <w:spacing w:after="0" w:line="261"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delays in our clinical trials and additional costs incurred as a result of the coronavirus-19 (COVID-19) pandemic, including those resulting from preclinical study delays and adjustment to our clinical trials;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initiation and successful patient enrollment and completion of additional clinical trials of our product candidates on a timely basis;</w:t>
      </w:r>
    </w:p>
    <w:p>
      <w:pPr>
        <w:spacing w:after="0" w:line="115" w:lineRule="exact"/>
        <w:rPr>
          <w:rFonts w:ascii="Arial" w:cs="Arial" w:eastAsia="Arial" w:hAnsi="Arial"/>
          <w:sz w:val="17"/>
          <w:szCs w:val="17"/>
          <w:color w:val="auto"/>
        </w:rPr>
      </w:pPr>
    </w:p>
    <w:p>
      <w:pPr>
        <w:ind w:left="1260" w:right="80" w:hanging="503"/>
        <w:spacing w:after="0" w:line="261"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and establishing relationships with CROs and clinical sites for the clinical development of our product candidates both in the United States and internationally;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frequency and severity of adverse events in clinical trials;</w:t>
      </w:r>
    </w:p>
    <w:p>
      <w:pPr>
        <w:spacing w:after="0" w:line="117" w:lineRule="exact"/>
        <w:rPr>
          <w:rFonts w:ascii="Arial" w:cs="Arial" w:eastAsia="Arial" w:hAnsi="Arial"/>
          <w:sz w:val="18"/>
          <w:szCs w:val="18"/>
          <w:color w:val="auto"/>
        </w:rPr>
      </w:pPr>
    </w:p>
    <w:p>
      <w:pPr>
        <w:ind w:left="1260" w:right="560" w:hanging="503"/>
        <w:spacing w:after="0" w:line="261"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demonstrating efficacy, safety and tolerability profiles that are satisfactory to the FDA, EMA or any comparable foreign regulatory authority for marketing approval;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timely receipt of marketing approvals for our product candidates from applicable regulatory authorities;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timely identification, development and approval of companion diagnostic tests, if required;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03" w:lineRule="exact"/>
        <w:rPr>
          <w:rFonts w:ascii="Arial" w:cs="Arial" w:eastAsia="Arial" w:hAnsi="Arial"/>
          <w:sz w:val="18"/>
          <w:szCs w:val="18"/>
          <w:color w:val="auto"/>
        </w:rPr>
      </w:pPr>
    </w:p>
    <w:p>
      <w:pPr>
        <w:ind w:left="1260" w:right="200" w:hanging="50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drug product suppliers and manufacturers for clinical development and, if approved, commercialization of our product candidates;</w:t>
      </w:r>
    </w:p>
    <w:p>
      <w:pPr>
        <w:spacing w:after="0" w:line="48" w:lineRule="exact"/>
        <w:rPr>
          <w:rFonts w:ascii="Arial" w:cs="Arial" w:eastAsia="Arial" w:hAnsi="Arial"/>
          <w:sz w:val="18"/>
          <w:szCs w:val="18"/>
          <w:color w:val="auto"/>
        </w:rPr>
      </w:pPr>
    </w:p>
    <w:p>
      <w:pPr>
        <w:ind w:left="1260" w:right="1060" w:hanging="503"/>
        <w:spacing w:after="0" w:line="261"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protection of our rights in our intellectual property portfolio;</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successful launch of commercial sales following any marketing approval;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104"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our product candidates, which would materially harm our business. If we do not receive marketing approvals for our product candidates, we may not be able to continue our operations.</w:t>
      </w:r>
    </w:p>
    <w:p>
      <w:pPr>
        <w:spacing w:after="0" w:line="9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In addition to ORIC-533, ORIC-114 and ORIC-944, our prospects depend in part upon discovering, developing and commercializing additional product candidates, which may fail in development or suffer delays that adversely affect their commercial viability.</w:t>
      </w:r>
    </w:p>
    <w:p>
      <w:pPr>
        <w:spacing w:after="0" w:line="63" w:lineRule="exact"/>
        <w:rPr>
          <w:sz w:val="20"/>
          <w:szCs w:val="20"/>
          <w:color w:val="auto"/>
        </w:rPr>
      </w:pPr>
    </w:p>
    <w:p>
      <w:pPr>
        <w:ind w:right="40" w:firstLine="749"/>
        <w:spacing w:after="0" w:line="283" w:lineRule="auto"/>
        <w:rPr>
          <w:sz w:val="20"/>
          <w:szCs w:val="20"/>
          <w:color w:val="auto"/>
        </w:rPr>
      </w:pPr>
      <w:r>
        <w:rPr>
          <w:rFonts w:ascii="Arial" w:cs="Arial" w:eastAsia="Arial" w:hAnsi="Arial"/>
          <w:sz w:val="16"/>
          <w:szCs w:val="16"/>
          <w:color w:val="auto"/>
        </w:rPr>
        <w:t>Our future operating results are dependent on our ability to successfully discover, develop, obtain regulatory approval for and commercialize product candidates. All of our current programs other than ORIC-533, ORIC-114 and ORIC-944,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success of other product candidates we may develop will depend on many factors, including the following:</w:t>
      </w:r>
    </w:p>
    <w:p>
      <w:pPr>
        <w:spacing w:after="0" w:line="104" w:lineRule="exact"/>
        <w:rPr>
          <w:sz w:val="20"/>
          <w:szCs w:val="20"/>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addressing any delays in our research programs resulting from factors related to the COVID-19 pandemic;</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a product candidate for use in clinical trials;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events in clinical trials.</w:t>
      </w:r>
    </w:p>
    <w:p>
      <w:pPr>
        <w:spacing w:after="0" w:line="104" w:lineRule="exact"/>
        <w:rPr>
          <w:sz w:val="20"/>
          <w:szCs w:val="20"/>
          <w:color w:val="auto"/>
        </w:rPr>
      </w:pPr>
    </w:p>
    <w:p>
      <w:pPr>
        <w:ind w:right="200" w:firstLine="749"/>
        <w:spacing w:after="0" w:line="256" w:lineRule="auto"/>
        <w:rPr>
          <w:sz w:val="20"/>
          <w:szCs w:val="20"/>
          <w:color w:val="auto"/>
        </w:rPr>
      </w:pPr>
      <w:r>
        <w:rPr>
          <w:rFonts w:ascii="Arial" w:cs="Arial" w:eastAsia="Arial" w:hAnsi="Arial"/>
          <w:sz w:val="18"/>
          <w:szCs w:val="18"/>
          <w:color w:val="auto"/>
        </w:rPr>
        <w:t>Even if we successfully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jc w:val="both"/>
        <w:ind w:right="100"/>
        <w:spacing w:after="0" w:line="256" w:lineRule="auto"/>
        <w:rPr>
          <w:sz w:val="20"/>
          <w:szCs w:val="20"/>
          <w:color w:val="auto"/>
        </w:rPr>
      </w:pPr>
      <w:r>
        <w:rPr>
          <w:rFonts w:ascii="Arial" w:cs="Arial" w:eastAsia="Arial" w:hAnsi="Arial"/>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260" w:right="6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the design, implementation or results of our clinical trials;</w:t>
      </w:r>
    </w:p>
    <w:p>
      <w:pPr>
        <w:spacing w:after="0" w:line="76" w:lineRule="exact"/>
        <w:rPr>
          <w:rFonts w:ascii="Arial" w:cs="Arial" w:eastAsia="Arial" w:hAnsi="Arial"/>
          <w:sz w:val="18"/>
          <w:szCs w:val="18"/>
          <w:color w:val="auto"/>
        </w:rPr>
      </w:pPr>
    </w:p>
    <w:p>
      <w:pPr>
        <w:ind w:left="1260" w:right="80" w:hanging="503"/>
        <w:spacing w:after="0" w:line="248"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7" w:lineRule="exact"/>
        <w:rPr>
          <w:rFonts w:ascii="Arial" w:cs="Arial" w:eastAsia="Arial" w:hAnsi="Arial"/>
          <w:sz w:val="18"/>
          <w:szCs w:val="18"/>
          <w:color w:val="auto"/>
        </w:rPr>
      </w:pPr>
    </w:p>
    <w:p>
      <w:pPr>
        <w:ind w:left="1260" w:right="76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1260" w:right="60" w:hanging="503"/>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interpretation of data from preclinical studies or clinical trials;</w:t>
      </w:r>
    </w:p>
    <w:p>
      <w:pPr>
        <w:spacing w:after="0" w:line="48" w:lineRule="exact"/>
        <w:rPr>
          <w:rFonts w:ascii="Arial" w:cs="Arial" w:eastAsia="Arial" w:hAnsi="Arial"/>
          <w:sz w:val="18"/>
          <w:szCs w:val="18"/>
          <w:color w:val="auto"/>
        </w:rPr>
      </w:pPr>
    </w:p>
    <w:p>
      <w:pPr>
        <w:ind w:left="1260" w:right="12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other comparable foreign regulatory authorities that our product candidate’s risk-benefit ratio for its proposed indication is acceptable;</w:t>
      </w:r>
    </w:p>
    <w:p>
      <w:pPr>
        <w:spacing w:after="0" w:line="62" w:lineRule="exact"/>
        <w:rPr>
          <w:rFonts w:ascii="Arial" w:cs="Arial" w:eastAsia="Arial" w:hAnsi="Arial"/>
          <w:sz w:val="18"/>
          <w:szCs w:val="18"/>
          <w:color w:val="auto"/>
        </w:rPr>
      </w:pPr>
    </w:p>
    <w:p>
      <w:pPr>
        <w:ind w:left="1260" w:right="180" w:hanging="503"/>
        <w:spacing w:after="0" w:line="308" w:lineRule="auto"/>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24" w:lineRule="exact"/>
        <w:rPr>
          <w:rFonts w:ascii="Arial" w:cs="Arial" w:eastAsia="Arial" w:hAnsi="Arial"/>
          <w:sz w:val="17"/>
          <w:szCs w:val="17"/>
          <w:color w:val="auto"/>
        </w:rPr>
      </w:pPr>
    </w:p>
    <w:p>
      <w:pPr>
        <w:ind w:left="1260" w:right="56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comparable regulatory authorities may fail to approve companion diagnostic tests that are required for our product candidates; and</w:t>
      </w:r>
    </w:p>
    <w:p>
      <w:pPr>
        <w:spacing w:after="0" w:line="76" w:lineRule="exact"/>
        <w:rPr>
          <w:rFonts w:ascii="Arial" w:cs="Arial" w:eastAsia="Arial" w:hAnsi="Arial"/>
          <w:sz w:val="18"/>
          <w:szCs w:val="18"/>
          <w:color w:val="auto"/>
        </w:rPr>
      </w:pPr>
    </w:p>
    <w:p>
      <w:pPr>
        <w:ind w:left="1260" w:right="260" w:hanging="503"/>
        <w:spacing w:after="0" w:line="261"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63" w:lineRule="exact"/>
        <w:rPr>
          <w:sz w:val="20"/>
          <w:szCs w:val="20"/>
          <w:color w:val="auto"/>
        </w:rPr>
      </w:pPr>
    </w:p>
    <w:p>
      <w:pPr>
        <w:ind w:right="620" w:firstLine="749"/>
        <w:spacing w:after="0" w:line="342" w:lineRule="auto"/>
        <w:rPr>
          <w:sz w:val="20"/>
          <w:szCs w:val="20"/>
          <w:color w:val="auto"/>
        </w:rPr>
      </w:pPr>
      <w:r>
        <w:rPr>
          <w:rFonts w:ascii="Arial" w:cs="Arial" w:eastAsia="Arial" w:hAnsi="Arial"/>
          <w:sz w:val="16"/>
          <w:szCs w:val="16"/>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 clinical trials of our product candidates may not demonstrate safety and efficacy to the satisfaction of the FDA, EMA or other comparable foreign regulatory authorities or otherwise produce positive results.</w:t>
      </w:r>
    </w:p>
    <w:p>
      <w:pPr>
        <w:spacing w:after="0" w:line="76"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8" w:name="page29"/>
    <w:bookmarkEnd w:id="28"/>
    <w:p>
      <w:pPr>
        <w:ind w:right="80" w:firstLine="74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35" w:lineRule="exact"/>
        <w:rPr>
          <w:sz w:val="20"/>
          <w:szCs w:val="20"/>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90" w:lineRule="exact"/>
        <w:rPr>
          <w:rFonts w:ascii="Arial" w:cs="Arial" w:eastAsia="Arial" w:hAnsi="Arial"/>
          <w:sz w:val="18"/>
          <w:szCs w:val="18"/>
          <w:color w:val="auto"/>
        </w:rPr>
      </w:pPr>
    </w:p>
    <w:p>
      <w:pPr>
        <w:ind w:left="1260" w:right="80" w:hanging="503"/>
        <w:spacing w:after="0" w:line="246"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48" w:lineRule="exact"/>
        <w:rPr>
          <w:rFonts w:ascii="Arial" w:cs="Arial" w:eastAsia="Arial" w:hAnsi="Arial"/>
          <w:sz w:val="18"/>
          <w:szCs w:val="18"/>
          <w:color w:val="auto"/>
        </w:rPr>
      </w:pPr>
    </w:p>
    <w:p>
      <w:pPr>
        <w:ind w:left="1260" w:right="620" w:hanging="503"/>
        <w:spacing w:after="0" w:line="246"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1" w:lineRule="exact"/>
        <w:rPr>
          <w:rFonts w:ascii="Arial" w:cs="Arial" w:eastAsia="Arial" w:hAnsi="Arial"/>
          <w:sz w:val="18"/>
          <w:szCs w:val="18"/>
          <w:color w:val="auto"/>
        </w:rPr>
      </w:pPr>
    </w:p>
    <w:p>
      <w:pPr>
        <w:ind w:left="1260" w:right="100" w:hanging="503"/>
        <w:spacing w:after="0" w:line="246"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48" w:lineRule="exact"/>
        <w:rPr>
          <w:rFonts w:ascii="Arial" w:cs="Arial" w:eastAsia="Arial" w:hAnsi="Arial"/>
          <w:sz w:val="18"/>
          <w:szCs w:val="18"/>
          <w:color w:val="auto"/>
        </w:rPr>
      </w:pPr>
    </w:p>
    <w:p>
      <w:pPr>
        <w:ind w:left="1260" w:right="540" w:hanging="503"/>
        <w:spacing w:after="0" w:line="274" w:lineRule="auto"/>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39" w:lineRule="exact"/>
        <w:rPr>
          <w:rFonts w:ascii="Arial" w:cs="Arial" w:eastAsia="Arial" w:hAnsi="Arial"/>
          <w:sz w:val="17"/>
          <w:szCs w:val="17"/>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90" w:lineRule="exact"/>
        <w:rPr>
          <w:rFonts w:ascii="Arial" w:cs="Arial" w:eastAsia="Arial" w:hAnsi="Arial"/>
          <w:sz w:val="18"/>
          <w:szCs w:val="18"/>
          <w:color w:val="auto"/>
        </w:rPr>
      </w:pPr>
    </w:p>
    <w:p>
      <w:pPr>
        <w:ind w:left="1260" w:right="460" w:hanging="503"/>
        <w:spacing w:after="0" w:line="246"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104" w:lineRule="exact"/>
        <w:rPr>
          <w:sz w:val="20"/>
          <w:szCs w:val="20"/>
          <w:color w:val="auto"/>
        </w:rPr>
      </w:pPr>
    </w:p>
    <w:p>
      <w:pPr>
        <w:ind w:firstLine="749"/>
        <w:spacing w:after="0" w:line="263"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7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87" w:lineRule="exact"/>
        <w:rPr>
          <w:sz w:val="20"/>
          <w:szCs w:val="20"/>
          <w:color w:val="auto"/>
        </w:rPr>
      </w:pPr>
    </w:p>
    <w:p>
      <w:pPr>
        <w:ind w:right="100" w:firstLine="749"/>
        <w:spacing w:after="0" w:line="260" w:lineRule="auto"/>
        <w:rPr>
          <w:sz w:val="20"/>
          <w:szCs w:val="20"/>
          <w:color w:val="auto"/>
        </w:rPr>
      </w:pPr>
      <w:r>
        <w:rPr>
          <w:rFonts w:ascii="Arial" w:cs="Arial" w:eastAsia="Arial" w:hAnsi="Arial"/>
          <w:sz w:val="17"/>
          <w:szCs w:val="17"/>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66" w:lineRule="exact"/>
        <w:rPr>
          <w:sz w:val="20"/>
          <w:szCs w:val="20"/>
          <w:color w:val="auto"/>
        </w:rPr>
      </w:pPr>
    </w:p>
    <w:p>
      <w:pPr>
        <w:ind w:right="20" w:firstLine="749"/>
        <w:spacing w:after="0" w:line="280" w:lineRule="auto"/>
        <w:rPr>
          <w:sz w:val="20"/>
          <w:szCs w:val="20"/>
          <w:color w:val="auto"/>
        </w:rPr>
      </w:pPr>
      <w:r>
        <w:rPr>
          <w:rFonts w:ascii="Arial" w:cs="Arial" w:eastAsia="Arial" w:hAnsi="Arial"/>
          <w:sz w:val="16"/>
          <w:szCs w:val="16"/>
          <w:color w:val="auto"/>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spacing w:after="0" w:line="63" w:lineRule="exact"/>
        <w:rPr>
          <w:sz w:val="20"/>
          <w:szCs w:val="20"/>
          <w:color w:val="auto"/>
        </w:rPr>
      </w:pPr>
    </w:p>
    <w:p>
      <w:pPr>
        <w:ind w:right="100" w:firstLine="749"/>
        <w:spacing w:after="0" w:line="257"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right="280"/>
        <w:spacing w:after="0" w:line="277" w:lineRule="auto"/>
        <w:rPr>
          <w:sz w:val="20"/>
          <w:szCs w:val="20"/>
          <w:color w:val="auto"/>
        </w:rPr>
      </w:pPr>
      <w:r>
        <w:rPr>
          <w:rFonts w:ascii="Arial" w:cs="Arial" w:eastAsia="Arial" w:hAnsi="Arial"/>
          <w:sz w:val="18"/>
          <w:szCs w:val="18"/>
          <w:color w:val="auto"/>
        </w:rPr>
        <w:t>whether our product candidates will cause toxicities in humans that would preclude or lead to the revocation of regulatory approval based on preclinical studies or early stage clinical trials.</w:t>
      </w:r>
    </w:p>
    <w:p>
      <w:pPr>
        <w:spacing w:after="0" w:line="49"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5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ORIC-533, ORIC-114, ORIC-944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8"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79"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49"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2"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58" w:lineRule="exact"/>
        <w:rPr>
          <w:sz w:val="20"/>
          <w:szCs w:val="20"/>
          <w:color w:val="auto"/>
        </w:rPr>
      </w:pPr>
    </w:p>
    <w:p>
      <w:pPr>
        <w:ind w:right="120" w:firstLine="749"/>
        <w:spacing w:after="0" w:line="283"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4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Adverse results of clinical trials conducted by third parties investigating the same product candidates as us in different territories could adversely affect our development of such product candidate.</w:t>
      </w:r>
    </w:p>
    <w:p>
      <w:pPr>
        <w:spacing w:after="0" w:line="76" w:lineRule="exact"/>
        <w:rPr>
          <w:sz w:val="20"/>
          <w:szCs w:val="20"/>
          <w:color w:val="auto"/>
        </w:rPr>
      </w:pPr>
    </w:p>
    <w:p>
      <w:pPr>
        <w:ind w:right="140" w:firstLine="749"/>
        <w:spacing w:after="0" w:line="245" w:lineRule="auto"/>
        <w:rPr>
          <w:sz w:val="20"/>
          <w:szCs w:val="20"/>
          <w:color w:val="auto"/>
        </w:rPr>
      </w:pPr>
      <w:r>
        <w:rPr>
          <w:rFonts w:ascii="Arial" w:cs="Arial" w:eastAsia="Arial" w:hAnsi="Arial"/>
          <w:sz w:val="18"/>
          <w:szCs w:val="18"/>
          <w:color w:val="auto"/>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 specified in the Voronoi License Agreement, including the compound we refer to as ORIC-114, in the People’s Republic of China, Hong Kong, Macau and Taiwan and, subject to certain restrictions, to collaborate with others for such development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ind w:right="60"/>
        <w:spacing w:after="0" w:line="249" w:lineRule="auto"/>
        <w:rPr>
          <w:sz w:val="20"/>
          <w:szCs w:val="20"/>
          <w:color w:val="auto"/>
        </w:rPr>
      </w:pPr>
      <w:r>
        <w:rPr>
          <w:rFonts w:ascii="Arial" w:cs="Arial" w:eastAsia="Arial" w:hAnsi="Arial"/>
          <w:sz w:val="18"/>
          <w:szCs w:val="18"/>
          <w:color w:val="auto"/>
        </w:rPr>
        <w:t>commercialization. We do not have control over Voronoi’s clinical trials or development program, and adverse findings from or Voronoi’s conduct of clinical trials could adversely affect our development of ORIC-114 or even the viability of ORIC-114 as a product candidate. We may be required to report Voronoi’s adverse events or unexpected side effects to the FDA or comparable foreign regulatory authorities, which could, among other things, order us to cease further development of ORIC-114.</w:t>
      </w:r>
    </w:p>
    <w:p>
      <w:pPr>
        <w:spacing w:after="0" w:line="8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3" w:lineRule="exact"/>
        <w:rPr>
          <w:sz w:val="20"/>
          <w:szCs w:val="20"/>
          <w:color w:val="auto"/>
        </w:rPr>
      </w:pPr>
    </w:p>
    <w:p>
      <w:pPr>
        <w:ind w:right="60" w:firstLine="749"/>
        <w:spacing w:after="0" w:line="283"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pandemic shortages of staff or reagents.</w:t>
      </w:r>
    </w:p>
    <w:p>
      <w:pPr>
        <w:spacing w:after="0" w:line="48"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Enrollment of patients in our clinical trials and maintaining patients in our ongoing clinical trials may be delayed or limited as our clinical trial sites limit their onsite staff or temporarily close as a result of the COVID-19 pandemic. For instance, certain of our clinical trial sites in 2020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77" w:lineRule="exact"/>
        <w:rPr>
          <w:sz w:val="20"/>
          <w:szCs w:val="20"/>
          <w:color w:val="auto"/>
        </w:rPr>
      </w:pPr>
    </w:p>
    <w:p>
      <w:pPr>
        <w:ind w:right="60" w:firstLine="749"/>
        <w:spacing w:after="0" w:line="256" w:lineRule="auto"/>
        <w:rPr>
          <w:sz w:val="20"/>
          <w:szCs w:val="20"/>
          <w:color w:val="auto"/>
        </w:rPr>
      </w:pPr>
      <w:r>
        <w:rPr>
          <w:rFonts w:ascii="Arial" w:cs="Arial" w:eastAsia="Arial" w:hAnsi="Arial"/>
          <w:sz w:val="18"/>
          <w:szCs w:val="18"/>
          <w:color w:val="auto"/>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7" w:lineRule="exact"/>
        <w:rPr>
          <w:sz w:val="20"/>
          <w:szCs w:val="20"/>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03" w:lineRule="exact"/>
        <w:rPr>
          <w:rFonts w:ascii="Arial" w:cs="Arial" w:eastAsia="Arial" w:hAnsi="Arial"/>
          <w:sz w:val="18"/>
          <w:szCs w:val="18"/>
          <w:color w:val="auto"/>
        </w:rPr>
      </w:pPr>
    </w:p>
    <w:p>
      <w:pPr>
        <w:jc w:val="both"/>
        <w:ind w:left="1260" w:right="320" w:hanging="503"/>
        <w:spacing w:after="0" w:line="256"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6" w:lineRule="exact"/>
        <w:rPr>
          <w:rFonts w:ascii="Arial" w:cs="Arial" w:eastAsia="Arial" w:hAnsi="Arial"/>
          <w:sz w:val="18"/>
          <w:szCs w:val="18"/>
          <w:color w:val="auto"/>
        </w:rPr>
      </w:pPr>
    </w:p>
    <w:p>
      <w:pPr>
        <w:ind w:left="1260" w:right="400" w:hanging="503"/>
        <w:spacing w:after="0" w:line="27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03" w:lineRule="exact"/>
        <w:rPr>
          <w:rFonts w:ascii="Arial" w:cs="Arial" w:eastAsia="Arial" w:hAnsi="Arial"/>
          <w:sz w:val="18"/>
          <w:szCs w:val="18"/>
          <w:color w:val="auto"/>
        </w:rPr>
      </w:pPr>
    </w:p>
    <w:p>
      <w:pPr>
        <w:ind w:left="1260" w:right="480" w:hanging="503"/>
        <w:spacing w:after="0" w:line="261"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76"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and financial results could be adversely impacted by the COVID-19 pandemic in the United States and the rest of the world.</w:t>
      </w:r>
    </w:p>
    <w:p>
      <w:pPr>
        <w:spacing w:after="0" w:line="115" w:lineRule="exact"/>
        <w:rPr>
          <w:sz w:val="20"/>
          <w:szCs w:val="20"/>
          <w:color w:val="auto"/>
        </w:rPr>
      </w:pPr>
    </w:p>
    <w:p>
      <w:pPr>
        <w:ind w:firstLine="749"/>
        <w:spacing w:after="0" w:line="256" w:lineRule="auto"/>
        <w:rPr>
          <w:sz w:val="20"/>
          <w:szCs w:val="20"/>
          <w:color w:val="auto"/>
        </w:rPr>
      </w:pPr>
      <w:r>
        <w:rPr>
          <w:rFonts w:ascii="Arial" w:cs="Arial" w:eastAsia="Arial" w:hAnsi="Arial"/>
          <w:sz w:val="18"/>
          <w:szCs w:val="18"/>
          <w:color w:val="auto"/>
        </w:rPr>
        <w:t>In December 2019, COVID-19 was reported to have surfaced in Wuhan, China, resulting in significant disruptions to Chinese manufacturing and travel. COVID-19 has now spread to numerous other countries, including extensively within the United States, resulting in the World Health Organization characterizing COVID-19 as a pandemic. As a result of measures imposed by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right="40"/>
        <w:spacing w:after="0" w:line="256" w:lineRule="auto"/>
        <w:rPr>
          <w:sz w:val="20"/>
          <w:szCs w:val="20"/>
          <w:color w:val="auto"/>
        </w:rPr>
      </w:pPr>
      <w:r>
        <w:rPr>
          <w:rFonts w:ascii="Arial" w:cs="Arial" w:eastAsia="Arial" w:hAnsi="Arial"/>
          <w:sz w:val="18"/>
          <w:szCs w:val="18"/>
          <w:color w:val="auto"/>
        </w:rPr>
        <w:t>governments in affected regions, many commercial activities, businesses and schools were suspended as part of quarantines and other measures intended to contain this pandemic. Due to the continued COVID-19 pandemic, including the spread of variants, we may experience disruptions that could severely impact our business and clinical trials, including:</w:t>
      </w:r>
    </w:p>
    <w:p>
      <w:pPr>
        <w:spacing w:after="0" w:line="67" w:lineRule="exact"/>
        <w:rPr>
          <w:sz w:val="20"/>
          <w:szCs w:val="20"/>
          <w:color w:val="auto"/>
        </w:rPr>
      </w:pPr>
    </w:p>
    <w:p>
      <w:pPr>
        <w:ind w:left="1260" w:right="260" w:hanging="503"/>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key research and discovery or other activities related to any impact of COVID-19 contraction by or transmission among our employees, including those that are essential workers and work within our laboratory;</w:t>
      </w:r>
    </w:p>
    <w:p>
      <w:pPr>
        <w:spacing w:after="0" w:line="48" w:lineRule="exact"/>
        <w:rPr>
          <w:rFonts w:ascii="Arial" w:cs="Arial" w:eastAsia="Arial" w:hAnsi="Arial"/>
          <w:sz w:val="18"/>
          <w:szCs w:val="18"/>
          <w:color w:val="auto"/>
        </w:rPr>
      </w:pPr>
    </w:p>
    <w:p>
      <w:pPr>
        <w:ind w:left="1260" w:right="34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those conducted by third parties, and further incurrence of additional costs as a result of preclinical study and clinical trial delays and adjustments;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related to ongoing and increased operational expenses related to the COVID-19 pandemic;</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3" w:lineRule="exact"/>
        <w:rPr>
          <w:rFonts w:ascii="Arial" w:cs="Arial" w:eastAsia="Arial" w:hAnsi="Arial"/>
          <w:sz w:val="18"/>
          <w:szCs w:val="18"/>
          <w:color w:val="auto"/>
        </w:rPr>
      </w:pPr>
    </w:p>
    <w:p>
      <w:pPr>
        <w:ind w:left="1260" w:right="14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76" w:lineRule="exact"/>
        <w:rPr>
          <w:rFonts w:ascii="Arial" w:cs="Arial" w:eastAsia="Arial" w:hAnsi="Arial"/>
          <w:sz w:val="18"/>
          <w:szCs w:val="18"/>
          <w:color w:val="auto"/>
        </w:rPr>
      </w:pPr>
    </w:p>
    <w:p>
      <w:pPr>
        <w:ind w:left="1260" w:right="18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1260" w:hanging="503"/>
        <w:spacing w:after="0" w:line="256"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03" w:lineRule="exact"/>
        <w:rPr>
          <w:rFonts w:ascii="Arial" w:cs="Arial" w:eastAsia="Arial" w:hAnsi="Arial"/>
          <w:sz w:val="18"/>
          <w:szCs w:val="18"/>
          <w:color w:val="auto"/>
        </w:rPr>
      </w:pPr>
    </w:p>
    <w:p>
      <w:pPr>
        <w:ind w:left="1260" w:right="360" w:hanging="503"/>
        <w:spacing w:after="0" w:line="261"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used in our clinical trials;</w:t>
      </w:r>
    </w:p>
    <w:p>
      <w:pPr>
        <w:spacing w:after="0" w:line="76" w:lineRule="exact"/>
        <w:rPr>
          <w:rFonts w:ascii="Arial" w:cs="Arial" w:eastAsia="Arial" w:hAnsi="Arial"/>
          <w:sz w:val="18"/>
          <w:szCs w:val="18"/>
          <w:color w:val="auto"/>
        </w:rPr>
      </w:pPr>
    </w:p>
    <w:p>
      <w:pPr>
        <w:ind w:left="1260" w:right="260" w:hanging="503"/>
        <w:spacing w:after="0" w:line="291"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or to discontinue the clinical trials altogether, or which may result in unexpected costs;</w:t>
      </w:r>
    </w:p>
    <w:p>
      <w:pPr>
        <w:spacing w:after="0" w:line="38" w:lineRule="exact"/>
        <w:rPr>
          <w:rFonts w:ascii="Arial" w:cs="Arial" w:eastAsia="Arial" w:hAnsi="Arial"/>
          <w:sz w:val="17"/>
          <w:szCs w:val="17"/>
          <w:color w:val="auto"/>
        </w:rPr>
      </w:pPr>
    </w:p>
    <w:p>
      <w:pPr>
        <w:ind w:left="1260" w:right="420" w:hanging="503"/>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10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67" w:lineRule="exact"/>
        <w:rPr>
          <w:sz w:val="20"/>
          <w:szCs w:val="20"/>
          <w:color w:val="auto"/>
        </w:rPr>
      </w:pPr>
    </w:p>
    <w:p>
      <w:pPr>
        <w:ind w:right="80" w:firstLine="749"/>
        <w:spacing w:after="0" w:line="245" w:lineRule="auto"/>
        <w:rPr>
          <w:sz w:val="20"/>
          <w:szCs w:val="20"/>
          <w:color w:val="auto"/>
        </w:rPr>
      </w:pPr>
      <w:r>
        <w:rPr>
          <w:rFonts w:ascii="Arial" w:cs="Arial" w:eastAsia="Arial" w:hAnsi="Arial"/>
          <w:sz w:val="18"/>
          <w:szCs w:val="18"/>
          <w:color w:val="auto"/>
        </w:rPr>
        <w:t>Our primary operations are located in South San Francisco and San Diego. As a result of county and California stay-at-home orders being lifted, the portion of our employees that were telecommuting are in the process of returning to our physical locations at both sites. As our employees begin to return to work in our physical locations, our employees may be exposed to COVID-19 (including variants), and we may face claims by such employees or regulatory authorities that we have not provided adequate protection to our employees with respect to the spread of COVID-19 at our physical locations, which may affect our business, results of operations and reputation.</w:t>
      </w:r>
    </w:p>
    <w:p>
      <w:pPr>
        <w:spacing w:after="0" w:line="91"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Additionally, certain third parties with whom we engage, including our collaborators, contract organizations, third party manufacturers, suppliers, clinical trial sites, regulators and other third parties with whom we conduct business are similarly adjusting their operations and assessing their capacity in light of the COVID-19 pandemic. If these third parties experience slowdowns, shutdowns or other business disruptions, our ability to conduct our business in the manner and on the timelines presently planned could be materially and negatively impacted. For example, as a result of the ongoing COVID-19 pandemic, there could be delays in the manufacturing supply chain, which could delay or otherwise impact procurement of materials for certain of our ongoing or planned studies of ORIC-533, ORIC-114 or ORIC-944. Specifically, we have recently experienced increased difficulty shipping materials to and from China, which has delayed the receipt and delivery of such materials and resulted in increased shipping costs. Additionally, certain preclinical studies for our discovery research programs are conducted by CROs or academic institutions, some of which temporarily stopped or delayed operations during the COVID-19 pandemic. Disruptions of this nature could negatively impact the timelines of our preclinical programs. In the event of a resurgence of COVID-19 infections, it is likely that the disproportionate impact of COVID-19 on hospitals and clinical sites will have an impact on recruitment and retention for our clinical trials. For instance, we are aware of certain clinical trial sites that have temporarily stopped or delayed enrolling new patients during the COVID-19 pandemic. In addition, certain of our clinical trial sites have experienced, and others may experience in the future, delays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spacing w:after="0" w:line="258" w:lineRule="auto"/>
        <w:rPr>
          <w:sz w:val="20"/>
          <w:szCs w:val="20"/>
          <w:color w:val="auto"/>
        </w:rPr>
      </w:pPr>
      <w:r>
        <w:rPr>
          <w:rFonts w:ascii="Arial" w:cs="Arial" w:eastAsia="Arial" w:hAnsi="Arial"/>
          <w:sz w:val="17"/>
          <w:szCs w:val="17"/>
          <w:color w:val="auto"/>
        </w:rPr>
        <w:t>in collecting, receiving and analyzing data from patients enrolled in our clinical trials due to limited staff at such sites, limitation or suspension of on-site visits by patients, or patients’ reluctance to visit the clinical trial sites during the pandemic. We and our CROs have also made certain adjustments to the operation of such trials in an effort to ensure the monitoring and safety of patients and minimize risks to trial integrity during the pandemic in accordance with the guidance issued by the FDA on March 18, 2020 and generally, and may need to make further adjustments in the future, including adjustments based on recently issued FDA guidance on manufacturing, supply chain, and pharmaceutical product inspections; resuming normal pharmaceutical manufacturing operations; and updates on conducting clinical trials during the COVID-19 public health emergency. Many of these adjustments are new and untested, may not be effective, and may have unforeseen effects on the enrollment, progress and completion of these trials and the findings from these trials. While we are currently continuing our clinical trials and seeking to add new clinical trial sites, we may not be successful in adding trial sites, may experience delays in patient enrollment or in the progression of our clinical trials, may need to suspend our clinical trials, and may encounter other negative impacts to our trials, due to the effects of the COVID-19 pandemic.</w:t>
      </w:r>
    </w:p>
    <w:p>
      <w:pPr>
        <w:spacing w:after="0" w:line="72" w:lineRule="exact"/>
        <w:rPr>
          <w:sz w:val="20"/>
          <w:szCs w:val="20"/>
          <w:color w:val="auto"/>
        </w:rPr>
      </w:pPr>
    </w:p>
    <w:p>
      <w:pPr>
        <w:ind w:right="60" w:firstLine="749"/>
        <w:spacing w:after="0" w:line="256" w:lineRule="auto"/>
        <w:rPr>
          <w:sz w:val="20"/>
          <w:szCs w:val="20"/>
          <w:color w:val="auto"/>
        </w:rPr>
      </w:pPr>
      <w:r>
        <w:rPr>
          <w:rFonts w:ascii="Arial" w:cs="Arial" w:eastAsia="Arial" w:hAnsi="Arial"/>
          <w:sz w:val="18"/>
          <w:szCs w:val="18"/>
          <w:color w:val="auto"/>
        </w:rPr>
        <w:t>The global outbreak of COVID-19 continues to evolve.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67"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4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If we are unable to successfully develop any required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67"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We are exploring predictive biomarkers to determine patient selection for our clinical trials and to evaluate whether a companion diagnostic test will be required for any of our product candidates. In general, the FDA expects to review and approve simultaneously NDA and pre-market approval (PMA)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of our companion diagnostic development plans or we may not be able to compete effectively upon approval, which could adversely impact our ability to generate revenue from the sale of our approved products and our business operations.</w:t>
      </w:r>
    </w:p>
    <w:p>
      <w:pPr>
        <w:spacing w:after="0" w:line="58" w:lineRule="exact"/>
        <w:rPr>
          <w:sz w:val="20"/>
          <w:szCs w:val="20"/>
          <w:color w:val="auto"/>
        </w:rPr>
      </w:pPr>
    </w:p>
    <w:p>
      <w:pPr>
        <w:ind w:right="100" w:firstLine="749"/>
        <w:spacing w:after="0" w:line="263" w:lineRule="auto"/>
        <w:rPr>
          <w:sz w:val="20"/>
          <w:szCs w:val="20"/>
          <w:color w:val="auto"/>
        </w:rPr>
      </w:pPr>
      <w:r>
        <w:rPr>
          <w:rFonts w:ascii="Arial" w:cs="Arial" w:eastAsia="Arial" w:hAnsi="Arial"/>
          <w:sz w:val="17"/>
          <w:szCs w:val="17"/>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our programs in combination with other therapies, which exposes us to additional risks.</w:t>
      </w:r>
    </w:p>
    <w:p>
      <w:pPr>
        <w:spacing w:after="0" w:line="104"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We may develop our programs,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67" w:lineRule="exact"/>
        <w:rPr>
          <w:sz w:val="20"/>
          <w:szCs w:val="20"/>
          <w:color w:val="auto"/>
        </w:rPr>
      </w:pPr>
    </w:p>
    <w:p>
      <w:pPr>
        <w:ind w:right="280" w:firstLine="749"/>
        <w:spacing w:after="0" w:line="256"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67" w:lineRule="exact"/>
        <w:rPr>
          <w:sz w:val="20"/>
          <w:szCs w:val="20"/>
          <w:color w:val="auto"/>
        </w:rPr>
      </w:pPr>
    </w:p>
    <w:p>
      <w:pPr>
        <w:ind w:right="20" w:firstLine="749"/>
        <w:spacing w:after="0" w:line="278" w:lineRule="auto"/>
        <w:rPr>
          <w:sz w:val="20"/>
          <w:szCs w:val="20"/>
          <w:color w:val="auto"/>
        </w:rPr>
      </w:pPr>
      <w:r>
        <w:rPr>
          <w:rFonts w:ascii="Arial" w:cs="Arial" w:eastAsia="Arial" w:hAnsi="Arial"/>
          <w:sz w:val="17"/>
          <w:szCs w:val="17"/>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one or all of the product candidates we develop.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ind w:right="120" w:firstLine="749"/>
        <w:spacing w:after="0" w:line="249" w:lineRule="auto"/>
        <w:rPr>
          <w:sz w:val="20"/>
          <w:szCs w:val="20"/>
          <w:color w:val="auto"/>
        </w:rPr>
      </w:pPr>
      <w:r>
        <w:rPr>
          <w:rFonts w:ascii="Arial" w:cs="Arial" w:eastAsia="Arial" w:hAnsi="Arial"/>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resources and are focusing our efforts on developing ORIC-533, ORIC-114 and ORIC-944, and advancing our preclinical programs.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result, we may fail to capitalize on other indications or product candidates that may ultimately have proven to be more profitable.</w:t>
      </w:r>
    </w:p>
    <w:p>
      <w:pPr>
        <w:spacing w:after="0" w:line="99"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We focus our resources and efforts on developing ORIC-533, ORIC-114 and ORIC-944,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drugs or profitable market opportunities. Our spending on current and future research and development activities for ORIC-533, ORIC-114, ORIC-944 and other preclinical programs, may not yield any commercially viable drugs. If we do not accurately evaluate the commercial potential or target markets for ORIC-533, ORIC-114, ORIC-944 or any of our other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spacing w:after="0" w:line="78"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6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w:t>
      </w:r>
    </w:p>
    <w:p>
      <w:pPr>
        <w:spacing w:after="0" w:line="49"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93" w:lineRule="exact"/>
        <w:rPr>
          <w:sz w:val="20"/>
          <w:szCs w:val="20"/>
          <w:color w:val="auto"/>
        </w:rPr>
      </w:pPr>
    </w:p>
    <w:p>
      <w:pPr>
        <w:ind w:right="20" w:firstLine="749"/>
        <w:spacing w:after="0" w:line="270" w:lineRule="auto"/>
        <w:rPr>
          <w:sz w:val="20"/>
          <w:szCs w:val="20"/>
          <w:color w:val="auto"/>
        </w:rPr>
      </w:pPr>
      <w:r>
        <w:rPr>
          <w:rFonts w:ascii="Arial" w:cs="Arial" w:eastAsia="Arial" w:hAnsi="Arial"/>
          <w:sz w:val="16"/>
          <w:szCs w:val="16"/>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 For ORIC-533, we are aware of several companies developing antibodies against this target that are in clinical trials, including AstraZeneca, Bristol-Myers Squibb, Novartis, Incyte Corporation, Corvus Pharmaceuticals, Innate Pharma, Tracon Pharmaceuticals in collaboration with I-Mab Biopharma, Akeso, Symphogen, Innovent, Henlius Biotech, Jacobio Pharmaceuticals and Phanes Therapeutics. Other companies, such as Arcus Biosciences in collaboration with Gilead Sciences and Antengene, have small-molecule programs in clinical trials against this target. To our knowledge, only Antengene has an orally available, small molecule CD73 inhibitor in an active clinical trial for patients with cancer. For ORIC-944, we are aware of several companies developing inhibitors against PRC2 via EZH2 inhibition that are currently in clinical trials, including Epizyme, Morphosys, Daiichi Sankyo, Pfizer, Shanghai HaiHe Pharmaceutical and Jiangsu Hengrui Medicine Co. To our knowledge, only Novartis has an allosteric PRC2 inhibitor in a clinical trial for patients with cancer. For ORIC-114, we are aware of two companies with an FDA approved product for patients with EGFR exon 20 insertion mutations, including Takeda and The Janssen Pharmaceutical Companies of Johnson</w:t>
      </w:r>
    </w:p>
    <w:p>
      <w:pPr>
        <w:spacing w:after="0" w:line="7" w:lineRule="exact"/>
        <w:rPr>
          <w:sz w:val="20"/>
          <w:szCs w:val="20"/>
          <w:color w:val="auto"/>
        </w:rPr>
      </w:pPr>
    </w:p>
    <w:p>
      <w:pPr>
        <w:ind w:right="20" w:firstLine="8"/>
        <w:spacing w:after="0" w:line="273" w:lineRule="auto"/>
        <w:tabs>
          <w:tab w:leader="none" w:pos="1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Johnson. We are also aware of several companies developing inhibitors against EGFR or HER2 exon 20 insertion mutations that are currently in clinical trials, including Spectrum Pharmaceuticals, Jiangsu Hengrui Medicine Co., Daiichi Sankyo, Dizal Pharmaceuticals, Cullinan Oncology in collaboration with Taiho Pharmaceutical, Bayer, ArriVent BioPharma in collaboration with Allist Pharmaceuticals, Boehringer Ingelheim, Junshi Biosciences and Blueprint Medicines. Additionally, Seattle Genetics has an FDA approved product for the treatment of patients with HER2-positive breast cancer, including patients with brain metastases. We are also aware that Dizal Pharmaceuticals and Zion Pharma are developing brain penetrant inhibitors currently in clinical trials for patients with HER2-positive breast cancer.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40"/>
        <w:spacing w:after="0" w:line="290" w:lineRule="auto"/>
        <w:rPr>
          <w:sz w:val="20"/>
          <w:szCs w:val="20"/>
          <w:color w:val="auto"/>
        </w:rPr>
      </w:pPr>
      <w:r>
        <w:rPr>
          <w:rFonts w:ascii="Arial" w:cs="Arial" w:eastAsia="Arial" w:hAnsi="Arial"/>
          <w:sz w:val="16"/>
          <w:szCs w:val="16"/>
          <w:color w:val="auto"/>
        </w:rPr>
        <w:t>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56" w:lineRule="exact"/>
        <w:rPr>
          <w:sz w:val="20"/>
          <w:szCs w:val="20"/>
          <w:color w:val="auto"/>
        </w:rPr>
      </w:pPr>
    </w:p>
    <w:p>
      <w:pPr>
        <w:ind w:firstLine="749"/>
        <w:spacing w:after="0" w:line="277"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5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spacing w:after="0" w:line="67"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04" w:lineRule="exact"/>
        <w:rPr>
          <w:sz w:val="20"/>
          <w:szCs w:val="20"/>
          <w:color w:val="auto"/>
        </w:rPr>
      </w:pPr>
    </w:p>
    <w:p>
      <w:pPr>
        <w:ind w:right="160" w:firstLine="749"/>
        <w:spacing w:after="0" w:line="244"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9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3" w:lineRule="exact"/>
        <w:rPr>
          <w:sz w:val="20"/>
          <w:szCs w:val="20"/>
          <w:color w:val="auto"/>
        </w:rPr>
      </w:pPr>
    </w:p>
    <w:p>
      <w:pPr>
        <w:ind w:firstLine="749"/>
        <w:spacing w:after="0" w:line="256"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67" w:lineRule="exact"/>
        <w:rPr>
          <w:sz w:val="20"/>
          <w:szCs w:val="20"/>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03" w:lineRule="exact"/>
        <w:rPr>
          <w:rFonts w:ascii="Arial" w:cs="Arial" w:eastAsia="Arial" w:hAnsi="Arial"/>
          <w:sz w:val="18"/>
          <w:szCs w:val="18"/>
          <w:color w:val="auto"/>
        </w:rPr>
      </w:pPr>
    </w:p>
    <w:p>
      <w:pPr>
        <w:ind w:left="1260" w:right="100" w:hanging="503"/>
        <w:spacing w:after="0" w:line="256"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5" w:name="page36"/>
    <w:bookmarkEnd w:id="35"/>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260" w:right="380" w:hanging="503"/>
        <w:spacing w:after="0" w:line="261"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04" w:lineRule="exact"/>
        <w:rPr>
          <w:sz w:val="20"/>
          <w:szCs w:val="20"/>
          <w:color w:val="auto"/>
        </w:rPr>
      </w:pPr>
    </w:p>
    <w:p>
      <w:pPr>
        <w:ind w:right="100" w:firstLine="749"/>
        <w:spacing w:after="0" w:line="342" w:lineRule="auto"/>
        <w:rPr>
          <w:sz w:val="20"/>
          <w:szCs w:val="20"/>
          <w:color w:val="auto"/>
        </w:rPr>
      </w:pPr>
      <w:r>
        <w:rPr>
          <w:rFonts w:ascii="Arial" w:cs="Arial" w:eastAsia="Arial" w:hAnsi="Arial"/>
          <w:sz w:val="16"/>
          <w:szCs w:val="16"/>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our product candidates we develop, if approved, may be limited to certain smaller patient subsets.</w:t>
      </w:r>
    </w:p>
    <w:p>
      <w:pPr>
        <w:spacing w:after="0" w:line="104" w:lineRule="exact"/>
        <w:rPr>
          <w:sz w:val="20"/>
          <w:szCs w:val="20"/>
          <w:color w:val="auto"/>
        </w:rPr>
      </w:pPr>
    </w:p>
    <w:p>
      <w:pPr>
        <w:ind w:right="120" w:firstLine="749"/>
        <w:spacing w:after="0" w:line="288" w:lineRule="auto"/>
        <w:rPr>
          <w:sz w:val="20"/>
          <w:szCs w:val="20"/>
          <w:color w:val="auto"/>
        </w:rPr>
      </w:pPr>
      <w:r>
        <w:rPr>
          <w:rFonts w:ascii="Arial" w:cs="Arial" w:eastAsia="Arial" w:hAnsi="Arial"/>
          <w:sz w:val="16"/>
          <w:szCs w:val="16"/>
          <w:color w:val="auto"/>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There is no guarantee that product candidates we develop, even if approved, would be approved for first-line therapy, and, prior to any such approvals, we may have to conduct additional clinical trials that may be costly, time-consuming and subject to risk.</w:t>
      </w:r>
    </w:p>
    <w:p>
      <w:pPr>
        <w:spacing w:after="0" w:line="44" w:lineRule="exact"/>
        <w:rPr>
          <w:sz w:val="20"/>
          <w:szCs w:val="20"/>
          <w:color w:val="auto"/>
        </w:rPr>
      </w:pPr>
    </w:p>
    <w:p>
      <w:pPr>
        <w:ind w:right="160" w:firstLine="749"/>
        <w:spacing w:after="0" w:line="249" w:lineRule="auto"/>
        <w:rPr>
          <w:sz w:val="20"/>
          <w:szCs w:val="20"/>
          <w:color w:val="auto"/>
        </w:rPr>
      </w:pPr>
      <w:r>
        <w:rPr>
          <w:rFonts w:ascii="Arial" w:cs="Arial" w:eastAsia="Arial" w:hAnsi="Arial"/>
          <w:sz w:val="18"/>
          <w:szCs w:val="18"/>
          <w:color w:val="auto"/>
        </w:rPr>
        <w:t>The number of patients who have the cancers we are targeting may turn out to be lower than expected. Additionally, the potentially addressable patient population for the product candidates we develop may be limited or may not be amenable to treatment with our product candidates. Regulatory approval may limit the market of a product candidate to target patient populations when biomarker-driven identification and/or highly specific criteria related to the stage of disease progression are utilized.</w:t>
      </w:r>
    </w:p>
    <w:p>
      <w:pPr>
        <w:spacing w:after="0" w:line="73"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Even if we obtain significant market share for any approved product, if the potential target populations are small, we may never achieve profitability without obtaining marketing approval for additional indications.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augmenting our product pipeline through acquisitions and in-licenses.</w:t>
      </w:r>
    </w:p>
    <w:p>
      <w:pPr>
        <w:spacing w:after="0" w:line="104" w:lineRule="exact"/>
        <w:rPr>
          <w:sz w:val="20"/>
          <w:szCs w:val="20"/>
          <w:color w:val="auto"/>
        </w:rPr>
      </w:pPr>
    </w:p>
    <w:p>
      <w:pPr>
        <w:ind w:firstLine="749"/>
        <w:spacing w:after="0" w:line="258" w:lineRule="auto"/>
        <w:rPr>
          <w:sz w:val="20"/>
          <w:szCs w:val="20"/>
          <w:color w:val="auto"/>
        </w:rPr>
      </w:pPr>
      <w:r>
        <w:rPr>
          <w:rFonts w:ascii="Arial" w:cs="Arial" w:eastAsia="Arial" w:hAnsi="Arial"/>
          <w:sz w:val="17"/>
          <w:szCs w:val="17"/>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7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49" w:lineRule="exact"/>
        <w:rPr>
          <w:sz w:val="20"/>
          <w:szCs w:val="20"/>
          <w:color w:val="auto"/>
        </w:rPr>
      </w:pPr>
    </w:p>
    <w:p>
      <w:pPr>
        <w:ind w:right="60" w:firstLine="749"/>
        <w:spacing w:after="0" w:line="258"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firstLine="749"/>
        <w:spacing w:after="0" w:line="245"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78"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78" w:lineRule="exact"/>
        <w:rPr>
          <w:sz w:val="20"/>
          <w:szCs w:val="20"/>
          <w:color w:val="auto"/>
        </w:rPr>
      </w:pPr>
    </w:p>
    <w:p>
      <w:pPr>
        <w:ind w:right="100" w:firstLine="749"/>
        <w:spacing w:after="0" w:line="249" w:lineRule="auto"/>
        <w:rPr>
          <w:sz w:val="20"/>
          <w:szCs w:val="20"/>
          <w:color w:val="auto"/>
        </w:rPr>
      </w:pPr>
      <w:r>
        <w:rPr>
          <w:rFonts w:ascii="Arial" w:cs="Arial" w:eastAsia="Arial" w:hAnsi="Arial"/>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74" w:lineRule="exact"/>
        <w:rPr>
          <w:sz w:val="20"/>
          <w:szCs w:val="20"/>
          <w:color w:val="auto"/>
        </w:rPr>
      </w:pPr>
    </w:p>
    <w:p>
      <w:pPr>
        <w:ind w:right="40" w:firstLine="749"/>
        <w:spacing w:after="0" w:line="276"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58" w:lineRule="exact"/>
        <w:rPr>
          <w:sz w:val="20"/>
          <w:szCs w:val="20"/>
          <w:color w:val="auto"/>
        </w:rPr>
      </w:pPr>
    </w:p>
    <w:p>
      <w:pPr>
        <w:ind w:right="40" w:firstLine="749"/>
        <w:spacing w:after="0" w:line="245"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9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3" w:lineRule="exact"/>
        <w:rPr>
          <w:sz w:val="20"/>
          <w:szCs w:val="20"/>
          <w:color w:val="auto"/>
        </w:rPr>
      </w:pPr>
    </w:p>
    <w:p>
      <w:pPr>
        <w:ind w:right="140" w:firstLine="749"/>
        <w:spacing w:after="0" w:line="275"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U.S. or foreign regulatory approval and, as a result, may be unable to commercialize our product candidates.</w:t>
      </w:r>
    </w:p>
    <w:p>
      <w:pPr>
        <w:spacing w:after="0" w:line="115" w:lineRule="exact"/>
        <w:rPr>
          <w:sz w:val="20"/>
          <w:szCs w:val="20"/>
          <w:color w:val="auto"/>
        </w:rPr>
      </w:pPr>
    </w:p>
    <w:p>
      <w:pPr>
        <w:ind w:right="100" w:firstLine="749"/>
        <w:spacing w:after="0" w:line="283" w:lineRule="auto"/>
        <w:rPr>
          <w:sz w:val="20"/>
          <w:szCs w:val="20"/>
          <w:color w:val="auto"/>
        </w:rPr>
      </w:pPr>
      <w:r>
        <w:rPr>
          <w:rFonts w:ascii="Arial" w:cs="Arial" w:eastAsia="Arial" w:hAnsi="Arial"/>
          <w:sz w:val="16"/>
          <w:szCs w:val="16"/>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48"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79"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81" w:lineRule="exact"/>
        <w:rPr>
          <w:sz w:val="20"/>
          <w:szCs w:val="20"/>
          <w:color w:val="auto"/>
        </w:rPr>
      </w:pPr>
    </w:p>
    <w:p>
      <w:pPr>
        <w:jc w:val="both"/>
        <w:ind w:right="20" w:firstLine="749"/>
        <w:spacing w:after="0" w:line="262"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78"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3" w:lineRule="exact"/>
        <w:rPr>
          <w:sz w:val="20"/>
          <w:szCs w:val="20"/>
          <w:color w:val="auto"/>
        </w:rPr>
      </w:pPr>
    </w:p>
    <w:p>
      <w:pPr>
        <w:ind w:right="80" w:firstLine="749"/>
        <w:spacing w:after="0" w:line="261" w:lineRule="auto"/>
        <w:rPr>
          <w:sz w:val="20"/>
          <w:szCs w:val="20"/>
          <w:color w:val="auto"/>
        </w:rPr>
      </w:pPr>
      <w:r>
        <w:rPr>
          <w:rFonts w:ascii="Arial" w:cs="Arial" w:eastAsia="Arial" w:hAnsi="Arial"/>
          <w:sz w:val="17"/>
          <w:szCs w:val="17"/>
          <w:color w:val="auto"/>
        </w:rPr>
        <w:t>We have conducted and still conduct clinical trials in the United States. We may choose to conduct additional clinical trials internationally, including a Phase 1b trial for ORIC-114 in South Korea and Australia.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68"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Brexit and uncertainty in the regulatory framework as well as future legislation in the UK,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8" w:name="page39"/>
    <w:bookmarkEnd w:id="38"/>
    <w:p>
      <w:pPr>
        <w:ind w:right="36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9" w:lineRule="exact"/>
        <w:rPr>
          <w:sz w:val="20"/>
          <w:szCs w:val="20"/>
          <w:color w:val="auto"/>
        </w:rPr>
      </w:pPr>
    </w:p>
    <w:p>
      <w:pPr>
        <w:ind w:firstLine="749"/>
        <w:spacing w:after="0" w:line="277"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56" w:lineRule="exact"/>
        <w:rPr>
          <w:sz w:val="20"/>
          <w:szCs w:val="20"/>
          <w:color w:val="auto"/>
        </w:rPr>
      </w:pPr>
    </w:p>
    <w:p>
      <w:pPr>
        <w:ind w:right="300" w:firstLine="749"/>
        <w:spacing w:after="0" w:line="268"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38"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74" w:lineRule="exact"/>
        <w:rPr>
          <w:sz w:val="20"/>
          <w:szCs w:val="20"/>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firstLine="749"/>
        <w:spacing w:after="0" w:line="249"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86" w:lineRule="exact"/>
        <w:rPr>
          <w:sz w:val="20"/>
          <w:szCs w:val="20"/>
          <w:color w:val="auto"/>
        </w:rPr>
      </w:pPr>
    </w:p>
    <w:p>
      <w:pPr>
        <w:ind w:right="560" w:firstLine="749"/>
        <w:spacing w:after="0" w:line="261"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ORIC-533 as a treatment for multiple myeloma,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80"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i w:val="1"/>
          <w:iCs w:val="1"/>
          <w:color w:val="auto"/>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69" w:lineRule="exact"/>
        <w:rPr>
          <w:sz w:val="20"/>
          <w:szCs w:val="20"/>
          <w:color w:val="auto"/>
        </w:rPr>
      </w:pPr>
    </w:p>
    <w:p>
      <w:pPr>
        <w:ind w:right="120" w:firstLine="749"/>
        <w:spacing w:after="0" w:line="257" w:lineRule="auto"/>
        <w:rPr>
          <w:sz w:val="20"/>
          <w:szCs w:val="20"/>
          <w:color w:val="auto"/>
        </w:rPr>
      </w:pPr>
      <w:r>
        <w:rPr>
          <w:rFonts w:ascii="Arial" w:cs="Arial" w:eastAsia="Arial" w:hAnsi="Arial"/>
          <w:sz w:val="17"/>
          <w:szCs w:val="17"/>
          <w:color w:val="auto"/>
        </w:rPr>
        <w:t>In connection with the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73" w:lineRule="exact"/>
        <w:rPr>
          <w:sz w:val="20"/>
          <w:szCs w:val="20"/>
          <w:color w:val="auto"/>
        </w:rPr>
      </w:pPr>
    </w:p>
    <w:p>
      <w:pPr>
        <w:ind w:firstLine="749"/>
        <w:spacing w:after="0" w:line="256" w:lineRule="auto"/>
        <w:rPr>
          <w:sz w:val="20"/>
          <w:szCs w:val="20"/>
          <w:color w:val="auto"/>
        </w:rPr>
      </w:pPr>
      <w:r>
        <w:rPr>
          <w:rFonts w:ascii="Arial" w:cs="Arial" w:eastAsia="Arial" w:hAnsi="Arial"/>
          <w:sz w:val="17"/>
          <w:szCs w:val="17"/>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right="140"/>
        <w:spacing w:after="0" w:line="276" w:lineRule="auto"/>
        <w:rPr>
          <w:sz w:val="20"/>
          <w:szCs w:val="20"/>
          <w:color w:val="auto"/>
        </w:rPr>
      </w:pPr>
      <w:r>
        <w:rPr>
          <w:rFonts w:ascii="Arial" w:cs="Arial" w:eastAsia="Arial" w:hAnsi="Arial"/>
          <w:sz w:val="16"/>
          <w:szCs w:val="16"/>
          <w:color w:val="auto"/>
        </w:rPr>
        <w:t>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5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2" w:lineRule="exact"/>
        <w:rPr>
          <w:sz w:val="20"/>
          <w:szCs w:val="20"/>
          <w:color w:val="auto"/>
        </w:rPr>
      </w:pPr>
    </w:p>
    <w:p>
      <w:pPr>
        <w:ind w:firstLine="749"/>
        <w:spacing w:after="0" w:line="261" w:lineRule="auto"/>
        <w:rPr>
          <w:sz w:val="20"/>
          <w:szCs w:val="20"/>
          <w:color w:val="auto"/>
        </w:rPr>
      </w:pPr>
      <w:r>
        <w:rPr>
          <w:rFonts w:ascii="Arial" w:cs="Arial" w:eastAsia="Arial" w:hAnsi="Arial"/>
          <w:sz w:val="17"/>
          <w:szCs w:val="17"/>
          <w:color w:val="auto"/>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51"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29" w:lineRule="exact"/>
        <w:rPr>
          <w:sz w:val="20"/>
          <w:szCs w:val="20"/>
          <w:color w:val="auto"/>
        </w:rPr>
      </w:pPr>
    </w:p>
    <w:p>
      <w:pPr>
        <w:ind w:right="20" w:firstLine="749"/>
        <w:spacing w:after="0" w:line="26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79" w:lineRule="exact"/>
        <w:rPr>
          <w:sz w:val="20"/>
          <w:szCs w:val="20"/>
          <w:color w:val="auto"/>
        </w:rPr>
      </w:pPr>
    </w:p>
    <w:p>
      <w:pPr>
        <w:ind w:right="120" w:firstLine="749"/>
        <w:spacing w:after="0" w:line="279"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67"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ind w:right="100"/>
        <w:spacing w:after="0" w:line="267" w:lineRule="auto"/>
        <w:rPr>
          <w:sz w:val="20"/>
          <w:szCs w:val="20"/>
          <w:color w:val="auto"/>
        </w:rPr>
      </w:pPr>
      <w:r>
        <w:rPr>
          <w:rFonts w:ascii="Arial" w:cs="Arial" w:eastAsia="Arial" w:hAnsi="Arial"/>
          <w:sz w:val="17"/>
          <w:szCs w:val="17"/>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0" w:lineRule="exact"/>
        <w:rPr>
          <w:sz w:val="20"/>
          <w:szCs w:val="20"/>
          <w:color w:val="auto"/>
        </w:rPr>
      </w:pPr>
    </w:p>
    <w:p>
      <w:pPr>
        <w:ind w:right="60" w:firstLine="749"/>
        <w:spacing w:after="0" w:line="275" w:lineRule="auto"/>
        <w:rPr>
          <w:sz w:val="20"/>
          <w:szCs w:val="20"/>
          <w:color w:val="auto"/>
        </w:rPr>
      </w:pPr>
      <w:r>
        <w:rPr>
          <w:rFonts w:ascii="Arial" w:cs="Arial" w:eastAsia="Arial" w:hAnsi="Arial"/>
          <w:sz w:val="16"/>
          <w:szCs w:val="16"/>
          <w:color w:val="auto"/>
        </w:rPr>
        <w:t>Where possible, we plan to pursue accelerated development strategies in areas of high unmet need. We may seek an accelerated approval pathway for our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54" w:lineRule="exact"/>
        <w:rPr>
          <w:sz w:val="20"/>
          <w:szCs w:val="20"/>
          <w:color w:val="auto"/>
        </w:rPr>
      </w:pPr>
    </w:p>
    <w:p>
      <w:pPr>
        <w:ind w:right="40" w:firstLine="749"/>
        <w:spacing w:after="0" w:line="276" w:lineRule="auto"/>
        <w:rPr>
          <w:sz w:val="20"/>
          <w:szCs w:val="20"/>
          <w:color w:val="auto"/>
        </w:rPr>
      </w:pPr>
      <w:r>
        <w:rPr>
          <w:rFonts w:ascii="Arial" w:cs="Arial" w:eastAsia="Arial" w:hAnsi="Arial"/>
          <w:sz w:val="16"/>
          <w:szCs w:val="16"/>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04" w:lineRule="exact"/>
        <w:rPr>
          <w:sz w:val="20"/>
          <w:szCs w:val="20"/>
          <w:color w:val="auto"/>
        </w:rPr>
      </w:pPr>
    </w:p>
    <w:p>
      <w:pPr>
        <w:ind w:right="120" w:firstLine="749"/>
        <w:spacing w:after="0" w:line="249"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w:t>
      </w:r>
    </w:p>
    <w:p>
      <w:pPr>
        <w:spacing w:after="0" w:line="1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For example, various portions of the ACA have been subject to legal and constitutional challenges in the Fifth Circuit Court and the United States Supreme Court. In June 2021, the United States Supreme Court held that Texas and other challengers had no legal standing to challenge the ACA, dismissing the case without specifically ruling on the constitutionality of the ACA. It is unclear how this Supreme Court decision,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84"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2031, with the exception of a temporary suspension implemented under various COVID-19 relief legislation from May 1, 2020 through March 31, 2022. Under current legislation, the reduction in Medicare payments varies from 1% in 2022 up to 4% in the final fiscal year of the sequester,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ind w:right="660"/>
        <w:spacing w:after="0" w:line="277" w:lineRule="auto"/>
        <w:rPr>
          <w:sz w:val="20"/>
          <w:szCs w:val="20"/>
          <w:color w:val="auto"/>
        </w:rPr>
      </w:pPr>
      <w:r>
        <w:rPr>
          <w:rFonts w:ascii="Arial" w:cs="Arial" w:eastAsia="Arial" w:hAnsi="Arial"/>
          <w:sz w:val="18"/>
          <w:szCs w:val="18"/>
          <w:color w:val="auto"/>
        </w:rPr>
        <w:t>years. These new laws may result in additional reductions in Medicare and other healthcare funding, which could have a material adverse effect on customers for our drugs, if approved, and accordingly, our financial operations.</w:t>
      </w:r>
    </w:p>
    <w:p>
      <w:pPr>
        <w:spacing w:after="0" w:line="49"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HHS and CMS issued final rules in November and December of 2020 that were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spacing w:after="0" w:line="60" w:lineRule="exact"/>
        <w:rPr>
          <w:sz w:val="20"/>
          <w:szCs w:val="20"/>
          <w:color w:val="auto"/>
        </w:rPr>
      </w:pPr>
    </w:p>
    <w:p>
      <w:pPr>
        <w:ind w:right="40" w:firstLine="749"/>
        <w:spacing w:after="0" w:line="277" w:lineRule="auto"/>
        <w:rPr>
          <w:sz w:val="20"/>
          <w:szCs w:val="20"/>
          <w:color w:val="auto"/>
        </w:rPr>
      </w:pPr>
      <w:r>
        <w:rPr>
          <w:rFonts w:ascii="Arial" w:cs="Arial" w:eastAsia="Arial" w:hAnsi="Arial"/>
          <w:sz w:val="16"/>
          <w:szCs w:val="16"/>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56" w:lineRule="exact"/>
        <w:rPr>
          <w:sz w:val="20"/>
          <w:szCs w:val="20"/>
          <w:color w:val="auto"/>
        </w:rPr>
      </w:pPr>
    </w:p>
    <w:p>
      <w:pPr>
        <w:ind w:right="60" w:firstLine="749"/>
        <w:spacing w:after="0" w:line="267"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0" w:lineRule="exact"/>
        <w:rPr>
          <w:sz w:val="20"/>
          <w:szCs w:val="20"/>
          <w:color w:val="auto"/>
        </w:rPr>
      </w:pPr>
    </w:p>
    <w:p>
      <w:pPr>
        <w:ind w:right="80" w:firstLine="749"/>
        <w:spacing w:after="0" w:line="263"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63" w:lineRule="exact"/>
        <w:rPr>
          <w:sz w:val="20"/>
          <w:szCs w:val="20"/>
          <w:color w:val="auto"/>
        </w:rPr>
      </w:pPr>
    </w:p>
    <w:p>
      <w:pPr>
        <w:ind w:right="60" w:firstLine="749"/>
        <w:spacing w:after="0" w:line="248" w:lineRule="auto"/>
        <w:rPr>
          <w:sz w:val="20"/>
          <w:szCs w:val="20"/>
          <w:color w:val="auto"/>
        </w:rPr>
      </w:pPr>
      <w:r>
        <w:rPr>
          <w:rFonts w:ascii="Arial" w:cs="Arial" w:eastAsia="Arial" w:hAnsi="Arial"/>
          <w:sz w:val="16"/>
          <w:szCs w:val="16"/>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w:t>
      </w:r>
    </w:p>
    <w:p>
      <w:pPr>
        <w:jc w:val="both"/>
        <w:ind w:right="100"/>
        <w:spacing w:after="0" w:line="228" w:lineRule="auto"/>
        <w:rPr>
          <w:sz w:val="20"/>
          <w:szCs w:val="20"/>
          <w:color w:val="auto"/>
        </w:rPr>
      </w:pPr>
      <w:r>
        <w:rPr>
          <w:rFonts w:ascii="Arial" w:cs="Arial" w:eastAsia="Arial" w:hAnsi="Arial"/>
          <w:sz w:val="18"/>
          <w:szCs w:val="18"/>
          <w:color w:val="auto"/>
        </w:rPr>
        <w:t>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69" w:lineRule="exact"/>
        <w:rPr>
          <w:sz w:val="20"/>
          <w:szCs w:val="20"/>
          <w:color w:val="auto"/>
        </w:rPr>
      </w:pPr>
    </w:p>
    <w:p>
      <w:pPr>
        <w:ind w:right="60" w:firstLine="749"/>
        <w:spacing w:after="0" w:line="246" w:lineRule="auto"/>
        <w:rPr>
          <w:sz w:val="20"/>
          <w:szCs w:val="20"/>
          <w:color w:val="auto"/>
        </w:rPr>
      </w:pPr>
      <w:r>
        <w:rPr>
          <w:rFonts w:ascii="Arial" w:cs="Arial" w:eastAsia="Arial" w:hAnsi="Arial"/>
          <w:sz w:val="18"/>
          <w:szCs w:val="18"/>
          <w:color w:val="auto"/>
        </w:rPr>
        <w:t>Additionally, the collection and use of health data in the European Union is governed by the General Data Protection Regulation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 Member States may result in fines up to €20,000,000 or up to 4% of the total worldwide annual turnover of the preceding financial year, whichever is higher, and other administrative penalties. The GDPR may increase our responsibility and liability in relation to personal data that we may process, and we may be required to put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ind w:right="140"/>
        <w:spacing w:after="0" w:line="283" w:lineRule="auto"/>
        <w:rPr>
          <w:sz w:val="20"/>
          <w:szCs w:val="20"/>
          <w:color w:val="auto"/>
        </w:rPr>
      </w:pPr>
      <w:r>
        <w:rPr>
          <w:rFonts w:ascii="Arial" w:cs="Arial" w:eastAsia="Arial" w:hAnsi="Arial"/>
          <w:sz w:val="16"/>
          <w:szCs w:val="16"/>
          <w:color w:val="auto"/>
        </w:rPr>
        <w:t>place additional mechanisms in an effort to comply with the GDPR. This may be onerous and if our efforts to comply with GDPR or other applicable European Union laws and regulations are not successful, it could adversely affect our business in the European Union. Further, the European Court of Justice (ECJ) in 2020 invalidated the EU-U.S. Privacy Shield, which had enabled the transfer of personal data from the EU to the U.S. for companies that had self-certified to the Privacy Shield. To the extent that we were to rely on Privacy Shield, we will not be able to do so in the future, and the ECJ’s decision otherwise may impose additional obligations with respect to the transfer of personal data from the EU to the U.S., each of which could increase our costs and obligations and impose limitations upon our ability to efficiently transfer personal data from the EU to the U.S.</w:t>
      </w:r>
    </w:p>
    <w:p>
      <w:pPr>
        <w:spacing w:after="0" w:line="48" w:lineRule="exact"/>
        <w:rPr>
          <w:sz w:val="20"/>
          <w:szCs w:val="20"/>
          <w:color w:val="auto"/>
        </w:rPr>
      </w:pPr>
    </w:p>
    <w:p>
      <w:pPr>
        <w:ind w:right="80" w:firstLine="749"/>
        <w:spacing w:after="0" w:line="261" w:lineRule="auto"/>
        <w:rPr>
          <w:sz w:val="20"/>
          <w:szCs w:val="20"/>
          <w:color w:val="auto"/>
        </w:rPr>
      </w:pPr>
      <w:r>
        <w:rPr>
          <w:rFonts w:ascii="Arial" w:cs="Arial" w:eastAsia="Arial" w:hAnsi="Arial"/>
          <w:sz w:val="17"/>
          <w:szCs w:val="17"/>
          <w:color w:val="auto"/>
        </w:rPr>
        <w:t>Further, the exit from the EU of the United Kingdom (UK), often referred to as Brexit, has created uncertainty regarding data protection regulation in the UK. In particular, while the UK has implemented legislation that implements and complements the GDPR, with penalties for noncompliance of up to the greater of £17.5 million or four percent of worldwide revenues, aspects of data protection regulation in the UK, including with respect to cross-border data transfers, remain unclear in the medium to longer term following Brexit. The UK’s relationship with the EU may require us to incur significant costs and expenses in an effort to comply with distinct privacy and data protection requirements in the EU and UK. More generally, we may incur liabilities, expenses, costs, and other operational losses under GDPR and the privacy and data protection laws of applicable EU member states and the United Kingdom in connection with any measures we take to comply with them.</w:t>
      </w:r>
    </w:p>
    <w:p>
      <w:pPr>
        <w:spacing w:after="0" w:line="64"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Additionally, the California Privacy Rights Act (CPRA) was approved by California voters in November 2020. The CPRA significantly modified the CCPA, which may require us to modify our practices and policies and may further increase our compliance costs and potential liability. Some observers note that the CCPA could mark the beginning of a trend toward more stringent privacy legislation in the U.S., which could increase our potential liability and adversely affect our business. In addition to the CCPA, numerous other states’ legislatures are considering similar laws that will require ongoing compliance efforts and investment. For example, in March 2021, Virginia enacted a Consumer Data Protection Act that will go into effect on January 1, 2023; in June 2021, Colorado enacted a Colorado Privacy Act that will go into effect on July 1, 2023; in March 2022, Utah enacted a Utah Consumer Privacy Act that will go into effect December 31, 2023; and in May 2022, Connecticut enacted An Act Concerning Personal Data Privacy and Online Monitoring that will take effect on July 1, 2023. All of these new state laws share similarities with the CCPA, CPRA, and legislation proposed in other states. Complying with emerging and changing legal and regulatory requirements relating to privacy, data protection and other matters may cause us to incur costs or require us to change our business practices, which could harm our business, financial condition, and results of operations and prospects.</w:t>
      </w:r>
    </w:p>
    <w:p>
      <w:pPr>
        <w:spacing w:after="0" w:line="67" w:lineRule="exact"/>
        <w:rPr>
          <w:sz w:val="20"/>
          <w:szCs w:val="20"/>
          <w:color w:val="auto"/>
        </w:rPr>
      </w:pPr>
    </w:p>
    <w:p>
      <w:pPr>
        <w:ind w:right="280"/>
        <w:spacing w:after="0" w:line="331"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 w:lineRule="exact"/>
        <w:rPr>
          <w:sz w:val="20"/>
          <w:szCs w:val="20"/>
          <w:color w:val="auto"/>
        </w:rPr>
      </w:pPr>
    </w:p>
    <w:p>
      <w:pPr>
        <w:ind w:right="160" w:firstLine="749"/>
        <w:spacing w:after="0" w:line="24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91"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postponed most inspections of foreign manufacturing facilities and routine surveillance inspections of domestic manufacturing facilities in 2020. In May 2021, the FDA issued an updated guidance on manufacturing, supply chain, and drug and biological product inspections, indicating that it intends to continue using other tools and approaches where possible for pre-approval inspections, and that it will continue to conduct "mission-critical" inspections on a case-by-case basis, or, where possible to do so safely, resume prioritized domestic inspections, such as pre-approval and surveillance inspections. If a prolonged government shutdown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4" w:name="page45"/>
    <w:bookmarkEnd w:id="44"/>
    <w:p>
      <w:pPr>
        <w:ind w:right="240"/>
        <w:spacing w:after="0" w:line="277" w:lineRule="auto"/>
        <w:rPr>
          <w:sz w:val="20"/>
          <w:szCs w:val="20"/>
          <w:color w:val="auto"/>
        </w:rPr>
      </w:pPr>
      <w:r>
        <w:rPr>
          <w:rFonts w:ascii="Arial" w:cs="Arial" w:eastAsia="Arial" w:hAnsi="Arial"/>
          <w:sz w:val="18"/>
          <w:szCs w:val="18"/>
          <w:color w:val="auto"/>
        </w:rPr>
        <w:t>company, future government shutdowns could impact our ability to access the public markets and obtain necessary capital in order to properly capitalize and continue our operations.</w:t>
      </w:r>
    </w:p>
    <w:p>
      <w:pPr>
        <w:spacing w:after="0" w:line="35" w:lineRule="exact"/>
        <w:rPr>
          <w:sz w:val="20"/>
          <w:szCs w:val="20"/>
          <w:color w:val="auto"/>
        </w:rPr>
      </w:pPr>
    </w:p>
    <w:p>
      <w:pPr>
        <w:spacing w:after="0" w:line="274" w:lineRule="auto"/>
        <w:rPr>
          <w:sz w:val="20"/>
          <w:szCs w:val="20"/>
          <w:color w:val="auto"/>
        </w:rPr>
      </w:pPr>
      <w:r>
        <w:rPr>
          <w:rFonts w:ascii="Arial" w:cs="Arial" w:eastAsia="Arial" w:hAnsi="Arial"/>
          <w:sz w:val="15"/>
          <w:szCs w:val="15"/>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w:t>
      </w:r>
    </w:p>
    <w:p>
      <w:pPr>
        <w:ind w:right="100"/>
        <w:spacing w:after="0" w:line="253" w:lineRule="auto"/>
        <w:rPr>
          <w:sz w:val="20"/>
          <w:szCs w:val="20"/>
          <w:color w:val="auto"/>
        </w:rPr>
      </w:pPr>
      <w:r>
        <w:rPr>
          <w:rFonts w:ascii="Arial" w:cs="Arial" w:eastAsia="Arial" w:hAnsi="Arial"/>
          <w:sz w:val="15"/>
          <w:szCs w:val="15"/>
          <w:b w:val="1"/>
          <w:bCs w:val="1"/>
          <w:i w:val="1"/>
          <w:iCs w:val="1"/>
          <w:color w:val="auto"/>
        </w:rPr>
        <w:t>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 future earnings.</w:t>
      </w:r>
    </w:p>
    <w:p>
      <w:pPr>
        <w:spacing w:after="0" w:line="88" w:lineRule="exact"/>
        <w:rPr>
          <w:sz w:val="20"/>
          <w:szCs w:val="20"/>
          <w:color w:val="auto"/>
        </w:rPr>
      </w:pPr>
    </w:p>
    <w:p>
      <w:pPr>
        <w:ind w:right="100" w:firstLine="749"/>
        <w:spacing w:after="0" w:line="263"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49" w:lineRule="exact"/>
        <w:rPr>
          <w:sz w:val="20"/>
          <w:szCs w:val="20"/>
          <w:color w:val="auto"/>
        </w:rPr>
      </w:pPr>
    </w:p>
    <w:p>
      <w:pPr>
        <w:ind w:left="1260" w:right="60" w:hanging="503"/>
        <w:spacing w:after="0" w:line="231"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67" w:lineRule="exact"/>
        <w:rPr>
          <w:rFonts w:ascii="Arial" w:cs="Arial" w:eastAsia="Arial" w:hAnsi="Arial"/>
          <w:sz w:val="18"/>
          <w:szCs w:val="18"/>
          <w:color w:val="auto"/>
        </w:rPr>
      </w:pPr>
    </w:p>
    <w:p>
      <w:pPr>
        <w:ind w:left="1260" w:right="120" w:hanging="503"/>
        <w:spacing w:after="0" w:line="227"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67" w:lineRule="exact"/>
        <w:rPr>
          <w:rFonts w:ascii="Arial" w:cs="Arial" w:eastAsia="Arial" w:hAnsi="Arial"/>
          <w:sz w:val="18"/>
          <w:szCs w:val="18"/>
          <w:color w:val="auto"/>
        </w:rPr>
      </w:pPr>
    </w:p>
    <w:p>
      <w:pPr>
        <w:ind w:left="1260" w:right="40" w:hanging="503"/>
        <w:spacing w:after="0" w:line="235"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HIPAA, prohibits, among other things, executing or attempting to execute a scheme to defraud any healthcare benefit program or making false statements relating to healthcare matters;</w:t>
      </w:r>
    </w:p>
    <w:p>
      <w:pPr>
        <w:spacing w:after="0" w:line="67" w:lineRule="exact"/>
        <w:rPr>
          <w:rFonts w:ascii="Arial" w:cs="Arial" w:eastAsia="Arial" w:hAnsi="Arial"/>
          <w:sz w:val="18"/>
          <w:szCs w:val="18"/>
          <w:color w:val="auto"/>
        </w:rPr>
      </w:pPr>
    </w:p>
    <w:p>
      <w:pPr>
        <w:ind w:left="1260" w:right="340" w:hanging="503"/>
        <w:spacing w:after="0" w:line="266" w:lineRule="auto"/>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48" w:lineRule="exact"/>
        <w:rPr>
          <w:rFonts w:ascii="Arial" w:cs="Arial" w:eastAsia="Arial" w:hAnsi="Arial"/>
          <w:sz w:val="16"/>
          <w:szCs w:val="16"/>
          <w:color w:val="auto"/>
        </w:rPr>
      </w:pPr>
    </w:p>
    <w:p>
      <w:pPr>
        <w:ind w:left="1260" w:right="20" w:hanging="503"/>
        <w:spacing w:after="0" w:line="246"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spacing w:after="0" w:line="77" w:lineRule="exact"/>
        <w:rPr>
          <w:rFonts w:ascii="Arial" w:cs="Arial" w:eastAsia="Arial" w:hAnsi="Arial"/>
          <w:sz w:val="18"/>
          <w:szCs w:val="18"/>
          <w:color w:val="auto"/>
        </w:rPr>
      </w:pPr>
    </w:p>
    <w:p>
      <w:pPr>
        <w:ind w:left="1260" w:right="20" w:hanging="503"/>
        <w:spacing w:after="0" w:line="259" w:lineRule="auto"/>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1" w:lineRule="exact"/>
        <w:rPr>
          <w:sz w:val="20"/>
          <w:szCs w:val="20"/>
          <w:color w:val="auto"/>
        </w:rPr>
      </w:pPr>
    </w:p>
    <w:p>
      <w:pPr>
        <w:ind w:right="160" w:firstLine="749"/>
        <w:spacing w:after="0" w:line="276"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5" w:name="page46"/>
    <w:bookmarkEnd w:id="45"/>
    <w:p>
      <w:pPr>
        <w:ind w:right="220"/>
        <w:spacing w:after="0" w:line="277" w:lineRule="auto"/>
        <w:rPr>
          <w:sz w:val="20"/>
          <w:szCs w:val="20"/>
          <w:color w:val="auto"/>
        </w:rPr>
      </w:pPr>
      <w:r>
        <w:rPr>
          <w:rFonts w:ascii="Arial" w:cs="Arial" w:eastAsia="Arial" w:hAnsi="Arial"/>
          <w:sz w:val="18"/>
          <w:szCs w:val="18"/>
          <w:color w:val="auto"/>
        </w:rPr>
        <w:t>providers or entities with whom we expect to do business is found to be not in compliance with applicable laws, they may be subject to criminal, civil or administrative sanctions, including exclusions from government funded healthcare programs.</w:t>
      </w:r>
    </w:p>
    <w:p>
      <w:pPr>
        <w:spacing w:after="0" w:line="49"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2" w:lineRule="exact"/>
        <w:rPr>
          <w:sz w:val="20"/>
          <w:szCs w:val="20"/>
          <w:color w:val="auto"/>
        </w:rPr>
      </w:pPr>
    </w:p>
    <w:p>
      <w:pPr>
        <w:ind w:firstLine="749"/>
        <w:spacing w:after="0" w:line="256" w:lineRule="auto"/>
        <w:rPr>
          <w:sz w:val="20"/>
          <w:szCs w:val="20"/>
          <w:color w:val="auto"/>
        </w:rPr>
      </w:pPr>
      <w:r>
        <w:rPr>
          <w:rFonts w:ascii="Arial" w:cs="Arial" w:eastAsia="Arial" w:hAnsi="Arial"/>
          <w:sz w:val="17"/>
          <w:szCs w:val="17"/>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5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If we fail to comply with other U.S. healthcare laws and compliance requirements, we could become subject to fines or penalties or incur costs that could have a material adverse effect on our business.</w:t>
      </w:r>
    </w:p>
    <w:p>
      <w:pPr>
        <w:spacing w:after="0" w:line="75" w:lineRule="exact"/>
        <w:rPr>
          <w:sz w:val="20"/>
          <w:szCs w:val="20"/>
          <w:color w:val="auto"/>
        </w:rPr>
      </w:pPr>
    </w:p>
    <w:p>
      <w:pPr>
        <w:ind w:right="160" w:firstLine="749"/>
        <w:spacing w:after="0" w:line="244" w:lineRule="auto"/>
        <w:rPr>
          <w:sz w:val="20"/>
          <w:szCs w:val="20"/>
          <w:color w:val="auto"/>
        </w:rPr>
      </w:pPr>
      <w:r>
        <w:rPr>
          <w:rFonts w:ascii="Arial" w:cs="Arial" w:eastAsia="Arial" w:hAnsi="Arial"/>
          <w:sz w:val="18"/>
          <w:szCs w:val="18"/>
          <w:color w:val="auto"/>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79"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3" w:lineRule="exact"/>
        <w:rPr>
          <w:sz w:val="20"/>
          <w:szCs w:val="20"/>
          <w:color w:val="auto"/>
        </w:rPr>
      </w:pPr>
    </w:p>
    <w:p>
      <w:pPr>
        <w:ind w:right="80" w:firstLine="749"/>
        <w:spacing w:after="0" w:line="249" w:lineRule="auto"/>
        <w:rPr>
          <w:sz w:val="20"/>
          <w:szCs w:val="20"/>
          <w:color w:val="auto"/>
        </w:rPr>
      </w:pPr>
      <w:r>
        <w:rPr>
          <w:rFonts w:ascii="Arial" w:cs="Arial" w:eastAsia="Arial" w:hAnsi="Arial"/>
          <w:sz w:val="18"/>
          <w:szCs w:val="18"/>
          <w:color w:val="auto"/>
        </w:rPr>
        <w:t>Additionally, the intent standard under the federal Anti-Kickback Statute was amended by the ACA,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implicated. In addition, the ACA codified case law that a claim that includes items or services resulting from a violation of the federal Anti-Kickback Statute constitutes a false or fraudulent claim for purposes of the federal civil False Claims Act (discussed below).</w:t>
      </w:r>
    </w:p>
    <w:p>
      <w:pPr>
        <w:spacing w:after="0" w:line="74" w:lineRule="exact"/>
        <w:rPr>
          <w:sz w:val="20"/>
          <w:szCs w:val="20"/>
          <w:color w:val="auto"/>
        </w:rPr>
      </w:pPr>
    </w:p>
    <w:p>
      <w:pPr>
        <w:jc w:val="both"/>
        <w:ind w:right="120" w:firstLine="749"/>
        <w:spacing w:after="0" w:line="256"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6" w:name="page47"/>
    <w:bookmarkEnd w:id="46"/>
    <w:p>
      <w:pPr>
        <w:ind w:right="20" w:firstLine="749"/>
        <w:spacing w:after="0" w:line="261"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68"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79"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76"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7"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covered recipients, including physicians (defined to include doctors, dentists, optometrists, podiatrists and chiropractors), certain non-physician healthcare providers (such as physician assistants and nurse practitioners) and teaching hospitals, or to entities or individuals at the request of, or designated on behalf of, such covered recipients, and to report annually certain ownership and investment interests held by physicians and their immediate family members.</w:t>
      </w:r>
    </w:p>
    <w:p>
      <w:pPr>
        <w:spacing w:after="0" w:line="53" w:lineRule="exact"/>
        <w:rPr>
          <w:sz w:val="20"/>
          <w:szCs w:val="20"/>
          <w:color w:val="auto"/>
        </w:rPr>
      </w:pPr>
    </w:p>
    <w:p>
      <w:pPr>
        <w:ind w:right="140" w:firstLine="749"/>
        <w:spacing w:after="0" w:line="267"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60" w:lineRule="exact"/>
        <w:rPr>
          <w:sz w:val="20"/>
          <w:szCs w:val="20"/>
          <w:color w:val="auto"/>
        </w:rPr>
      </w:pPr>
    </w:p>
    <w:p>
      <w:pPr>
        <w:ind w:right="60" w:firstLine="749"/>
        <w:spacing w:after="0" w:line="259" w:lineRule="auto"/>
        <w:rPr>
          <w:sz w:val="20"/>
          <w:szCs w:val="20"/>
          <w:color w:val="auto"/>
        </w:rPr>
      </w:pPr>
      <w:r>
        <w:rPr>
          <w:rFonts w:ascii="Arial" w:cs="Arial" w:eastAsia="Arial" w:hAnsi="Arial"/>
          <w:sz w:val="17"/>
          <w:szCs w:val="17"/>
          <w:color w:val="auto"/>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67" w:lineRule="exact"/>
        <w:rPr>
          <w:sz w:val="20"/>
          <w:szCs w:val="20"/>
          <w:color w:val="auto"/>
        </w:rPr>
      </w:pPr>
    </w:p>
    <w:p>
      <w:pPr>
        <w:ind w:right="120" w:firstLine="749"/>
        <w:spacing w:after="0" w:line="280"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ind w:right="20"/>
        <w:spacing w:after="0" w:line="256" w:lineRule="auto"/>
        <w:rPr>
          <w:sz w:val="20"/>
          <w:szCs w:val="20"/>
          <w:color w:val="auto"/>
        </w:rPr>
      </w:pPr>
      <w:r>
        <w:rPr>
          <w:rFonts w:ascii="Arial" w:cs="Arial" w:eastAsia="Arial" w:hAnsi="Arial"/>
          <w:sz w:val="18"/>
          <w:szCs w:val="18"/>
          <w:color w:val="auto"/>
        </w:rPr>
        <w:t>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5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75" w:lineRule="exact"/>
        <w:rPr>
          <w:sz w:val="20"/>
          <w:szCs w:val="20"/>
          <w:color w:val="auto"/>
        </w:rPr>
      </w:pPr>
    </w:p>
    <w:p>
      <w:pPr>
        <w:ind w:right="20" w:firstLine="749"/>
        <w:spacing w:after="0" w:line="26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right="120" w:firstLine="749"/>
        <w:spacing w:after="0" w:line="24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3" w:lineRule="exact"/>
        <w:rPr>
          <w:sz w:val="20"/>
          <w:szCs w:val="20"/>
          <w:color w:val="auto"/>
        </w:rPr>
      </w:pPr>
    </w:p>
    <w:p>
      <w:pPr>
        <w:ind w:firstLine="749"/>
        <w:spacing w:after="0" w:line="256"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activities may be subject to the U.S. Foreign Corrupt Practices Act (FCPA) and similar anti-bribery and anti-corruption laws of other</w:t>
      </w:r>
    </w:p>
    <w:p>
      <w:pPr>
        <w:spacing w:after="0" w:line="21"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b w:val="1"/>
          <w:bCs w:val="1"/>
          <w:i w:val="1"/>
          <w:iCs w:val="1"/>
          <w:color w:val="auto"/>
        </w:rPr>
        <w:t>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59" w:lineRule="exact"/>
        <w:rPr>
          <w:sz w:val="20"/>
          <w:szCs w:val="20"/>
          <w:color w:val="auto"/>
        </w:rPr>
      </w:pPr>
    </w:p>
    <w:p>
      <w:pPr>
        <w:ind w:right="60" w:firstLine="749"/>
        <w:spacing w:after="0" w:line="275"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54" w:lineRule="exact"/>
        <w:rPr>
          <w:sz w:val="20"/>
          <w:szCs w:val="20"/>
          <w:color w:val="auto"/>
        </w:rPr>
      </w:pPr>
    </w:p>
    <w:p>
      <w:pPr>
        <w:ind w:right="60" w:firstLine="749"/>
        <w:spacing w:after="0" w:line="276" w:lineRule="auto"/>
        <w:rPr>
          <w:sz w:val="20"/>
          <w:szCs w:val="20"/>
          <w:color w:val="auto"/>
        </w:rPr>
      </w:pPr>
      <w:r>
        <w:rPr>
          <w:rFonts w:ascii="Arial" w:cs="Arial" w:eastAsia="Arial" w:hAnsi="Arial"/>
          <w:sz w:val="16"/>
          <w:szCs w:val="16"/>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California laws or Nasdaq rules governing the diversity of our board of directors, we could be exposed to financial penalties and suffer reputational harm.</w:t>
      </w:r>
    </w:p>
    <w:p>
      <w:pPr>
        <w:spacing w:after="0" w:line="49" w:lineRule="exact"/>
        <w:rPr>
          <w:sz w:val="20"/>
          <w:szCs w:val="20"/>
          <w:color w:val="auto"/>
        </w:rPr>
      </w:pPr>
    </w:p>
    <w:p>
      <w:pPr>
        <w:ind w:right="220" w:firstLine="749"/>
        <w:spacing w:after="0" w:line="256" w:lineRule="auto"/>
        <w:rPr>
          <w:sz w:val="20"/>
          <w:szCs w:val="20"/>
          <w:color w:val="auto"/>
        </w:rPr>
      </w:pPr>
      <w:r>
        <w:rPr>
          <w:rFonts w:ascii="Arial" w:cs="Arial" w:eastAsia="Arial" w:hAnsi="Arial"/>
          <w:sz w:val="18"/>
          <w:szCs w:val="18"/>
          <w:color w:val="auto"/>
        </w:rPr>
        <w:t>In September 2018, California’s Senate Bill 826 was signed into law. Senate Bill 826 generally requires that a public company with a principal executive office in California have a minimum number of females on its board of directors, with such minimum number dependent on the size of such board of directors. By December 31, 2019, each public company with a principal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jc w:val="both"/>
        <w:ind w:right="120"/>
        <w:spacing w:after="0" w:line="278" w:lineRule="auto"/>
        <w:rPr>
          <w:sz w:val="20"/>
          <w:szCs w:val="20"/>
          <w:color w:val="auto"/>
        </w:rPr>
      </w:pPr>
      <w:r>
        <w:rPr>
          <w:rFonts w:ascii="Arial" w:cs="Arial" w:eastAsia="Arial" w:hAnsi="Arial"/>
          <w:sz w:val="17"/>
          <w:szCs w:val="17"/>
          <w:color w:val="auto"/>
        </w:rPr>
        <w:t>executive office in California was required to have at least one female on its board of directors. On May 13, 2022, the Los Angeles County Superior Court in California found that Senate Bill 826 violated California’s Constitution and ruled that the State is precluded from enforcing the law with taxpayer funds or resources. This ruling may be appealed, but the injunction against enforcement will remain in place during potential appeals.</w:t>
      </w:r>
    </w:p>
    <w:p>
      <w:pPr>
        <w:spacing w:after="0" w:line="50" w:lineRule="exact"/>
        <w:rPr>
          <w:sz w:val="20"/>
          <w:szCs w:val="20"/>
          <w:color w:val="auto"/>
        </w:rPr>
      </w:pPr>
    </w:p>
    <w:p>
      <w:pPr>
        <w:ind w:firstLine="794"/>
        <w:spacing w:after="0" w:line="249" w:lineRule="auto"/>
        <w:rPr>
          <w:sz w:val="20"/>
          <w:szCs w:val="20"/>
          <w:color w:val="auto"/>
        </w:rPr>
      </w:pPr>
      <w:r>
        <w:rPr>
          <w:rFonts w:ascii="Arial" w:cs="Arial" w:eastAsia="Arial" w:hAnsi="Arial"/>
          <w:sz w:val="18"/>
          <w:szCs w:val="18"/>
          <w:color w:val="auto"/>
        </w:rPr>
        <w:t>Additionally, in September 2020, Assembly Bill 979 was signed into law. Assembly Bill 979 generally required that a public company with a principal executive office in California have a minimum number of directors from underrepresented communities, with such minimum number dependent on the size of such board of directors. On April 1, 2022, the Los Angeles County Superior Court in California found that Assembly Bill 979 violated California’s Constitution and ruled that the State is precluded from enforcing the law with taxpayer funds or resources. This ruling may be appealed, but the injunction against enforcement will remain in place during potential appeals.</w:t>
      </w:r>
    </w:p>
    <w:p>
      <w:pPr>
        <w:spacing w:after="0" w:line="74" w:lineRule="exact"/>
        <w:rPr>
          <w:sz w:val="20"/>
          <w:szCs w:val="20"/>
          <w:color w:val="auto"/>
        </w:rPr>
      </w:pPr>
    </w:p>
    <w:p>
      <w:pPr>
        <w:ind w:right="80" w:firstLine="749"/>
        <w:spacing w:after="0" w:line="259" w:lineRule="auto"/>
        <w:rPr>
          <w:sz w:val="20"/>
          <w:szCs w:val="20"/>
          <w:color w:val="auto"/>
        </w:rPr>
      </w:pPr>
      <w:r>
        <w:rPr>
          <w:rFonts w:ascii="Arial" w:cs="Arial" w:eastAsia="Arial" w:hAnsi="Arial"/>
          <w:sz w:val="17"/>
          <w:szCs w:val="17"/>
          <w:color w:val="auto"/>
        </w:rPr>
        <w:t>In addition, in December 2020, Nasdaq announced that it filed with the SEC a proposal to advance board diversity and enhance transparency of board diversity statistics through new listing requirements. In August 2021, the SEC approved Nasdaq's proposal, which requires certain Nasdaq-listed companies to annually disclose diversity statistics regarding their directors’ voluntary self-identified characteristics and include at least two diverse directors on their boards of directors or publicly disclose why their boards of directors do not include diverse directors. Under the rule, a diverse director is someone who self-identifies either as female, Black or African American, Hispanic or Latinx, Asian, Native American or Alaska Native, Native Hawaiian or Pacific Islander, or two or more races or ethnicities, or lesbian, gay, bisexual, transgender or a member of the queer community. Under a phase-in period for companies listed on the Nasdaq Global Select Market, this disclosure requirement would require one diverse director two years after rule adoption and two diverse directors four years after rule adoption.</w:t>
      </w:r>
    </w:p>
    <w:p>
      <w:pPr>
        <w:spacing w:after="0" w:line="67" w:lineRule="exact"/>
        <w:rPr>
          <w:sz w:val="20"/>
          <w:szCs w:val="20"/>
          <w:color w:val="auto"/>
        </w:rPr>
      </w:pPr>
    </w:p>
    <w:p>
      <w:pPr>
        <w:ind w:right="20" w:firstLine="749"/>
        <w:spacing w:after="0" w:line="246" w:lineRule="auto"/>
        <w:rPr>
          <w:sz w:val="20"/>
          <w:szCs w:val="20"/>
          <w:color w:val="auto"/>
        </w:rPr>
      </w:pPr>
      <w:r>
        <w:rPr>
          <w:rFonts w:ascii="Arial" w:cs="Arial" w:eastAsia="Arial" w:hAnsi="Arial"/>
          <w:sz w:val="18"/>
          <w:szCs w:val="18"/>
          <w:color w:val="auto"/>
        </w:rPr>
        <w:t>Our board of directors currently includes three female directors and two directors from an underrepresented community. Based on the current composition of our board of directors we would be in compliance with Senate Bill 826 and Assembly Bill 979 should either law be appealed and reinstated. In addition, under the Nasdaq diversity rule, if our current or future diverse directors no longer serve on our board of directors we could be out of compliance with Nasdaq. Additionally, we cannot guarantee that we can recruit, attract and/or retain qualified members of the board of directors and meet gender and diversity requirements under California law (if appealed and reinstated) or the Nasdaq rule, which may expose us to financial penalties and adversely affect our reputation.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04" w:lineRule="exact"/>
        <w:rPr>
          <w:sz w:val="20"/>
          <w:szCs w:val="20"/>
          <w:color w:val="auto"/>
        </w:rPr>
      </w:pPr>
    </w:p>
    <w:p>
      <w:pPr>
        <w:ind w:right="20" w:firstLine="749"/>
        <w:spacing w:after="0" w:line="260"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79" w:lineRule="exact"/>
        <w:rPr>
          <w:sz w:val="20"/>
          <w:szCs w:val="20"/>
          <w:color w:val="auto"/>
        </w:rPr>
      </w:pPr>
    </w:p>
    <w:p>
      <w:pPr>
        <w:ind w:right="60" w:firstLine="749"/>
        <w:spacing w:after="0" w:line="263"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3" w:lineRule="exact"/>
        <w:rPr>
          <w:sz w:val="20"/>
          <w:szCs w:val="20"/>
          <w:color w:val="auto"/>
        </w:rPr>
      </w:pPr>
    </w:p>
    <w:p>
      <w:pPr>
        <w:ind w:right="60" w:firstLine="749"/>
        <w:spacing w:after="0" w:line="261" w:lineRule="auto"/>
        <w:rPr>
          <w:sz w:val="20"/>
          <w:szCs w:val="20"/>
          <w:color w:val="auto"/>
        </w:rPr>
      </w:pPr>
      <w:r>
        <w:rPr>
          <w:rFonts w:ascii="Arial" w:cs="Arial" w:eastAsia="Arial" w:hAnsi="Arial"/>
          <w:sz w:val="17"/>
          <w:szCs w:val="17"/>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49" w:lineRule="exact"/>
        <w:rPr>
          <w:sz w:val="20"/>
          <w:szCs w:val="20"/>
          <w:color w:val="auto"/>
        </w:rPr>
      </w:pPr>
    </w:p>
    <w:p>
      <w:pPr>
        <w:ind w:right="80" w:firstLine="749"/>
        <w:spacing w:after="0" w:line="249"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ind w:right="40" w:firstLine="749"/>
        <w:spacing w:after="0" w:line="275" w:lineRule="auto"/>
        <w:rPr>
          <w:sz w:val="20"/>
          <w:szCs w:val="20"/>
          <w:color w:val="auto"/>
        </w:rPr>
      </w:pPr>
      <w:r>
        <w:rPr>
          <w:rFonts w:ascii="Arial" w:cs="Arial" w:eastAsia="Arial" w:hAnsi="Arial"/>
          <w:sz w:val="16"/>
          <w:szCs w:val="16"/>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7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3" w:lineRule="exact"/>
        <w:rPr>
          <w:sz w:val="20"/>
          <w:szCs w:val="20"/>
          <w:color w:val="auto"/>
        </w:rPr>
      </w:pPr>
    </w:p>
    <w:p>
      <w:pPr>
        <w:ind w:right="180" w:firstLine="749"/>
        <w:spacing w:after="0" w:line="278" w:lineRule="auto"/>
        <w:rPr>
          <w:sz w:val="20"/>
          <w:szCs w:val="20"/>
          <w:color w:val="auto"/>
        </w:rPr>
      </w:pPr>
      <w:r>
        <w:rPr>
          <w:rFonts w:ascii="Arial" w:cs="Arial" w:eastAsia="Arial" w:hAnsi="Arial"/>
          <w:sz w:val="17"/>
          <w:szCs w:val="17"/>
          <w:color w:val="auto"/>
        </w:rPr>
        <w:t>As of June 30, 2022, we had 83 full-time employees, including 58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50" w:lineRule="exact"/>
        <w:rPr>
          <w:sz w:val="20"/>
          <w:szCs w:val="20"/>
          <w:color w:val="auto"/>
        </w:rPr>
      </w:pPr>
    </w:p>
    <w:p>
      <w:pPr>
        <w:ind w:left="1260" w:hanging="503"/>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260" w:right="420" w:hanging="503"/>
        <w:spacing w:after="0" w:line="248"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87" w:lineRule="exact"/>
        <w:rPr>
          <w:rFonts w:ascii="Arial" w:cs="Arial" w:eastAsia="Arial" w:hAnsi="Arial"/>
          <w:sz w:val="18"/>
          <w:szCs w:val="18"/>
          <w:color w:val="auto"/>
        </w:rPr>
      </w:pPr>
    </w:p>
    <w:p>
      <w:pPr>
        <w:ind w:left="1260" w:hanging="503"/>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jc w:val="both"/>
        <w:ind w:right="100" w:firstLine="749"/>
        <w:spacing w:after="0" w:line="256"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7" w:lineRule="exact"/>
        <w:rPr>
          <w:sz w:val="20"/>
          <w:szCs w:val="20"/>
          <w:color w:val="auto"/>
        </w:rPr>
      </w:pPr>
    </w:p>
    <w:p>
      <w:pPr>
        <w:ind w:right="160" w:firstLine="749"/>
        <w:spacing w:after="0" w:line="28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0" w:lineRule="exact"/>
        <w:rPr>
          <w:sz w:val="20"/>
          <w:szCs w:val="20"/>
          <w:color w:val="auto"/>
        </w:rPr>
      </w:pPr>
    </w:p>
    <w:p>
      <w:pPr>
        <w:ind w:right="200" w:firstLine="749"/>
        <w:spacing w:after="0" w:line="256"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spacing w:after="0" w:line="6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3" w:lineRule="exact"/>
        <w:rPr>
          <w:sz w:val="20"/>
          <w:szCs w:val="20"/>
          <w:color w:val="auto"/>
        </w:rPr>
      </w:pPr>
    </w:p>
    <w:p>
      <w:pPr>
        <w:ind w:firstLine="749"/>
        <w:spacing w:after="0" w:line="258" w:lineRule="auto"/>
        <w:rPr>
          <w:sz w:val="20"/>
          <w:szCs w:val="20"/>
          <w:color w:val="auto"/>
        </w:rPr>
      </w:pPr>
      <w:r>
        <w:rPr>
          <w:rFonts w:ascii="Arial" w:cs="Arial" w:eastAsia="Arial" w:hAnsi="Arial"/>
          <w:sz w:val="17"/>
          <w:szCs w:val="17"/>
          <w:color w:val="auto"/>
        </w:rPr>
        <w:t>Despite the implementation of security measures in an effort to protect systems that store our information, given their size and complexity and the increasing amounts of information maintained and otherwise processed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0" w:name="page51"/>
    <w:bookmarkEnd w:id="50"/>
    <w:p>
      <w:pPr>
        <w:spacing w:after="0" w:line="256" w:lineRule="auto"/>
        <w:rPr>
          <w:sz w:val="20"/>
          <w:szCs w:val="20"/>
          <w:color w:val="auto"/>
        </w:rPr>
      </w:pPr>
      <w:r>
        <w:rPr>
          <w:rFonts w:ascii="Arial" w:cs="Arial" w:eastAsia="Arial" w:hAnsi="Arial"/>
          <w:sz w:val="17"/>
          <w:szCs w:val="17"/>
          <w:color w:val="auto"/>
        </w:rPr>
        <w:t>connection with the COVID-19 pandemic, and the increase in remote working further increases security threats. If any disruption or security breach or incident were to result in any loss, destruction, unavailability, alteration, disclosure, or dissemination of, or damage to or unauthorized access,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have prevented or will prevent other cyber incidents that cause loss, destruction, unavailability, alteration or dissemination of, or damage or unauthorized access to, our data or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or dissemination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or any other security breach or incident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75" w:lineRule="exact"/>
        <w:rPr>
          <w:sz w:val="20"/>
          <w:szCs w:val="20"/>
          <w:color w:val="auto"/>
        </w:rPr>
      </w:pPr>
    </w:p>
    <w:p>
      <w:pPr>
        <w:ind w:right="100" w:firstLine="749"/>
        <w:spacing w:after="0" w:line="258" w:lineRule="auto"/>
        <w:rPr>
          <w:sz w:val="20"/>
          <w:szCs w:val="20"/>
          <w:color w:val="auto"/>
        </w:rPr>
      </w:pPr>
      <w:r>
        <w:rPr>
          <w:rFonts w:ascii="Arial" w:cs="Arial" w:eastAsia="Arial" w:hAnsi="Arial"/>
          <w:sz w:val="17"/>
          <w:szCs w:val="17"/>
          <w:color w:val="auto"/>
        </w:rPr>
        <w:t>Notifications and follow-up actions related to a security breach or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If any disruption or security incident were to result in any disruption of our operations or loss, destruction, or alteration of, or damage or unauthorized access to, our data or other information that is processed or maintained on our behalf, or inappropriate disclosure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72" w:lineRule="exact"/>
        <w:rPr>
          <w:sz w:val="20"/>
          <w:szCs w:val="20"/>
          <w:color w:val="auto"/>
        </w:rPr>
      </w:pPr>
    </w:p>
    <w:p>
      <w:pPr>
        <w:ind w:right="60" w:firstLine="749"/>
        <w:spacing w:after="0" w:line="24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or incident of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7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76"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7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Our Chief Financial Officer and Chief Business Officer were subpoenaed for information by the Securities and Exchange Commission on a matter unrelated to ORIC.</w:t>
      </w:r>
    </w:p>
    <w:p>
      <w:pPr>
        <w:spacing w:after="0" w:line="76" w:lineRule="exact"/>
        <w:rPr>
          <w:sz w:val="20"/>
          <w:szCs w:val="20"/>
          <w:color w:val="auto"/>
        </w:rPr>
      </w:pPr>
    </w:p>
    <w:p>
      <w:pPr>
        <w:ind w:right="40" w:firstLine="749"/>
        <w:spacing w:after="0" w:line="260" w:lineRule="auto"/>
        <w:rPr>
          <w:sz w:val="20"/>
          <w:szCs w:val="20"/>
          <w:color w:val="auto"/>
        </w:rPr>
      </w:pPr>
      <w:r>
        <w:rPr>
          <w:rFonts w:ascii="Arial" w:cs="Arial" w:eastAsia="Arial" w:hAnsi="Arial"/>
          <w:sz w:val="17"/>
          <w:szCs w:val="17"/>
          <w:color w:val="auto"/>
        </w:rPr>
        <w:t>Our Chief Financial Officer and Chief Business Officer each received subpoenas for documents and information, in their personal capacities, from the SEC in March and April 2020 related to an SEC investigation into the trading of securities of certain other companies. On August 17, 2021, our Chief Financial Officer received a letter from the SEC indicating that the SEC had concluded its investigation as to him without recommending further action. On the same date, the SEC filed a civil enforcement action against our Chief Business Officer. The SEC’s civil enforcement action may become time consuming and distracting for our Chief Business Officer, and if such action is successful, he could be subject to fines, penalties and the imposition of restrictive sanctions that may affect his ability to serve as an officer of our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future taxable income may be limited.</w:t>
      </w:r>
    </w:p>
    <w:p>
      <w:pPr>
        <w:spacing w:after="0" w:line="129"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Our net operating loss (NOL) carryforwards may be unavailable to offset future taxable income because of restrictions under U.S. tax law. Our NOLs generated in tax years beginning prior to January 1, 2018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As of December 31, 2021, we had available NOL carryforwards of $198.2 million, of which $156.6 million do not expire. We also had available California NOL carryforwards of approximately $197.3 million as of December 31, 2021, which begin to expire in 2034 and are subject to limitation on use. In addition, as of December 31, 2021, we had federal and California research and development credit carryforwards totaling $6.1 million and $3.9 million, respectively. The federal credits begin to expire in 2034 unless previously utilized, while the state credits do not expire.</w:t>
      </w:r>
    </w:p>
    <w:p>
      <w:pPr>
        <w:spacing w:after="0" w:line="8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materially adversely affect our company.</w:t>
      </w:r>
    </w:p>
    <w:p>
      <w:pPr>
        <w:spacing w:after="0" w:line="117" w:lineRule="exact"/>
        <w:rPr>
          <w:sz w:val="20"/>
          <w:szCs w:val="20"/>
          <w:color w:val="auto"/>
        </w:rPr>
      </w:pPr>
    </w:p>
    <w:p>
      <w:pPr>
        <w:ind w:right="60" w:firstLine="749"/>
        <w:spacing w:after="0" w:line="259" w:lineRule="auto"/>
        <w:rPr>
          <w:sz w:val="20"/>
          <w:szCs w:val="20"/>
          <w:color w:val="auto"/>
        </w:rPr>
      </w:pPr>
      <w:r>
        <w:rPr>
          <w:rFonts w:ascii="Arial" w:cs="Arial" w:eastAsia="Arial" w:hAnsi="Arial"/>
          <w:sz w:val="17"/>
          <w:szCs w:val="17"/>
          <w:color w:val="auto"/>
        </w:rPr>
        <w:t>Recent legislation commonly known as the Tax Act, as amended by the CARES Act, among other things, reduces the corporate tax rate from a top marginal rate of 35% to a flat rate of 21%, limits the tax deduction for interest expense and modifies or repeals many business deductions and credits. The U.S. Treasury Department and the Internal Revenue Service, or the IRS, may issue further guidance on how the provisions of the Tax Act will be applied or otherwise administered, which may differ from our current interpretation. In addition, the Tax Act could be subject to potential amendments and technical corrections, any of which could materially lessen or increase certain adverse impacts of the legislation on us. Additionally, the current administration in the United States and congressional decisions made in the near future may result in increased corporate tax. For example, the current administration has proposed increasing the corporate tax rate, among other changes. If enacted, such legislation may increase the amount of tax we may owe in future taxable years, which may adversely impact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materially adversely affect our business.</w:t>
      </w:r>
    </w:p>
    <w:p>
      <w:pPr>
        <w:spacing w:after="0" w:line="104"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49" w:lineRule="exact"/>
        <w:rPr>
          <w:sz w:val="20"/>
          <w:szCs w:val="20"/>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260" w:right="160" w:hanging="503"/>
        <w:spacing w:after="0" w:line="261"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03" w:lineRule="exact"/>
        <w:rPr>
          <w:rFonts w:ascii="Arial" w:cs="Arial" w:eastAsia="Arial" w:hAnsi="Arial"/>
          <w:sz w:val="18"/>
          <w:szCs w:val="18"/>
          <w:color w:val="auto"/>
        </w:rPr>
      </w:pPr>
    </w:p>
    <w:p>
      <w:pPr>
        <w:ind w:left="1260" w:right="160" w:hanging="503"/>
        <w:spacing w:after="0" w:line="261"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ind w:left="1260" w:hanging="503"/>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17" w:lineRule="exact"/>
        <w:rPr>
          <w:sz w:val="20"/>
          <w:szCs w:val="20"/>
          <w:color w:val="auto"/>
        </w:rPr>
      </w:pPr>
    </w:p>
    <w:p>
      <w:pPr>
        <w:ind w:right="420" w:firstLine="749"/>
        <w:spacing w:after="0" w:line="261"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Military conflict between Russia and Ukraine</w:t>
      </w:r>
    </w:p>
    <w:p>
      <w:pPr>
        <w:spacing w:after="0" w:line="117" w:lineRule="exact"/>
        <w:rPr>
          <w:sz w:val="20"/>
          <w:szCs w:val="20"/>
          <w:color w:val="auto"/>
        </w:rPr>
      </w:pPr>
    </w:p>
    <w:p>
      <w:pPr>
        <w:ind w:right="80" w:firstLine="675"/>
        <w:spacing w:after="0" w:line="243" w:lineRule="auto"/>
        <w:rPr>
          <w:sz w:val="20"/>
          <w:szCs w:val="20"/>
          <w:color w:val="auto"/>
        </w:rPr>
      </w:pPr>
      <w:r>
        <w:rPr>
          <w:rFonts w:ascii="Arial" w:cs="Arial" w:eastAsia="Arial" w:hAnsi="Arial"/>
          <w:sz w:val="18"/>
          <w:szCs w:val="18"/>
          <w:color w:val="auto"/>
        </w:rPr>
        <w:t>Russia’s invasion of Ukraine has triggered significant economic sanctions from various countries. These events are contributing to volatile global economic and financial conditions. Changes in countries’ economic, trade and financial policies could trigger retaliatory actions by Russia, its allies and other affected countries, resulting in a “trade war,” “cyberwar,” escalation of the conventional military conflict, and other adverse events. The military conflict in Ukraine, and any resulting effects that may follow, could result in increased costs for, or unavailability of, certain materials used in the third-party manufacturing of our product candidates and potential product candidates in our discovery research programs. These increased costs could have a negative effect on our financial condition, and any supply interruptions could hinder our product development and make it harder for us to find favorable pricing and reliable sources for the materials needed to manufacture our product candidates and potential product candidates in our discovery research programs.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adversely affect us by increasing our costs.</w:t>
      </w:r>
    </w:p>
    <w:p>
      <w:pPr>
        <w:spacing w:after="0" w:line="104" w:lineRule="exact"/>
        <w:rPr>
          <w:sz w:val="20"/>
          <w:szCs w:val="20"/>
          <w:color w:val="auto"/>
        </w:rPr>
      </w:pPr>
    </w:p>
    <w:p>
      <w:pPr>
        <w:ind w:right="120" w:firstLine="749"/>
        <w:spacing w:after="0" w:line="249" w:lineRule="auto"/>
        <w:rPr>
          <w:sz w:val="20"/>
          <w:szCs w:val="20"/>
          <w:color w:val="auto"/>
        </w:rPr>
      </w:pPr>
      <w:r>
        <w:rPr>
          <w:rFonts w:ascii="Arial" w:cs="Arial" w:eastAsia="Arial" w:hAnsi="Arial"/>
          <w:sz w:val="18"/>
          <w:szCs w:val="18"/>
          <w:color w:val="auto"/>
        </w:rPr>
        <w:t>Recently, inflation has increased throughout the U.S. economy. Inflation can adversely affect us by increasing the costs of clinical trials and research, the development of our product candidates, administration and other costs of doing business. In fact, we have experienced, and continue to experience, increases in the prices of labor and other costs of doing business. In an inflationary environment, cost increases may outpace our expectations, causing us to use our cash and other liquid assets faster than forecasted. If this happens, we may need to raise additional capital to fund our operations sooner than expected.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17" w:lineRule="exact"/>
        <w:rPr>
          <w:sz w:val="20"/>
          <w:szCs w:val="20"/>
          <w:color w:val="auto"/>
        </w:rPr>
      </w:pPr>
    </w:p>
    <w:p>
      <w:pPr>
        <w:ind w:right="180" w:firstLine="749"/>
        <w:spacing w:after="0" w:line="245"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spacing w:after="0" w:line="78" w:lineRule="exact"/>
        <w:rPr>
          <w:sz w:val="20"/>
          <w:szCs w:val="20"/>
          <w:color w:val="auto"/>
        </w:rPr>
      </w:pPr>
    </w:p>
    <w:p>
      <w:pPr>
        <w:ind w:right="100" w:firstLine="749"/>
        <w:spacing w:after="0" w:line="245"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91" w:lineRule="exact"/>
        <w:rPr>
          <w:sz w:val="20"/>
          <w:szCs w:val="20"/>
          <w:color w:val="auto"/>
        </w:rPr>
      </w:pPr>
    </w:p>
    <w:p>
      <w:pPr>
        <w:ind w:right="80" w:firstLine="749"/>
        <w:spacing w:after="0" w:line="24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78" w:lineRule="exact"/>
        <w:rPr>
          <w:sz w:val="20"/>
          <w:szCs w:val="20"/>
          <w:color w:val="auto"/>
        </w:rPr>
      </w:pPr>
    </w:p>
    <w:p>
      <w:pPr>
        <w:ind w:right="20" w:firstLine="749"/>
        <w:spacing w:after="0" w:line="249" w:lineRule="auto"/>
        <w:rPr>
          <w:sz w:val="20"/>
          <w:szCs w:val="20"/>
          <w:color w:val="auto"/>
        </w:rPr>
      </w:pPr>
      <w:r>
        <w:rPr>
          <w:rFonts w:ascii="Arial" w:cs="Arial" w:eastAsia="Arial" w:hAnsi="Arial"/>
          <w:sz w:val="18"/>
          <w:szCs w:val="18"/>
          <w:color w:val="auto"/>
        </w:rPr>
        <w:t>Although as of June 30, 2022, we owned four and licensed three issued patents in the United States pertaining to our three product candidates,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74"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87" w:lineRule="exact"/>
        <w:rPr>
          <w:sz w:val="20"/>
          <w:szCs w:val="20"/>
          <w:color w:val="auto"/>
        </w:rPr>
      </w:pPr>
    </w:p>
    <w:p>
      <w:pPr>
        <w:ind w:left="1260" w:hanging="503"/>
        <w:spacing w:after="0" w:line="270" w:lineRule="auto"/>
        <w:tabs>
          <w:tab w:leader="none" w:pos="1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9" w:lineRule="exact"/>
        <w:rPr>
          <w:rFonts w:ascii="Arial" w:cs="Arial" w:eastAsia="Arial" w:hAnsi="Arial"/>
          <w:sz w:val="17"/>
          <w:szCs w:val="17"/>
          <w:color w:val="auto"/>
        </w:rPr>
      </w:pPr>
    </w:p>
    <w:p>
      <w:pPr>
        <w:ind w:left="1260" w:hanging="503"/>
        <w:spacing w:after="0"/>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ind w:left="1260" w:right="260" w:hanging="503"/>
        <w:spacing w:after="0" w:line="277"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48" w:lineRule="exact"/>
        <w:rPr>
          <w:rFonts w:ascii="Arial" w:cs="Arial" w:eastAsia="Arial" w:hAnsi="Arial"/>
          <w:sz w:val="18"/>
          <w:szCs w:val="18"/>
          <w:color w:val="auto"/>
        </w:rPr>
      </w:pPr>
    </w:p>
    <w:p>
      <w:pPr>
        <w:jc w:val="both"/>
        <w:ind w:left="1260" w:right="40" w:hanging="503"/>
        <w:spacing w:after="0" w:line="256"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6" w:lineRule="exact"/>
        <w:rPr>
          <w:rFonts w:ascii="Arial" w:cs="Arial" w:eastAsia="Arial" w:hAnsi="Arial"/>
          <w:sz w:val="18"/>
          <w:szCs w:val="18"/>
          <w:color w:val="auto"/>
        </w:rPr>
      </w:pPr>
    </w:p>
    <w:p>
      <w:pPr>
        <w:jc w:val="both"/>
        <w:ind w:left="1260" w:right="260" w:hanging="503"/>
        <w:spacing w:after="0" w:line="256"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6" w:lineRule="exact"/>
        <w:rPr>
          <w:rFonts w:ascii="Arial" w:cs="Arial" w:eastAsia="Arial" w:hAnsi="Arial"/>
          <w:sz w:val="18"/>
          <w:szCs w:val="18"/>
          <w:color w:val="auto"/>
        </w:rPr>
      </w:pPr>
    </w:p>
    <w:p>
      <w:pPr>
        <w:ind w:left="1260" w:right="60" w:hanging="503"/>
        <w:spacing w:after="0" w:line="261"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3" w:lineRule="exact"/>
        <w:rPr>
          <w:sz w:val="20"/>
          <w:szCs w:val="20"/>
          <w:color w:val="auto"/>
        </w:rPr>
      </w:pPr>
    </w:p>
    <w:p>
      <w:pPr>
        <w:ind w:right="140" w:firstLine="749"/>
        <w:spacing w:after="0" w:line="249" w:lineRule="auto"/>
        <w:rPr>
          <w:sz w:val="20"/>
          <w:szCs w:val="20"/>
          <w:color w:val="auto"/>
        </w:rPr>
      </w:pPr>
      <w:r>
        <w:rPr>
          <w:rFonts w:ascii="Arial" w:cs="Arial" w:eastAsia="Arial" w:hAnsi="Arial"/>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86" w:lineRule="exact"/>
        <w:rPr>
          <w:sz w:val="20"/>
          <w:szCs w:val="20"/>
          <w:color w:val="auto"/>
        </w:rPr>
      </w:pPr>
    </w:p>
    <w:p>
      <w:pPr>
        <w:ind w:right="60" w:firstLine="749"/>
        <w:spacing w:after="0" w:line="249"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73" w:lineRule="exact"/>
        <w:rPr>
          <w:sz w:val="20"/>
          <w:szCs w:val="20"/>
          <w:color w:val="auto"/>
        </w:rPr>
      </w:pPr>
    </w:p>
    <w:p>
      <w:pPr>
        <w:ind w:right="60" w:firstLine="749"/>
        <w:spacing w:after="0" w:line="256"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6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76"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93"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78"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1260" w:right="60" w:hanging="503"/>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48" w:lineRule="exact"/>
        <w:rPr>
          <w:rFonts w:ascii="Arial" w:cs="Arial" w:eastAsia="Arial" w:hAnsi="Arial"/>
          <w:sz w:val="18"/>
          <w:szCs w:val="18"/>
          <w:color w:val="auto"/>
        </w:rPr>
      </w:pPr>
    </w:p>
    <w:p>
      <w:pPr>
        <w:ind w:left="1260" w:right="780" w:hanging="503"/>
        <w:spacing w:after="0" w:line="261"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03" w:lineRule="exact"/>
        <w:rPr>
          <w:rFonts w:ascii="Arial" w:cs="Arial" w:eastAsia="Arial" w:hAnsi="Arial"/>
          <w:sz w:val="18"/>
          <w:szCs w:val="18"/>
          <w:color w:val="auto"/>
        </w:rPr>
      </w:pPr>
    </w:p>
    <w:p>
      <w:pPr>
        <w:ind w:left="1260" w:right="700" w:hanging="503"/>
        <w:spacing w:after="0" w:line="261"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issued patents that we own or license may be held invalid or unenforceable, as a result of legal challenges by our competitors;</w:t>
      </w:r>
    </w:p>
    <w:p>
      <w:pPr>
        <w:spacing w:after="0" w:line="115" w:lineRule="exact"/>
        <w:rPr>
          <w:rFonts w:ascii="Arial" w:cs="Arial" w:eastAsia="Arial" w:hAnsi="Arial"/>
          <w:sz w:val="17"/>
          <w:szCs w:val="17"/>
          <w:color w:val="auto"/>
        </w:rPr>
      </w:pPr>
    </w:p>
    <w:p>
      <w:pPr>
        <w:ind w:left="1260" w:right="460" w:hanging="503"/>
        <w:spacing w:after="0" w:line="291" w:lineRule="auto"/>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2" w:lineRule="exact"/>
        <w:rPr>
          <w:rFonts w:ascii="Arial" w:cs="Arial" w:eastAsia="Arial" w:hAnsi="Arial"/>
          <w:sz w:val="17"/>
          <w:szCs w:val="17"/>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03" w:lineRule="exact"/>
        <w:rPr>
          <w:rFonts w:ascii="Arial" w:cs="Arial" w:eastAsia="Arial" w:hAnsi="Arial"/>
          <w:sz w:val="18"/>
          <w:szCs w:val="18"/>
          <w:color w:val="auto"/>
        </w:rPr>
      </w:pPr>
    </w:p>
    <w:p>
      <w:pPr>
        <w:ind w:left="1260" w:right="40" w:hanging="503"/>
        <w:spacing w:after="0" w:line="277"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0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7" w:lineRule="exact"/>
        <w:rPr>
          <w:sz w:val="20"/>
          <w:szCs w:val="20"/>
          <w:color w:val="auto"/>
        </w:rPr>
      </w:pPr>
    </w:p>
    <w:p>
      <w:pPr>
        <w:ind w:right="80" w:firstLine="749"/>
        <w:spacing w:after="0" w:line="260"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65"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3" w:lineRule="exact"/>
        <w:rPr>
          <w:sz w:val="20"/>
          <w:szCs w:val="20"/>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5" w:name="page56"/>
    <w:bookmarkEnd w:id="55"/>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260" w:right="40" w:hanging="503"/>
        <w:spacing w:after="0" w:line="261"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not infringed, or unenforceable in a court of law;</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03" w:lineRule="exact"/>
        <w:rPr>
          <w:rFonts w:ascii="Arial" w:cs="Arial" w:eastAsia="Arial" w:hAnsi="Arial"/>
          <w:sz w:val="18"/>
          <w:szCs w:val="18"/>
          <w:color w:val="auto"/>
        </w:rPr>
      </w:pPr>
    </w:p>
    <w:p>
      <w:pPr>
        <w:ind w:left="1260" w:right="80" w:hanging="503"/>
        <w:spacing w:after="0" w:line="261"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76"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periodic report, others may hold proprietary rights that could prevent our product candidates from being marketed.</w:t>
      </w:r>
    </w:p>
    <w:p>
      <w:pPr>
        <w:spacing w:after="0" w:line="63" w:lineRule="exact"/>
        <w:rPr>
          <w:sz w:val="20"/>
          <w:szCs w:val="20"/>
          <w:color w:val="auto"/>
        </w:rPr>
      </w:pPr>
    </w:p>
    <w:p>
      <w:pPr>
        <w:ind w:firstLine="749"/>
        <w:spacing w:after="0" w:line="258" w:lineRule="auto"/>
        <w:rPr>
          <w:sz w:val="20"/>
          <w:szCs w:val="20"/>
          <w:color w:val="auto"/>
        </w:rPr>
      </w:pPr>
      <w:r>
        <w:rPr>
          <w:rFonts w:ascii="Arial" w:cs="Arial" w:eastAsia="Arial" w:hAnsi="Arial"/>
          <w:sz w:val="17"/>
          <w:szCs w:val="17"/>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0" w:lineRule="exact"/>
        <w:rPr>
          <w:sz w:val="20"/>
          <w:szCs w:val="20"/>
          <w:color w:val="auto"/>
        </w:rPr>
      </w:pPr>
    </w:p>
    <w:p>
      <w:pPr>
        <w:ind w:right="60" w:firstLine="749"/>
        <w:spacing w:after="0" w:line="263"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3"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15"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our licensors’ patents, which could be expensive, time consuming and unsuccessful.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or our licensors’ patents could be found invalid, unenforceable or not infringed if challenged in court.</w:t>
      </w:r>
    </w:p>
    <w:p>
      <w:pPr>
        <w:spacing w:after="0" w:line="88"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93" w:lineRule="exact"/>
        <w:rPr>
          <w:sz w:val="20"/>
          <w:szCs w:val="20"/>
          <w:color w:val="auto"/>
        </w:rPr>
      </w:pPr>
    </w:p>
    <w:p>
      <w:pPr>
        <w:ind w:right="20" w:firstLine="749"/>
        <w:spacing w:after="0" w:line="258"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80" w:lineRule="exact"/>
        <w:rPr>
          <w:sz w:val="20"/>
          <w:szCs w:val="20"/>
          <w:color w:val="auto"/>
        </w:rPr>
      </w:pPr>
    </w:p>
    <w:p>
      <w:pPr>
        <w:ind w:firstLine="749"/>
        <w:spacing w:after="0" w:line="294" w:lineRule="auto"/>
        <w:rPr>
          <w:sz w:val="20"/>
          <w:szCs w:val="20"/>
          <w:color w:val="auto"/>
        </w:rPr>
      </w:pPr>
      <w:r>
        <w:rPr>
          <w:rFonts w:ascii="Arial" w:cs="Arial" w:eastAsia="Arial" w:hAnsi="Arial"/>
          <w:sz w:val="16"/>
          <w:szCs w:val="16"/>
          <w:color w:val="auto"/>
        </w:rPr>
        <w:t>No earlier than October 1, 2022,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spacing w:after="0" w:line="39" w:lineRule="exact"/>
        <w:rPr>
          <w:sz w:val="20"/>
          <w:szCs w:val="20"/>
          <w:color w:val="auto"/>
        </w:rPr>
      </w:pPr>
    </w:p>
    <w:p>
      <w:pPr>
        <w:jc w:val="both"/>
        <w:ind w:right="200" w:firstLine="749"/>
        <w:spacing w:after="0" w:line="342"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2" w:lineRule="exact"/>
        <w:rPr>
          <w:sz w:val="20"/>
          <w:szCs w:val="20"/>
          <w:color w:val="auto"/>
        </w:rPr>
      </w:pPr>
    </w:p>
    <w:p>
      <w:pPr>
        <w:ind w:right="80" w:firstLine="749"/>
        <w:spacing w:after="0" w:line="277"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0"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87" w:lineRule="exact"/>
        <w:rPr>
          <w:sz w:val="20"/>
          <w:szCs w:val="20"/>
          <w:color w:val="auto"/>
        </w:rPr>
      </w:pPr>
    </w:p>
    <w:p>
      <w:pPr>
        <w:ind w:right="320" w:firstLine="749"/>
        <w:spacing w:after="0" w:line="261"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76"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7" w:name="page58"/>
    <w:bookmarkEnd w:id="57"/>
    <w:p>
      <w:pPr>
        <w:ind w:right="30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49" w:lineRule="exact"/>
        <w:rPr>
          <w:sz w:val="20"/>
          <w:szCs w:val="20"/>
          <w:color w:val="auto"/>
        </w:rPr>
      </w:pPr>
    </w:p>
    <w:p>
      <w:pPr>
        <w:ind w:right="100" w:firstLine="749"/>
        <w:spacing w:after="0" w:line="261"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6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76" w:lineRule="exact"/>
        <w:rPr>
          <w:sz w:val="20"/>
          <w:szCs w:val="20"/>
          <w:color w:val="auto"/>
        </w:rPr>
      </w:pPr>
    </w:p>
    <w:p>
      <w:pPr>
        <w:ind w:right="120" w:firstLine="749"/>
        <w:spacing w:after="0" w:line="257"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73"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91" w:lineRule="exact"/>
        <w:rPr>
          <w:sz w:val="20"/>
          <w:szCs w:val="20"/>
          <w:color w:val="auto"/>
        </w:rPr>
      </w:pPr>
    </w:p>
    <w:p>
      <w:pPr>
        <w:ind w:right="20" w:firstLine="749"/>
        <w:spacing w:after="0" w:line="261"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6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76"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pacing w:after="0" w:line="98"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160" w:firstLine="749"/>
        <w:spacing w:after="0" w:line="258" w:lineRule="auto"/>
        <w:rPr>
          <w:sz w:val="20"/>
          <w:szCs w:val="20"/>
          <w:color w:val="auto"/>
        </w:rPr>
      </w:pPr>
      <w:r>
        <w:rPr>
          <w:rFonts w:ascii="Arial" w:cs="Arial" w:eastAsia="Arial" w:hAnsi="Arial"/>
          <w:sz w:val="17"/>
          <w:szCs w:val="17"/>
          <w:color w:val="auto"/>
        </w:rPr>
        <w:t>Although as of June 30, 2022, we owned four and licensed three issued patents in the United States pertaining to our three product candidates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72"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77" w:lineRule="exact"/>
        <w:rPr>
          <w:sz w:val="20"/>
          <w:szCs w:val="20"/>
          <w:color w:val="auto"/>
        </w:rPr>
      </w:pPr>
    </w:p>
    <w:p>
      <w:pPr>
        <w:ind w:right="320" w:firstLine="749"/>
        <w:spacing w:after="0" w:line="26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59" w:name="page60"/>
    <w:bookmarkEnd w:id="59"/>
    <w:p>
      <w:pPr>
        <w:ind w:right="60"/>
        <w:spacing w:after="0" w:line="256" w:lineRule="auto"/>
        <w:rPr>
          <w:sz w:val="20"/>
          <w:szCs w:val="20"/>
          <w:color w:val="auto"/>
        </w:rPr>
      </w:pPr>
      <w:r>
        <w:rPr>
          <w:rFonts w:ascii="Arial" w:cs="Arial" w:eastAsia="Arial" w:hAnsi="Arial"/>
          <w:sz w:val="18"/>
          <w:szCs w:val="18"/>
          <w:color w:val="auto"/>
        </w:rPr>
        <w:t>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67"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87"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8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5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6"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As of June 30, 2022, we had one pending United States trademark application. Our trademark applications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80" w:firstLine="749"/>
        <w:spacing w:after="0" w:line="258"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82" w:lineRule="exact"/>
        <w:rPr>
          <w:sz w:val="20"/>
          <w:szCs w:val="20"/>
          <w:color w:val="auto"/>
        </w:rPr>
      </w:pPr>
    </w:p>
    <w:p>
      <w:pPr>
        <w:ind w:right="80" w:firstLine="749"/>
        <w:spacing w:after="0" w:line="249"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0" w:name="page61"/>
    <w:bookmarkEnd w:id="60"/>
    <w:p>
      <w:pPr>
        <w:ind w:right="280"/>
        <w:spacing w:after="0" w:line="277" w:lineRule="auto"/>
        <w:rPr>
          <w:sz w:val="20"/>
          <w:szCs w:val="20"/>
          <w:color w:val="auto"/>
        </w:rPr>
      </w:pPr>
      <w:r>
        <w:rPr>
          <w:rFonts w:ascii="Arial" w:cs="Arial" w:eastAsia="Arial" w:hAnsi="Arial"/>
          <w:sz w:val="18"/>
          <w:szCs w:val="18"/>
          <w:color w:val="auto"/>
        </w:rPr>
        <w:t>confidentiality of our proprietary technology and other confidential information, then our ability to obtain patent protection or to protect our trade secret information may be jeopardized.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we or our employees have wrongfully used or disclosed alleged confidential information or trade secrets.</w:t>
      </w:r>
    </w:p>
    <w:p>
      <w:pPr>
        <w:spacing w:after="0" w:line="115" w:lineRule="exact"/>
        <w:rPr>
          <w:sz w:val="20"/>
          <w:szCs w:val="20"/>
          <w:color w:val="auto"/>
        </w:rPr>
      </w:pPr>
    </w:p>
    <w:p>
      <w:pPr>
        <w:ind w:right="20" w:firstLine="749"/>
        <w:spacing w:after="0" w:line="258"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 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70"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9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3" w:lineRule="exact"/>
        <w:rPr>
          <w:sz w:val="20"/>
          <w:szCs w:val="20"/>
          <w:color w:val="auto"/>
        </w:rPr>
      </w:pPr>
    </w:p>
    <w:p>
      <w:pPr>
        <w:ind w:right="40" w:firstLine="749"/>
        <w:spacing w:after="0" w:line="280" w:lineRule="auto"/>
        <w:rPr>
          <w:sz w:val="20"/>
          <w:szCs w:val="20"/>
          <w:color w:val="auto"/>
        </w:rPr>
      </w:pPr>
      <w:r>
        <w:rPr>
          <w:rFonts w:ascii="Arial" w:cs="Arial" w:eastAsia="Arial" w:hAnsi="Arial"/>
          <w:sz w:val="16"/>
          <w:szCs w:val="16"/>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5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49" w:lineRule="exact"/>
        <w:rPr>
          <w:sz w:val="20"/>
          <w:szCs w:val="20"/>
          <w:color w:val="auto"/>
        </w:rPr>
      </w:pPr>
    </w:p>
    <w:p>
      <w:pPr>
        <w:ind w:firstLine="749"/>
        <w:spacing w:after="0" w:line="249"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73" w:lineRule="exact"/>
        <w:rPr>
          <w:sz w:val="20"/>
          <w:szCs w:val="20"/>
          <w:color w:val="auto"/>
        </w:rPr>
      </w:pPr>
    </w:p>
    <w:p>
      <w:pPr>
        <w:ind w:right="120" w:firstLine="749"/>
        <w:spacing w:after="0" w:line="246"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77" w:lineRule="exact"/>
        <w:rPr>
          <w:sz w:val="20"/>
          <w:szCs w:val="20"/>
          <w:color w:val="auto"/>
        </w:rPr>
      </w:pPr>
    </w:p>
    <w:p>
      <w:pPr>
        <w:ind w:right="140" w:firstLine="749"/>
        <w:spacing w:after="0" w:line="249"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ind w:right="40" w:firstLine="749"/>
        <w:spacing w:after="0" w:line="280" w:lineRule="auto"/>
        <w:rPr>
          <w:sz w:val="20"/>
          <w:szCs w:val="20"/>
          <w:color w:val="auto"/>
        </w:rPr>
      </w:pPr>
      <w:r>
        <w:rPr>
          <w:rFonts w:ascii="Arial" w:cs="Arial" w:eastAsia="Arial" w:hAnsi="Arial"/>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51" w:lineRule="exact"/>
        <w:rPr>
          <w:sz w:val="20"/>
          <w:szCs w:val="20"/>
          <w:color w:val="auto"/>
        </w:rPr>
      </w:pPr>
    </w:p>
    <w:p>
      <w:pPr>
        <w:ind w:right="780"/>
        <w:spacing w:after="0" w:line="356"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both"/>
        <w:ind w:right="100" w:firstLine="749"/>
        <w:spacing w:after="0" w:line="256" w:lineRule="auto"/>
        <w:rPr>
          <w:sz w:val="20"/>
          <w:szCs w:val="20"/>
          <w:color w:val="auto"/>
        </w:rPr>
      </w:pPr>
      <w:r>
        <w:rPr>
          <w:rFonts w:ascii="Arial" w:cs="Arial" w:eastAsia="Arial" w:hAnsi="Arial"/>
          <w:sz w:val="18"/>
          <w:szCs w:val="18"/>
          <w:color w:val="auto"/>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Moreover, disputes may arise between us and our licensors regarding intellectual property subject to a license agreement, including:</w:t>
      </w:r>
    </w:p>
    <w:p>
      <w:pPr>
        <w:spacing w:after="0" w:line="129" w:lineRule="exact"/>
        <w:rPr>
          <w:sz w:val="20"/>
          <w:szCs w:val="20"/>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260" w:right="320" w:hanging="503"/>
        <w:spacing w:after="0" w:line="261"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17" w:lineRule="exact"/>
        <w:rPr>
          <w:rFonts w:ascii="Arial" w:cs="Arial" w:eastAsia="Arial" w:hAnsi="Arial"/>
          <w:sz w:val="18"/>
          <w:szCs w:val="18"/>
          <w:color w:val="auto"/>
        </w:rPr>
      </w:pPr>
    </w:p>
    <w:p>
      <w:pPr>
        <w:ind w:left="1260" w:right="560" w:hanging="503"/>
        <w:spacing w:after="0" w:line="261" w:lineRule="auto"/>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sz w:val="20"/>
          <w:szCs w:val="20"/>
          <w:color w:val="auto"/>
        </w:rPr>
      </w:pPr>
    </w:p>
    <w:p>
      <w:pPr>
        <w:ind w:right="140" w:firstLine="749"/>
        <w:spacing w:after="0" w:line="258"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spacing w:after="0" w:line="82"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04" w:lineRule="exact"/>
        <w:rPr>
          <w:sz w:val="20"/>
          <w:szCs w:val="20"/>
          <w:color w:val="auto"/>
        </w:rPr>
      </w:pPr>
    </w:p>
    <w:p>
      <w:pPr>
        <w:jc w:val="both"/>
        <w:ind w:right="220" w:firstLine="749"/>
        <w:spacing w:after="0" w:line="256" w:lineRule="auto"/>
        <w:rPr>
          <w:sz w:val="20"/>
          <w:szCs w:val="20"/>
          <w:color w:val="auto"/>
        </w:rPr>
      </w:pPr>
      <w:r>
        <w:rPr>
          <w:rFonts w:ascii="Arial" w:cs="Arial" w:eastAsia="Arial" w:hAnsi="Arial"/>
          <w:sz w:val="18"/>
          <w:szCs w:val="18"/>
          <w:color w:val="auto"/>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2" w:name="page63"/>
    <w:bookmarkEnd w:id="62"/>
    <w:p>
      <w:pPr>
        <w:ind w:right="140"/>
        <w:spacing w:after="0" w:line="280" w:lineRule="auto"/>
        <w:rPr>
          <w:sz w:val="20"/>
          <w:szCs w:val="20"/>
          <w:color w:val="auto"/>
        </w:rPr>
      </w:pPr>
      <w:r>
        <w:rPr>
          <w:rFonts w:ascii="Arial" w:cs="Arial" w:eastAsia="Arial" w:hAnsi="Arial"/>
          <w:sz w:val="16"/>
          <w:szCs w:val="16"/>
          <w:color w:val="auto"/>
        </w:rPr>
        <w:t>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63"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4"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9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deadlines for the completion of such trials, research and studies.</w:t>
      </w:r>
    </w:p>
    <w:p>
      <w:pPr>
        <w:spacing w:after="0" w:line="62" w:lineRule="exact"/>
        <w:rPr>
          <w:sz w:val="20"/>
          <w:szCs w:val="20"/>
          <w:color w:val="auto"/>
        </w:rPr>
      </w:pPr>
    </w:p>
    <w:p>
      <w:pPr>
        <w:ind w:firstLine="749"/>
        <w:spacing w:after="0" w:line="261" w:lineRule="auto"/>
        <w:rPr>
          <w:sz w:val="20"/>
          <w:szCs w:val="20"/>
          <w:color w:val="auto"/>
        </w:rPr>
      </w:pPr>
      <w:r>
        <w:rPr>
          <w:rFonts w:ascii="Arial" w:cs="Arial" w:eastAsia="Arial" w:hAnsi="Arial"/>
          <w:sz w:val="17"/>
          <w:szCs w:val="17"/>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our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3" w:name="page64"/>
    <w:bookmarkEnd w:id="63"/>
    <w:p>
      <w:pPr>
        <w:ind w:right="60" w:firstLine="749"/>
        <w:spacing w:after="0" w:line="257" w:lineRule="auto"/>
        <w:rPr>
          <w:sz w:val="20"/>
          <w:szCs w:val="20"/>
          <w:color w:val="auto"/>
        </w:rPr>
      </w:pPr>
      <w:r>
        <w:rPr>
          <w:rFonts w:ascii="Arial" w:cs="Arial" w:eastAsia="Arial" w:hAnsi="Arial"/>
          <w:sz w:val="17"/>
          <w:szCs w:val="17"/>
          <w:color w:val="auto"/>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spacing w:after="0" w:line="87" w:lineRule="exact"/>
        <w:rPr>
          <w:sz w:val="20"/>
          <w:szCs w:val="20"/>
          <w:color w:val="auto"/>
        </w:rPr>
      </w:pPr>
    </w:p>
    <w:p>
      <w:pPr>
        <w:jc w:val="both"/>
        <w:ind w:right="280" w:firstLine="749"/>
        <w:spacing w:after="0" w:line="294"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5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We contract with third parties for the production of our product candidates for preclinical studies and, in the case of ORIC-533, ORIC-114 and ORIC-944, our ongoing clinical trials, and expect to continue to do so for additional clinical trials and ultimately for commercialization.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58"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For each of our product candidates,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any product candidates for any reason, whether as a result of manufacturing, supply or storage issues or otherwise, we could experience delays, disruptions, suspensions or terminations of, or be required to restart or repeat, any pending or ongoing studies or clinical trials.</w:t>
      </w:r>
    </w:p>
    <w:p>
      <w:pPr>
        <w:spacing w:after="0" w:line="67" w:lineRule="exact"/>
        <w:rPr>
          <w:sz w:val="20"/>
          <w:szCs w:val="20"/>
          <w:color w:val="auto"/>
        </w:rPr>
      </w:pPr>
    </w:p>
    <w:p>
      <w:pPr>
        <w:ind w:right="20" w:firstLine="749"/>
        <w:spacing w:after="0" w:line="278" w:lineRule="auto"/>
        <w:rPr>
          <w:sz w:val="20"/>
          <w:szCs w:val="20"/>
          <w:color w:val="auto"/>
        </w:rPr>
      </w:pPr>
      <w:r>
        <w:rPr>
          <w:rFonts w:ascii="Arial" w:cs="Arial" w:eastAsia="Arial" w:hAnsi="Arial"/>
          <w:sz w:val="17"/>
          <w:szCs w:val="17"/>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36" w:lineRule="exact"/>
        <w:rPr>
          <w:sz w:val="20"/>
          <w:szCs w:val="20"/>
          <w:color w:val="auto"/>
        </w:rPr>
      </w:pPr>
    </w:p>
    <w:p>
      <w:pPr>
        <w:ind w:left="1260" w:right="80" w:hanging="503"/>
        <w:spacing w:after="0" w:line="235"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13" w:lineRule="exact"/>
        <w:rPr>
          <w:rFonts w:ascii="Arial" w:cs="Arial" w:eastAsia="Arial" w:hAnsi="Arial"/>
          <w:sz w:val="16"/>
          <w:szCs w:val="16"/>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 including cGMPs;</w:t>
      </w:r>
    </w:p>
    <w:p>
      <w:pPr>
        <w:spacing w:after="0" w:line="90"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90" w:lineRule="exact"/>
        <w:rPr>
          <w:rFonts w:ascii="Arial" w:cs="Arial" w:eastAsia="Arial" w:hAnsi="Arial"/>
          <w:sz w:val="18"/>
          <w:szCs w:val="18"/>
          <w:color w:val="auto"/>
        </w:rPr>
      </w:pPr>
    </w:p>
    <w:p>
      <w:pPr>
        <w:ind w:left="1260" w:right="280" w:hanging="503"/>
        <w:spacing w:after="0" w:line="246"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48" w:lineRule="exact"/>
        <w:rPr>
          <w:rFonts w:ascii="Arial" w:cs="Arial" w:eastAsia="Arial" w:hAnsi="Arial"/>
          <w:sz w:val="18"/>
          <w:szCs w:val="18"/>
          <w:color w:val="auto"/>
        </w:rPr>
      </w:pPr>
    </w:p>
    <w:p>
      <w:pPr>
        <w:ind w:left="1260" w:hanging="503"/>
        <w:spacing w:after="0" w:line="246"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1" w:lineRule="exact"/>
        <w:rPr>
          <w:rFonts w:ascii="Arial" w:cs="Arial" w:eastAsia="Arial" w:hAnsi="Arial"/>
          <w:sz w:val="18"/>
          <w:szCs w:val="18"/>
          <w:color w:val="auto"/>
        </w:rPr>
      </w:pPr>
    </w:p>
    <w:p>
      <w:pPr>
        <w:ind w:left="1260" w:hanging="503"/>
        <w:spacing w:after="0"/>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104"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4" w:name="page65"/>
    <w:bookmarkEnd w:id="64"/>
    <w:p>
      <w:pPr>
        <w:ind w:right="140"/>
        <w:spacing w:after="0" w:line="256" w:lineRule="auto"/>
        <w:rPr>
          <w:sz w:val="20"/>
          <w:szCs w:val="20"/>
          <w:color w:val="auto"/>
        </w:rPr>
      </w:pPr>
      <w:r>
        <w:rPr>
          <w:rFonts w:ascii="Arial" w:cs="Arial" w:eastAsia="Arial" w:hAnsi="Arial"/>
          <w:sz w:val="18"/>
          <w:szCs w:val="18"/>
          <w:color w:val="auto"/>
        </w:rPr>
        <w:t>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67" w:lineRule="exact"/>
        <w:rPr>
          <w:sz w:val="20"/>
          <w:szCs w:val="20"/>
          <w:color w:val="auto"/>
        </w:rPr>
      </w:pPr>
    </w:p>
    <w:p>
      <w:pPr>
        <w:ind w:firstLine="749"/>
        <w:spacing w:after="0" w:line="275"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1" w:lineRule="exact"/>
        <w:rPr>
          <w:sz w:val="20"/>
          <w:szCs w:val="20"/>
          <w:color w:val="auto"/>
        </w:rPr>
      </w:pPr>
    </w:p>
    <w:p>
      <w:pPr>
        <w:ind w:right="140" w:firstLine="749"/>
        <w:spacing w:after="0" w:line="291"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9" w:lineRule="exact"/>
        <w:rPr>
          <w:sz w:val="20"/>
          <w:szCs w:val="20"/>
          <w:color w:val="auto"/>
        </w:rPr>
      </w:pPr>
    </w:p>
    <w:p>
      <w:pPr>
        <w:ind w:right="60" w:firstLine="749"/>
        <w:spacing w:after="0" w:line="263" w:lineRule="auto"/>
        <w:rPr>
          <w:sz w:val="20"/>
          <w:szCs w:val="20"/>
          <w:color w:val="auto"/>
        </w:rPr>
      </w:pPr>
      <w:r>
        <w:rPr>
          <w:rFonts w:ascii="Arial" w:cs="Arial" w:eastAsia="Arial" w:hAnsi="Arial"/>
          <w:sz w:val="17"/>
          <w:szCs w:val="17"/>
          <w:color w:val="auto"/>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spacing w:after="0" w:line="65" w:lineRule="exact"/>
        <w:rPr>
          <w:sz w:val="20"/>
          <w:szCs w:val="20"/>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260" w:right="26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programs and initiatives in pursuing such a strategic merger or acquisition;</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03" w:lineRule="exact"/>
        <w:rPr>
          <w:rFonts w:ascii="Arial" w:cs="Arial" w:eastAsia="Arial" w:hAnsi="Arial"/>
          <w:sz w:val="18"/>
          <w:szCs w:val="18"/>
          <w:color w:val="auto"/>
        </w:rPr>
      </w:pPr>
    </w:p>
    <w:p>
      <w:pPr>
        <w:ind w:left="1260" w:right="60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76" w:lineRule="exact"/>
        <w:rPr>
          <w:rFonts w:ascii="Arial" w:cs="Arial" w:eastAsia="Arial" w:hAnsi="Arial"/>
          <w:sz w:val="18"/>
          <w:szCs w:val="18"/>
          <w:color w:val="auto"/>
        </w:rPr>
      </w:pPr>
    </w:p>
    <w:p>
      <w:pPr>
        <w:ind w:left="1260" w:hanging="503"/>
        <w:spacing w:after="0" w:line="261" w:lineRule="auto"/>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63"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7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3" w:lineRule="exact"/>
        <w:rPr>
          <w:sz w:val="20"/>
          <w:szCs w:val="20"/>
          <w:color w:val="auto"/>
        </w:rPr>
      </w:pPr>
    </w:p>
    <w:p>
      <w:pPr>
        <w:ind w:right="20" w:firstLine="749"/>
        <w:spacing w:after="0" w:line="256"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5" w:name="page66"/>
    <w:bookmarkEnd w:id="65"/>
    <w:p>
      <w:pPr>
        <w:ind w:right="140"/>
        <w:spacing w:after="0" w:line="277" w:lineRule="auto"/>
        <w:rPr>
          <w:sz w:val="20"/>
          <w:szCs w:val="20"/>
          <w:color w:val="auto"/>
        </w:rPr>
      </w:pPr>
      <w:r>
        <w:rPr>
          <w:rFonts w:ascii="Arial" w:cs="Arial" w:eastAsia="Arial" w:hAnsi="Arial"/>
          <w:sz w:val="18"/>
          <w:szCs w:val="18"/>
          <w:color w:val="auto"/>
        </w:rPr>
        <w:t>require us to incur non-recurring and other charges, increase our near- and long-term expenditures, issue securities that dilute our existing stockholders, or disrupt our management and business.</w:t>
      </w:r>
    </w:p>
    <w:p>
      <w:pPr>
        <w:spacing w:after="0" w:line="49"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58" w:lineRule="exact"/>
        <w:rPr>
          <w:sz w:val="20"/>
          <w:szCs w:val="20"/>
          <w:color w:val="auto"/>
        </w:rPr>
      </w:pPr>
    </w:p>
    <w:p>
      <w:pPr>
        <w:ind w:right="80" w:firstLine="749"/>
        <w:spacing w:after="0" w:line="256"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67" w:lineRule="exact"/>
        <w:rPr>
          <w:sz w:val="20"/>
          <w:szCs w:val="20"/>
          <w:color w:val="auto"/>
        </w:rPr>
      </w:pPr>
    </w:p>
    <w:p>
      <w:pPr>
        <w:ind w:right="100" w:firstLine="749"/>
        <w:spacing w:after="0" w:line="283"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4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76" w:lineRule="exact"/>
        <w:rPr>
          <w:sz w:val="20"/>
          <w:szCs w:val="20"/>
          <w:color w:val="auto"/>
        </w:rPr>
      </w:pPr>
    </w:p>
    <w:p>
      <w:pPr>
        <w:ind w:right="240" w:firstLine="749"/>
        <w:spacing w:after="0" w:line="262" w:lineRule="auto"/>
        <w:rPr>
          <w:sz w:val="20"/>
          <w:szCs w:val="20"/>
          <w:color w:val="auto"/>
        </w:rPr>
      </w:pPr>
      <w:r>
        <w:rPr>
          <w:rFonts w:ascii="Arial" w:cs="Arial" w:eastAsia="Arial" w:hAnsi="Arial"/>
          <w:sz w:val="17"/>
          <w:szCs w:val="17"/>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8" w:lineRule="exact"/>
        <w:rPr>
          <w:sz w:val="20"/>
          <w:szCs w:val="20"/>
          <w:color w:val="auto"/>
        </w:rPr>
      </w:pPr>
    </w:p>
    <w:p>
      <w:pPr>
        <w:ind w:left="1260" w:right="340" w:hanging="503"/>
        <w:spacing w:after="0" w:line="261"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62" w:lineRule="exact"/>
        <w:rPr>
          <w:rFonts w:ascii="Arial" w:cs="Arial" w:eastAsia="Arial" w:hAnsi="Arial"/>
          <w:sz w:val="18"/>
          <w:szCs w:val="18"/>
          <w:color w:val="auto"/>
        </w:rPr>
      </w:pPr>
    </w:p>
    <w:p>
      <w:pPr>
        <w:ind w:left="1260" w:right="120" w:hanging="503"/>
        <w:spacing w:after="0" w:line="268" w:lineRule="auto"/>
        <w:tabs>
          <w:tab w:leader="none" w:pos="1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Arial" w:cs="Arial" w:eastAsia="Arial" w:hAnsi="Arial"/>
          <w:sz w:val="17"/>
          <w:szCs w:val="17"/>
          <w:color w:val="auto"/>
        </w:rPr>
      </w:pPr>
    </w:p>
    <w:p>
      <w:pPr>
        <w:ind w:left="1260" w:right="560" w:hanging="503"/>
        <w:spacing w:after="0" w:line="324" w:lineRule="auto"/>
        <w:tabs>
          <w:tab w:leader="none" w:pos="1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16" w:lineRule="exact"/>
        <w:rPr>
          <w:rFonts w:ascii="Arial" w:cs="Arial" w:eastAsia="Arial" w:hAnsi="Arial"/>
          <w:sz w:val="16"/>
          <w:szCs w:val="16"/>
          <w:color w:val="auto"/>
        </w:rPr>
      </w:pPr>
    </w:p>
    <w:p>
      <w:pPr>
        <w:ind w:left="1260" w:right="220" w:hanging="503"/>
        <w:spacing w:after="0" w:line="308" w:lineRule="auto"/>
        <w:tabs>
          <w:tab w:leader="none" w:pos="1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4" w:lineRule="exact"/>
        <w:rPr>
          <w:rFonts w:ascii="Arial" w:cs="Arial" w:eastAsia="Arial" w:hAnsi="Arial"/>
          <w:sz w:val="17"/>
          <w:szCs w:val="17"/>
          <w:color w:val="auto"/>
        </w:rPr>
      </w:pPr>
    </w:p>
    <w:p>
      <w:pPr>
        <w:ind w:left="1260" w:right="240" w:hanging="503"/>
        <w:spacing w:after="0" w:line="256"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6" w:lineRule="exact"/>
        <w:rPr>
          <w:rFonts w:ascii="Arial" w:cs="Arial" w:eastAsia="Arial" w:hAnsi="Arial"/>
          <w:sz w:val="18"/>
          <w:szCs w:val="18"/>
          <w:color w:val="auto"/>
        </w:rPr>
      </w:pPr>
    </w:p>
    <w:p>
      <w:pPr>
        <w:ind w:left="1260" w:right="520" w:hanging="503"/>
        <w:spacing w:after="0" w:line="261"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grant exclusive rights to our collaborators that would prevent us from collaborating with others;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ind w:left="1260" w:hanging="503"/>
        <w:spacing w:after="0" w:line="249"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86" w:lineRule="exact"/>
        <w:rPr>
          <w:rFonts w:ascii="Arial" w:cs="Arial" w:eastAsia="Arial" w:hAnsi="Arial"/>
          <w:sz w:val="18"/>
          <w:szCs w:val="18"/>
          <w:color w:val="auto"/>
        </w:rPr>
      </w:pPr>
    </w:p>
    <w:p>
      <w:pPr>
        <w:ind w:left="1260" w:right="580" w:hanging="503"/>
        <w:spacing w:after="0" w:line="248"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7" w:lineRule="exact"/>
        <w:rPr>
          <w:rFonts w:ascii="Arial" w:cs="Arial" w:eastAsia="Arial" w:hAnsi="Arial"/>
          <w:sz w:val="18"/>
          <w:szCs w:val="18"/>
          <w:color w:val="auto"/>
        </w:rPr>
      </w:pPr>
    </w:p>
    <w:p>
      <w:pPr>
        <w:ind w:left="1260" w:right="680" w:hanging="503"/>
        <w:spacing w:after="0" w:line="261"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26" w:lineRule="exact"/>
        <w:rPr>
          <w:rFonts w:ascii="Arial" w:cs="Arial" w:eastAsia="Arial" w:hAnsi="Arial"/>
          <w:sz w:val="16"/>
          <w:szCs w:val="16"/>
          <w:color w:val="auto"/>
        </w:rPr>
      </w:pPr>
    </w:p>
    <w:p>
      <w:pPr>
        <w:ind w:left="1260" w:right="520" w:hanging="503"/>
        <w:spacing w:after="0" w:line="256"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6" w:lineRule="exact"/>
        <w:rPr>
          <w:rFonts w:ascii="Arial" w:cs="Arial" w:eastAsia="Arial" w:hAnsi="Arial"/>
          <w:sz w:val="18"/>
          <w:szCs w:val="18"/>
          <w:color w:val="auto"/>
        </w:rPr>
      </w:pPr>
    </w:p>
    <w:p>
      <w:pPr>
        <w:ind w:left="1260" w:right="160" w:hanging="503"/>
        <w:spacing w:after="0" w:line="277"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48" w:lineRule="exact"/>
        <w:rPr>
          <w:rFonts w:ascii="Arial" w:cs="Arial" w:eastAsia="Arial" w:hAnsi="Arial"/>
          <w:sz w:val="18"/>
          <w:szCs w:val="18"/>
          <w:color w:val="auto"/>
        </w:rPr>
      </w:pPr>
    </w:p>
    <w:p>
      <w:pPr>
        <w:ind w:left="1260" w:right="360" w:hanging="503"/>
        <w:spacing w:after="0" w:line="261" w:lineRule="auto"/>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76" w:lineRule="exact"/>
        <w:rPr>
          <w:sz w:val="20"/>
          <w:szCs w:val="20"/>
          <w:color w:val="auto"/>
        </w:rPr>
      </w:pPr>
    </w:p>
    <w:p>
      <w:pPr>
        <w:ind w:right="200" w:firstLine="749"/>
        <w:spacing w:after="0" w:line="243" w:lineRule="auto"/>
        <w:rPr>
          <w:sz w:val="20"/>
          <w:szCs w:val="20"/>
          <w:color w:val="auto"/>
        </w:rPr>
      </w:pPr>
      <w:r>
        <w:rPr>
          <w:rFonts w:ascii="Arial" w:cs="Arial" w:eastAsia="Arial" w:hAnsi="Arial"/>
          <w:sz w:val="18"/>
          <w:szCs w:val="18"/>
          <w:color w:val="auto"/>
        </w:rPr>
        <w:t>Prior to our IPO in April 2020, there was no public market for shares of our common stock. Shares of our common stock only recently began trading on Nasdaq,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is volatile.</w:t>
      </w:r>
    </w:p>
    <w:p>
      <w:pPr>
        <w:spacing w:after="0" w:line="117" w:lineRule="exact"/>
        <w:rPr>
          <w:sz w:val="20"/>
          <w:szCs w:val="20"/>
          <w:color w:val="auto"/>
        </w:rPr>
      </w:pPr>
    </w:p>
    <w:p>
      <w:pPr>
        <w:ind w:right="160" w:firstLine="749"/>
        <w:spacing w:after="0" w:line="270"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Broad market and industry factors may negatively affect the market price of our common stock, regardless of our actual operating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factors discussed in this “Risk factors” section and elsewhere in this periodic report, these factors include:</w:t>
      </w:r>
    </w:p>
    <w:p>
      <w:pPr>
        <w:spacing w:after="0" w:line="88" w:lineRule="exact"/>
        <w:rPr>
          <w:sz w:val="20"/>
          <w:szCs w:val="20"/>
          <w:color w:val="auto"/>
        </w:rPr>
      </w:pPr>
    </w:p>
    <w:p>
      <w:pPr>
        <w:ind w:left="1260" w:right="140" w:hanging="503"/>
        <w:spacing w:after="0" w:line="277"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of our product candidates, those conducted by third parties or those of our competitors;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260" w:right="400" w:hanging="503"/>
        <w:spacing w:after="0" w:line="261" w:lineRule="auto"/>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67" w:name="page68"/>
    <w:bookmarkEnd w:id="67"/>
    <w:p>
      <w:pPr>
        <w:ind w:left="1260" w:hanging="503"/>
        <w:spacing w:after="0"/>
        <w:tabs>
          <w:tab w:leader="none" w:pos="1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the military conflict between Russia and Ukraine.</w:t>
      </w:r>
    </w:p>
    <w:p>
      <w:pPr>
        <w:spacing w:after="0" w:line="104"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4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76" w:lineRule="exact"/>
        <w:rPr>
          <w:sz w:val="20"/>
          <w:szCs w:val="20"/>
          <w:color w:val="auto"/>
        </w:rPr>
      </w:pPr>
    </w:p>
    <w:p>
      <w:pPr>
        <w:ind w:right="40" w:firstLine="749"/>
        <w:spacing w:after="0" w:line="283"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49"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78" w:lineRule="exact"/>
        <w:rPr>
          <w:sz w:val="20"/>
          <w:szCs w:val="20"/>
          <w:color w:val="auto"/>
        </w:rPr>
      </w:pPr>
    </w:p>
    <w:p>
      <w:pPr>
        <w:jc w:val="both"/>
        <w:ind w:right="80" w:firstLine="749"/>
        <w:spacing w:after="0" w:line="24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86" w:lineRule="exact"/>
        <w:rPr>
          <w:sz w:val="20"/>
          <w:szCs w:val="20"/>
          <w:color w:val="auto"/>
        </w:rPr>
      </w:pPr>
    </w:p>
    <w:p>
      <w:pPr>
        <w:jc w:val="both"/>
        <w:ind w:right="100" w:firstLine="749"/>
        <w:spacing w:after="0" w:line="261"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3" w:lineRule="exact"/>
        <w:rPr>
          <w:sz w:val="20"/>
          <w:szCs w:val="20"/>
          <w:color w:val="auto"/>
        </w:rPr>
      </w:pPr>
    </w:p>
    <w:p>
      <w:pPr>
        <w:ind w:left="1260" w:right="100" w:hanging="503"/>
        <w:spacing w:after="0" w:line="277"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03" w:lineRule="exact"/>
        <w:rPr>
          <w:rFonts w:ascii="Arial" w:cs="Arial" w:eastAsia="Arial" w:hAnsi="Arial"/>
          <w:sz w:val="18"/>
          <w:szCs w:val="18"/>
          <w:color w:val="auto"/>
        </w:rPr>
      </w:pPr>
    </w:p>
    <w:p>
      <w:pPr>
        <w:ind w:left="1260" w:hanging="503"/>
        <w:spacing w:after="0" w:line="256"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outcomes of clinical trials for any of our product candidates, or competing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68" w:name="page69"/>
    <w:bookmarkEnd w:id="68"/>
    <w:p>
      <w:pPr>
        <w:ind w:left="1260" w:right="100" w:hanging="503"/>
        <w:spacing w:after="0" w:line="27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any of our product candidates, and changes in the competitive landscape of our industry, including consolidation among our competitors or partners;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delays in regulatory review or approval of any of our product candidates;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level of demand for any of our product candidates, if approved, which may fluctuate significantly and be difficult to predict;</w:t>
      </w:r>
    </w:p>
    <w:p>
      <w:pPr>
        <w:spacing w:after="0" w:line="128" w:lineRule="exact"/>
        <w:rPr>
          <w:rFonts w:ascii="Arial" w:cs="Arial" w:eastAsia="Arial" w:hAnsi="Arial"/>
          <w:sz w:val="17"/>
          <w:szCs w:val="17"/>
          <w:color w:val="auto"/>
        </w:rPr>
      </w:pPr>
    </w:p>
    <w:p>
      <w:pPr>
        <w:ind w:left="1260" w:right="240" w:hanging="503"/>
        <w:spacing w:after="0" w:line="261"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62" w:lineRule="exact"/>
        <w:rPr>
          <w:rFonts w:ascii="Arial" w:cs="Arial" w:eastAsia="Arial" w:hAnsi="Arial"/>
          <w:sz w:val="18"/>
          <w:szCs w:val="18"/>
          <w:color w:val="auto"/>
        </w:rPr>
      </w:pPr>
    </w:p>
    <w:p>
      <w:pPr>
        <w:ind w:left="1260" w:right="160" w:hanging="503"/>
        <w:spacing w:after="0" w:line="277"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commercialize any of our product candidates, if approved, inside and outside of the United States, either independently or working with third parties;</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04" w:lineRule="exact"/>
        <w:rPr>
          <w:sz w:val="20"/>
          <w:szCs w:val="20"/>
          <w:color w:val="auto"/>
        </w:rPr>
      </w:pPr>
    </w:p>
    <w:p>
      <w:pPr>
        <w:ind w:right="100" w:firstLine="749"/>
        <w:spacing w:after="0" w:line="28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49" w:lineRule="exact"/>
        <w:rPr>
          <w:sz w:val="20"/>
          <w:szCs w:val="20"/>
          <w:color w:val="auto"/>
        </w:rPr>
      </w:pPr>
    </w:p>
    <w:p>
      <w:pPr>
        <w:ind w:right="60" w:firstLine="749"/>
        <w:spacing w:after="0" w:line="280" w:lineRule="auto"/>
        <w:rPr>
          <w:sz w:val="20"/>
          <w:szCs w:val="20"/>
          <w:color w:val="auto"/>
        </w:rPr>
      </w:pPr>
      <w:r>
        <w:rPr>
          <w:rFonts w:ascii="Arial" w:cs="Arial" w:eastAsia="Arial" w:hAnsi="Arial"/>
          <w:sz w:val="16"/>
          <w:szCs w:val="16"/>
          <w:color w:val="auto"/>
        </w:rPr>
        <w:t>As of June 30, 2022, our executive officers, directors, holders of 5% or more of our common stock and their respective affiliates beneficially owned approximately 55%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140" w:firstLine="749"/>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25"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4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49" w:lineRule="exact"/>
        <w:rPr>
          <w:sz w:val="20"/>
          <w:szCs w:val="20"/>
          <w:color w:val="auto"/>
        </w:rPr>
      </w:pPr>
    </w:p>
    <w:p>
      <w:pPr>
        <w:ind w:right="100" w:firstLine="749"/>
        <w:spacing w:after="0" w:line="256"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7" w:lineRule="exact"/>
        <w:rPr>
          <w:sz w:val="20"/>
          <w:szCs w:val="20"/>
          <w:color w:val="auto"/>
        </w:rPr>
      </w:pPr>
    </w:p>
    <w:p>
      <w:pPr>
        <w:ind w:left="1260" w:right="260" w:hanging="503"/>
        <w:spacing w:after="0" w:line="248" w:lineRule="auto"/>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69" w:name="page70"/>
    <w:bookmarkEnd w:id="69"/>
    <w:p>
      <w:pPr>
        <w:ind w:left="1260" w:right="340" w:hanging="503"/>
        <w:spacing w:after="0" w:line="277"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(Sarbanes-Oxley Act);</w:t>
      </w:r>
    </w:p>
    <w:p>
      <w:pPr>
        <w:spacing w:after="0" w:line="48" w:lineRule="exact"/>
        <w:rPr>
          <w:rFonts w:ascii="Arial" w:cs="Arial" w:eastAsia="Arial" w:hAnsi="Arial"/>
          <w:sz w:val="18"/>
          <w:szCs w:val="18"/>
          <w:color w:val="auto"/>
        </w:rPr>
      </w:pPr>
    </w:p>
    <w:p>
      <w:pPr>
        <w:ind w:left="1260" w:right="200" w:hanging="503"/>
        <w:spacing w:after="0" w:line="256"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6" w:lineRule="exact"/>
        <w:rPr>
          <w:rFonts w:ascii="Arial" w:cs="Arial" w:eastAsia="Arial" w:hAnsi="Arial"/>
          <w:sz w:val="18"/>
          <w:szCs w:val="18"/>
          <w:color w:val="auto"/>
        </w:rPr>
      </w:pPr>
    </w:p>
    <w:p>
      <w:pPr>
        <w:ind w:left="1260" w:hanging="503"/>
        <w:spacing w:after="0"/>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03" w:lineRule="exact"/>
        <w:rPr>
          <w:rFonts w:ascii="Arial" w:cs="Arial" w:eastAsia="Arial" w:hAnsi="Arial"/>
          <w:sz w:val="18"/>
          <w:szCs w:val="18"/>
          <w:color w:val="auto"/>
        </w:rPr>
      </w:pPr>
    </w:p>
    <w:p>
      <w:pPr>
        <w:ind w:left="1260" w:hanging="503"/>
        <w:spacing w:after="0" w:line="277"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49"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not to avail ourselves of this exemption from new or revised accounting standards and, therefore, will be subject to the same new or revised accounting standards as other public companies that are not emerging growth companies. As a result, our financial statements may not be comparable to emerging growth companies that elect to avail themselves of the exemption from new or revised accounting pronouncements as of public company effective dates.</w:t>
      </w:r>
    </w:p>
    <w:p>
      <w:pPr>
        <w:spacing w:after="0" w:line="78" w:lineRule="exact"/>
        <w:rPr>
          <w:sz w:val="20"/>
          <w:szCs w:val="20"/>
          <w:color w:val="auto"/>
        </w:rPr>
      </w:pPr>
    </w:p>
    <w:p>
      <w:pPr>
        <w:ind w:right="20" w:firstLine="749"/>
        <w:spacing w:after="0" w:line="303"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32" w:lineRule="exact"/>
        <w:rPr>
          <w:sz w:val="20"/>
          <w:szCs w:val="20"/>
          <w:color w:val="auto"/>
        </w:rPr>
      </w:pPr>
    </w:p>
    <w:p>
      <w:pPr>
        <w:ind w:right="240" w:firstLine="749"/>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40" w:firstLine="749"/>
        <w:spacing w:after="0" w:line="258"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2" w:lineRule="exact"/>
        <w:rPr>
          <w:sz w:val="20"/>
          <w:szCs w:val="20"/>
          <w:color w:val="auto"/>
        </w:rPr>
      </w:pPr>
    </w:p>
    <w:p>
      <w:pPr>
        <w:ind w:right="100" w:firstLine="749"/>
        <w:spacing w:after="0" w:line="260" w:lineRule="auto"/>
        <w:rPr>
          <w:sz w:val="20"/>
          <w:szCs w:val="20"/>
          <w:color w:val="auto"/>
        </w:rPr>
      </w:pPr>
      <w:r>
        <w:rPr>
          <w:rFonts w:ascii="Arial" w:cs="Arial" w:eastAsia="Arial" w:hAnsi="Arial"/>
          <w:sz w:val="17"/>
          <w:szCs w:val="17"/>
          <w:color w:val="auto"/>
        </w:rPr>
        <w:t>In addition, as a public company we are required to incur additional costs and obligations in order to comply with SEC rules that implement Section 404 of the Sarbanes-Oxley Act. Under these rules, beginning with our second Annual Report on Form 10-K as a public company, we will be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65" w:lineRule="exact"/>
        <w:rPr>
          <w:sz w:val="20"/>
          <w:szCs w:val="20"/>
          <w:color w:val="auto"/>
        </w:rPr>
      </w:pPr>
    </w:p>
    <w:p>
      <w:pPr>
        <w:ind w:right="260" w:firstLine="749"/>
        <w:spacing w:after="0" w:line="244"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0" w:name="page71"/>
    <w:bookmarkEnd w:id="70"/>
    <w:p>
      <w:pPr>
        <w:ind w:right="20" w:firstLine="749"/>
        <w:spacing w:after="0" w:line="24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right="120" w:firstLine="749"/>
        <w:spacing w:after="0" w:line="245"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8" w:lineRule="exact"/>
        <w:rPr>
          <w:sz w:val="20"/>
          <w:szCs w:val="20"/>
          <w:color w:val="auto"/>
        </w:rPr>
      </w:pPr>
    </w:p>
    <w:p>
      <w:pPr>
        <w:ind w:right="40" w:firstLine="749"/>
        <w:spacing w:after="0" w:line="24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87" w:lineRule="exact"/>
        <w:rPr>
          <w:sz w:val="20"/>
          <w:szCs w:val="20"/>
          <w:color w:val="auto"/>
        </w:rPr>
      </w:pPr>
    </w:p>
    <w:p>
      <w:pPr>
        <w:ind w:right="320"/>
        <w:spacing w:after="0" w:line="356"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 w:lineRule="exact"/>
        <w:rPr>
          <w:sz w:val="20"/>
          <w:szCs w:val="20"/>
          <w:color w:val="auto"/>
        </w:rPr>
      </w:pPr>
    </w:p>
    <w:p>
      <w:pPr>
        <w:jc w:val="both"/>
        <w:ind w:right="40" w:firstLine="749"/>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7" w:lineRule="exact"/>
        <w:rPr>
          <w:sz w:val="20"/>
          <w:szCs w:val="20"/>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03" w:lineRule="exact"/>
        <w:rPr>
          <w:rFonts w:ascii="Arial" w:cs="Arial" w:eastAsia="Arial" w:hAnsi="Arial"/>
          <w:sz w:val="18"/>
          <w:szCs w:val="18"/>
          <w:color w:val="auto"/>
        </w:rPr>
      </w:pPr>
    </w:p>
    <w:p>
      <w:pPr>
        <w:ind w:left="1260" w:right="140" w:hanging="503"/>
        <w:spacing w:after="0" w:line="261"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15" w:lineRule="exact"/>
        <w:rPr>
          <w:rFonts w:ascii="Arial" w:cs="Arial" w:eastAsia="Arial" w:hAnsi="Arial"/>
          <w:sz w:val="17"/>
          <w:szCs w:val="17"/>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03" w:lineRule="exact"/>
        <w:rPr>
          <w:rFonts w:ascii="Arial" w:cs="Arial" w:eastAsia="Arial" w:hAnsi="Arial"/>
          <w:sz w:val="18"/>
          <w:szCs w:val="18"/>
          <w:color w:val="auto"/>
        </w:rPr>
      </w:pPr>
    </w:p>
    <w:p>
      <w:pPr>
        <w:ind w:left="1260" w:right="600" w:hanging="503"/>
        <w:spacing w:after="0" w:line="261" w:lineRule="auto"/>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76" w:lineRule="exact"/>
        <w:rPr>
          <w:rFonts w:ascii="Arial" w:cs="Arial" w:eastAsia="Arial" w:hAnsi="Arial"/>
          <w:sz w:val="18"/>
          <w:szCs w:val="18"/>
          <w:color w:val="auto"/>
        </w:rPr>
      </w:pPr>
    </w:p>
    <w:p>
      <w:pPr>
        <w:ind w:left="1260" w:hanging="503"/>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104" w:lineRule="exact"/>
        <w:rPr>
          <w:sz w:val="20"/>
          <w:szCs w:val="20"/>
          <w:color w:val="auto"/>
        </w:rPr>
      </w:pPr>
    </w:p>
    <w:p>
      <w:pPr>
        <w:ind w:right="100" w:firstLine="749"/>
        <w:spacing w:after="0" w:line="249"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1" w:name="page72"/>
    <w:bookmarkEnd w:id="71"/>
    <w:p>
      <w:pPr>
        <w:ind w:right="280" w:firstLine="749"/>
        <w:spacing w:after="0" w:line="256"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67" w:lineRule="exact"/>
        <w:rPr>
          <w:sz w:val="20"/>
          <w:szCs w:val="20"/>
          <w:color w:val="auto"/>
        </w:rPr>
      </w:pPr>
    </w:p>
    <w:p>
      <w:pPr>
        <w:ind w:right="200" w:firstLine="749"/>
        <w:spacing w:after="0" w:line="263"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6" w:lineRule="exact"/>
        <w:rPr>
          <w:sz w:val="20"/>
          <w:szCs w:val="20"/>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03" w:lineRule="exact"/>
        <w:rPr>
          <w:rFonts w:ascii="Arial" w:cs="Arial" w:eastAsia="Arial" w:hAnsi="Arial"/>
          <w:sz w:val="18"/>
          <w:szCs w:val="18"/>
          <w:color w:val="auto"/>
        </w:rPr>
      </w:pPr>
    </w:p>
    <w:p>
      <w:pPr>
        <w:ind w:left="1260" w:right="40" w:hanging="503"/>
        <w:spacing w:after="0" w:line="277" w:lineRule="auto"/>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48" w:lineRule="exact"/>
        <w:rPr>
          <w:rFonts w:ascii="Arial" w:cs="Arial" w:eastAsia="Arial" w:hAnsi="Arial"/>
          <w:sz w:val="18"/>
          <w:szCs w:val="18"/>
          <w:color w:val="auto"/>
        </w:rPr>
      </w:pPr>
    </w:p>
    <w:p>
      <w:pPr>
        <w:ind w:left="1260" w:hanging="503"/>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provision does not apply to suits brought to enforce a duty or liability created by the Exchange Act or any other claim for which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89"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76" w:lineRule="exact"/>
        <w:rPr>
          <w:sz w:val="20"/>
          <w:szCs w:val="20"/>
          <w:color w:val="auto"/>
        </w:rPr>
      </w:pPr>
    </w:p>
    <w:p>
      <w:pPr>
        <w:ind w:right="40" w:firstLine="749"/>
        <w:spacing w:after="0" w:line="245"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78" w:lineRule="exact"/>
        <w:rPr>
          <w:sz w:val="20"/>
          <w:szCs w:val="20"/>
          <w:color w:val="auto"/>
        </w:rPr>
      </w:pPr>
    </w:p>
    <w:p>
      <w:pPr>
        <w:ind w:right="340" w:firstLine="749"/>
        <w:spacing w:after="0" w:line="256" w:lineRule="auto"/>
        <w:rPr>
          <w:sz w:val="20"/>
          <w:szCs w:val="20"/>
          <w:color w:val="auto"/>
        </w:rPr>
      </w:pPr>
      <w:r>
        <w:rPr>
          <w:rFonts w:ascii="Arial" w:cs="Arial" w:eastAsia="Arial" w:hAnsi="Arial"/>
          <w:sz w:val="18"/>
          <w:szCs w:val="18"/>
          <w:color w:val="auto"/>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08"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color w:val="auto"/>
        </w:rPr>
        <w:t>The Registration Statements on Form S-1 (File Nos. 333-236792 and 333-237814) were declared effective by the SEC for our IPO of common stock on April 23, 2020. We started trading on the Nasdaq Global Select Market on April 24, 2020. In connection with our IPO, we sold an aggregate of 8,625,000 shares of common stock at a public offering price of $16.00 per share, including 1,125,000 shares sold pursuant to the underwriters’ full exercise of their option to purchase additional shares. The underwriters for our IPO were J.P. Morgan Securities LLC, Citigroup Global Markets Inc., Jefferies LLC, and Guggenheim Securities, LLC. The aggregate gross proceeds received by the Company from the offering, excluding underwriting discounts and commissions and offering expenses, were $138.0 million.</w:t>
      </w:r>
    </w:p>
    <w:p>
      <w:pPr>
        <w:spacing w:after="0" w:line="77" w:lineRule="exact"/>
        <w:rPr>
          <w:sz w:val="20"/>
          <w:szCs w:val="20"/>
          <w:color w:val="auto"/>
        </w:rPr>
      </w:pPr>
    </w:p>
    <w:p>
      <w:pPr>
        <w:jc w:val="both"/>
        <w:ind w:right="40" w:firstLine="749"/>
        <w:spacing w:after="0" w:line="276" w:lineRule="auto"/>
        <w:rPr>
          <w:sz w:val="20"/>
          <w:szCs w:val="20"/>
          <w:color w:val="auto"/>
        </w:rPr>
      </w:pPr>
      <w:r>
        <w:rPr>
          <w:rFonts w:ascii="Arial" w:cs="Arial" w:eastAsia="Arial" w:hAnsi="Arial"/>
          <w:sz w:val="16"/>
          <w:szCs w:val="16"/>
          <w:color w:val="auto"/>
        </w:rPr>
        <w:t>The Registration Statements on Form S-1 (File Nos. 333-250001 and 333-250053) were declared effective by the SEC for our follow-on offering of common stock on November 12, 2020. In connection with our follow-on offering, we sold an aggregate of 5,796,000 shares of common stock at a public offering price of $23.00 per share, including 756,000 shares sold pursuant to the underwriters’ full exercise of their option to purchase additional shares.</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underwriters for our follow-on offering were J.P. Morgan Securities LLC, Citigroup Global Markets Inc., Jefferies LLC, Guggenheim Securities, LLC and Oppenheimer &amp; Co. Inc. The aggregate gross proceeds received by the Company from the offering, excluding underwriting discounts and commissions and offering expenses was $133.3 million.</w:t>
      </w:r>
    </w:p>
    <w:p>
      <w:pPr>
        <w:spacing w:after="0" w:line="77"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There has been no material change in the planned use of proceeds from our public offerings as described in our final prospectuses filed with the SEC pursuant to Rule 424(b)(4) on April 24, 2020 and November 13, 2020. We invested the funds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8"/>
          <w:szCs w:val="18"/>
          <w:color w:val="auto"/>
        </w:rPr>
        <w:t>received in short- and intermediate-term, interest-bearing obligations, investment-grade instruments, certificates of deposit or direct or guaranteed obligations of the U.S. government.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436" w:right="10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9"/>
              </w:rPr>
              <w:t>Incorporated by Reference</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40" w:type="dxa"/>
            <w:vAlign w:val="bottom"/>
          </w:tcPr>
          <w:p>
            <w:pPr>
              <w:ind w:left="300"/>
              <w:spacing w:after="0" w:line="126" w:lineRule="exact"/>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0"/>
                <w:szCs w:val="10"/>
                <w:color w:val="auto"/>
              </w:rPr>
            </w:pPr>
          </w:p>
        </w:tc>
        <w:tc>
          <w:tcPr>
            <w:tcW w:w="4440" w:type="dxa"/>
            <w:vAlign w:val="bottom"/>
            <w:gridSpan w:val="15"/>
            <w:vMerge w:val="restart"/>
          </w:tcPr>
          <w:p>
            <w:pPr>
              <w:ind w:left="1480"/>
              <w:spacing w:after="0"/>
              <w:rPr>
                <w:sz w:val="20"/>
                <w:szCs w:val="20"/>
                <w:color w:val="auto"/>
              </w:rPr>
            </w:pPr>
            <w:r>
              <w:rPr>
                <w:rFonts w:ascii="Arial" w:cs="Arial" w:eastAsia="Arial" w:hAnsi="Arial"/>
                <w:sz w:val="14"/>
                <w:szCs w:val="14"/>
                <w:b w:val="1"/>
                <w:bCs w:val="1"/>
                <w:color w:val="auto"/>
              </w:rPr>
              <w:t>Exhibit Description</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240" w:type="dxa"/>
            <w:vAlign w:val="bottom"/>
          </w:tcPr>
          <w:p>
            <w:pPr>
              <w:spacing w:after="0"/>
              <w:rPr>
                <w:sz w:val="10"/>
                <w:szCs w:val="10"/>
                <w:color w:val="auto"/>
              </w:rPr>
            </w:pPr>
          </w:p>
        </w:tc>
        <w:tc>
          <w:tcPr>
            <w:tcW w:w="12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180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5"/>
        </w:trPr>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6"/>
                <w:szCs w:val="16"/>
                <w:color w:val="auto"/>
              </w:rPr>
            </w:pPr>
          </w:p>
        </w:tc>
        <w:tc>
          <w:tcPr>
            <w:tcW w:w="4440" w:type="dxa"/>
            <w:vAlign w:val="bottom"/>
            <w:gridSpan w:val="15"/>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4"/>
                <w:szCs w:val="14"/>
                <w:color w:val="auto"/>
              </w:rPr>
            </w:pPr>
          </w:p>
        </w:tc>
        <w:tc>
          <w:tcPr>
            <w:tcW w:w="4240" w:type="dxa"/>
            <w:vAlign w:val="bottom"/>
            <w:tcBorders>
              <w:top w:val="single" w:sz="8" w:color="auto"/>
            </w:tcBorders>
            <w:gridSpan w:val="14"/>
          </w:tcPr>
          <w:p>
            <w:pPr>
              <w:spacing w:after="0" w:line="169" w:lineRule="exact"/>
              <w:rPr>
                <w:rFonts w:ascii="Arial" w:cs="Arial" w:eastAsia="Arial" w:hAnsi="Arial"/>
                <w:sz w:val="18"/>
                <w:szCs w:val="18"/>
                <w:color w:val="0000FF"/>
                <w:w w:val="92"/>
              </w:rPr>
            </w:pPr>
            <w:hyperlink r:id="rId297">
              <w:r>
                <w:rPr>
                  <w:rFonts w:ascii="Arial" w:cs="Arial" w:eastAsia="Arial" w:hAnsi="Arial"/>
                  <w:sz w:val="18"/>
                  <w:szCs w:val="18"/>
                  <w:color w:val="0000FF"/>
                  <w:w w:val="92"/>
                </w:rPr>
                <w:t>2022 Inducement Equity Incentive Plan and related forms</w:t>
              </w:r>
            </w:hyperlink>
          </w:p>
        </w:tc>
        <w:tc>
          <w:tcPr>
            <w:tcW w:w="20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4"/>
                <w:szCs w:val="14"/>
                <w:color w:val="auto"/>
              </w:rPr>
            </w:pPr>
          </w:p>
        </w:tc>
        <w:tc>
          <w:tcPr>
            <w:tcW w:w="1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001-39269</w:t>
            </w:r>
          </w:p>
        </w:tc>
        <w:tc>
          <w:tcPr>
            <w:tcW w:w="240" w:type="dxa"/>
            <w:vAlign w:val="bottom"/>
          </w:tcPr>
          <w:p>
            <w:pPr>
              <w:spacing w:after="0"/>
              <w:rPr>
                <w:sz w:val="14"/>
                <w:szCs w:val="14"/>
                <w:color w:val="auto"/>
              </w:rPr>
            </w:pPr>
          </w:p>
        </w:tc>
        <w:tc>
          <w:tcPr>
            <w:tcW w:w="8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center"/>
              <w:ind w:right="91"/>
              <w:spacing w:after="0" w:line="169" w:lineRule="exact"/>
              <w:rPr>
                <w:sz w:val="20"/>
                <w:szCs w:val="20"/>
                <w:color w:val="auto"/>
              </w:rPr>
            </w:pPr>
            <w:r>
              <w:rPr>
                <w:rFonts w:ascii="Arial" w:cs="Arial" w:eastAsia="Arial" w:hAnsi="Arial"/>
                <w:sz w:val="18"/>
                <w:szCs w:val="18"/>
                <w:color w:val="auto"/>
                <w:w w:val="91"/>
              </w:rPr>
              <w:t>3/4/22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297">
              <w:r>
                <w:rPr>
                  <w:rFonts w:ascii="Arial" w:cs="Arial" w:eastAsia="Arial" w:hAnsi="Arial"/>
                  <w:sz w:val="18"/>
                  <w:szCs w:val="18"/>
                  <w:color w:val="0000FF"/>
                </w:rPr>
                <w:t>of stock option and restricted stock unit agreements.</w:t>
              </w:r>
            </w:hyperlink>
          </w:p>
        </w:tc>
        <w:tc>
          <w:tcPr>
            <w:tcW w:w="22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260" w:type="dxa"/>
            <w:vAlign w:val="bottom"/>
          </w:tcPr>
          <w:p>
            <w:pPr>
              <w:spacing w:after="0"/>
              <w:rPr>
                <w:sz w:val="17"/>
                <w:szCs w:val="17"/>
                <w:color w:val="auto"/>
              </w:rPr>
            </w:pPr>
          </w:p>
        </w:tc>
        <w:tc>
          <w:tcPr>
            <w:tcW w:w="4440" w:type="dxa"/>
            <w:vAlign w:val="bottom"/>
            <w:gridSpan w:val="15"/>
          </w:tcPr>
          <w:p>
            <w:pPr>
              <w:spacing w:after="0" w:line="196" w:lineRule="exact"/>
              <w:rPr>
                <w:rFonts w:ascii="Arial" w:cs="Arial" w:eastAsia="Arial" w:hAnsi="Arial"/>
                <w:sz w:val="18"/>
                <w:szCs w:val="18"/>
                <w:color w:val="0000FF"/>
              </w:rPr>
            </w:pPr>
            <w:hyperlink r:id="rId298">
              <w:r>
                <w:rPr>
                  <w:rFonts w:ascii="Arial" w:cs="Arial" w:eastAsia="Arial" w:hAnsi="Arial"/>
                  <w:sz w:val="18"/>
                  <w:szCs w:val="18"/>
                  <w:color w:val="0000FF"/>
                </w:rPr>
                <w:t>License Agreement between the registrant and Mirati</w:t>
              </w:r>
            </w:hyperlink>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9"/>
              </w:rPr>
              <w:t>10-Q</w:t>
            </w:r>
          </w:p>
        </w:tc>
        <w:tc>
          <w:tcPr>
            <w:tcW w:w="146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001-39269</w:t>
            </w:r>
          </w:p>
        </w:tc>
        <w:tc>
          <w:tcPr>
            <w:tcW w:w="1100" w:type="dxa"/>
            <w:vAlign w:val="bottom"/>
            <w:gridSpan w:val="2"/>
          </w:tcPr>
          <w:p>
            <w:pPr>
              <w:jc w:val="center"/>
              <w:ind w:left="170"/>
              <w:spacing w:after="0" w:line="196" w:lineRule="exact"/>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91"/>
              <w:spacing w:after="0" w:line="196" w:lineRule="exact"/>
              <w:rPr>
                <w:sz w:val="20"/>
                <w:szCs w:val="20"/>
                <w:color w:val="auto"/>
              </w:rPr>
            </w:pPr>
            <w:r>
              <w:rPr>
                <w:rFonts w:ascii="Arial" w:cs="Arial" w:eastAsia="Arial" w:hAnsi="Arial"/>
                <w:sz w:val="18"/>
                <w:szCs w:val="18"/>
                <w:color w:val="auto"/>
                <w:w w:val="91"/>
              </w:rPr>
              <w:t>5/9/22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8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r:id="rId298">
              <w:r>
                <w:rPr>
                  <w:rFonts w:ascii="Arial" w:cs="Arial" w:eastAsia="Arial" w:hAnsi="Arial"/>
                  <w:sz w:val="18"/>
                  <w:szCs w:val="18"/>
                  <w:color w:val="0000FF"/>
                </w:rPr>
                <w:t>Therapeutics, Inc., dated as of August 3, 2020.</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260" w:type="dxa"/>
            <w:vAlign w:val="bottom"/>
          </w:tcPr>
          <w:p>
            <w:pPr>
              <w:spacing w:after="0"/>
              <w:rPr>
                <w:sz w:val="17"/>
                <w:szCs w:val="17"/>
                <w:color w:val="auto"/>
              </w:rPr>
            </w:pPr>
          </w:p>
        </w:tc>
        <w:tc>
          <w:tcPr>
            <w:tcW w:w="4440" w:type="dxa"/>
            <w:vAlign w:val="bottom"/>
            <w:gridSpan w:val="15"/>
          </w:tcPr>
          <w:p>
            <w:pPr>
              <w:spacing w:after="0" w:line="196" w:lineRule="exact"/>
              <w:rPr>
                <w:rFonts w:ascii="Arial" w:cs="Arial" w:eastAsia="Arial" w:hAnsi="Arial"/>
                <w:sz w:val="18"/>
                <w:szCs w:val="18"/>
                <w:color w:val="0000FF"/>
              </w:rPr>
            </w:pPr>
            <w:hyperlink r:id="rId299">
              <w:r>
                <w:rPr>
                  <w:rFonts w:ascii="Arial" w:cs="Arial" w:eastAsia="Arial" w:hAnsi="Arial"/>
                  <w:sz w:val="18"/>
                  <w:szCs w:val="18"/>
                  <w:color w:val="0000FF"/>
                </w:rPr>
                <w:t>License and Collaboration Agreement between the</w:t>
              </w:r>
            </w:hyperlink>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89"/>
              </w:rPr>
              <w:t>10-Q</w:t>
            </w:r>
          </w:p>
        </w:tc>
        <w:tc>
          <w:tcPr>
            <w:tcW w:w="146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001-39269</w:t>
            </w:r>
          </w:p>
        </w:tc>
        <w:tc>
          <w:tcPr>
            <w:tcW w:w="1100" w:type="dxa"/>
            <w:vAlign w:val="bottom"/>
            <w:gridSpan w:val="2"/>
          </w:tcPr>
          <w:p>
            <w:pPr>
              <w:jc w:val="center"/>
              <w:ind w:left="170"/>
              <w:spacing w:after="0" w:line="196" w:lineRule="exact"/>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91"/>
              <w:spacing w:after="0" w:line="196" w:lineRule="exact"/>
              <w:rPr>
                <w:sz w:val="20"/>
                <w:szCs w:val="20"/>
                <w:color w:val="auto"/>
              </w:rPr>
            </w:pPr>
            <w:r>
              <w:rPr>
                <w:rFonts w:ascii="Arial" w:cs="Arial" w:eastAsia="Arial" w:hAnsi="Arial"/>
                <w:sz w:val="18"/>
                <w:szCs w:val="18"/>
                <w:color w:val="auto"/>
                <w:w w:val="91"/>
              </w:rPr>
              <w:t>5/9/22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89"/>
              </w:rPr>
            </w:pPr>
            <w:hyperlink r:id="rId299">
              <w:r>
                <w:rPr>
                  <w:rFonts w:ascii="Arial" w:cs="Arial" w:eastAsia="Arial" w:hAnsi="Arial"/>
                  <w:sz w:val="18"/>
                  <w:szCs w:val="18"/>
                  <w:color w:val="0000FF"/>
                  <w:w w:val="89"/>
                </w:rPr>
                <w:t>registrant and Voronoi, Inc., dated as of October 19,</w:t>
              </w:r>
            </w:hyperlink>
          </w:p>
        </w:tc>
        <w:tc>
          <w:tcPr>
            <w:tcW w:w="460" w:type="dxa"/>
            <w:vAlign w:val="bottom"/>
            <w:tcBorders>
              <w:bottom w:val="single" w:sz="8" w:color="0000FF"/>
            </w:tcBorders>
            <w:gridSpan w:val="7"/>
          </w:tcPr>
          <w:p>
            <w:pPr>
              <w:jc w:val="right"/>
              <w:ind w:right="20"/>
              <w:spacing w:after="0" w:line="169" w:lineRule="exact"/>
              <w:rPr>
                <w:rFonts w:ascii="Arial" w:cs="Arial" w:eastAsia="Arial" w:hAnsi="Arial"/>
                <w:sz w:val="18"/>
                <w:szCs w:val="18"/>
                <w:color w:val="0000FF"/>
                <w:w w:val="93"/>
              </w:rPr>
            </w:pPr>
            <w:hyperlink r:id="rId299">
              <w:r>
                <w:rPr>
                  <w:rFonts w:ascii="Arial" w:cs="Arial" w:eastAsia="Arial" w:hAnsi="Arial"/>
                  <w:sz w:val="18"/>
                  <w:szCs w:val="18"/>
                  <w:color w:val="0000FF"/>
                  <w:w w:val="93"/>
                </w:rPr>
                <w:t>2020.</w:t>
              </w:r>
            </w:hyperlink>
          </w:p>
        </w:tc>
        <w:tc>
          <w:tcPr>
            <w:tcW w:w="24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1"/>
              <w:spacing w:after="0" w:line="196"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9"/>
              </w:rPr>
              <w:t>Rules 13a-14(a) and 15d-14(a) under the Securities</w:t>
            </w:r>
          </w:p>
        </w:tc>
        <w:tc>
          <w:tcPr>
            <w:tcW w:w="28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40" w:type="dxa"/>
            <w:vAlign w:val="bottom"/>
            <w:gridSpan w:val="15"/>
          </w:tcPr>
          <w:p>
            <w:pPr>
              <w:spacing w:after="0" w:line="169" w:lineRule="exact"/>
              <w:rPr>
                <w:sz w:val="20"/>
                <w:szCs w:val="20"/>
                <w:color w:val="auto"/>
              </w:rPr>
            </w:pPr>
            <w:r>
              <w:rPr>
                <w:rFonts w:ascii="Arial" w:cs="Arial" w:eastAsia="Arial" w:hAnsi="Arial"/>
                <w:sz w:val="18"/>
                <w:szCs w:val="18"/>
                <w:color w:val="0000FF"/>
              </w:rPr>
              <w:t>Exchange Act of 1934, as Adopted Pursuant to Section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302 of the Sarbanes-Oxley Act of 2002.</w:t>
            </w: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1"/>
              <w:spacing w:after="0" w:line="196"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9"/>
              </w:rPr>
              <w:t>Rules 13a-14(a) and 15d-14(a) under the Securities</w:t>
            </w:r>
          </w:p>
        </w:tc>
        <w:tc>
          <w:tcPr>
            <w:tcW w:w="220" w:type="dxa"/>
            <w:vAlign w:val="bottom"/>
            <w:tcBorders>
              <w:top w:val="single" w:sz="8" w:color="0000FF"/>
            </w:tcBorders>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40" w:type="dxa"/>
            <w:vAlign w:val="bottom"/>
            <w:gridSpan w:val="15"/>
          </w:tcPr>
          <w:p>
            <w:pPr>
              <w:spacing w:after="0" w:line="169" w:lineRule="exact"/>
              <w:rPr>
                <w:sz w:val="20"/>
                <w:szCs w:val="20"/>
                <w:color w:val="auto"/>
              </w:rPr>
            </w:pPr>
            <w:r>
              <w:rPr>
                <w:rFonts w:ascii="Arial" w:cs="Arial" w:eastAsia="Arial" w:hAnsi="Arial"/>
                <w:sz w:val="18"/>
                <w:szCs w:val="18"/>
                <w:color w:val="0000FF"/>
              </w:rPr>
              <w:t>Exchange Act of 1934, as Adopted Pursuant to Section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302 of the Sarbanes-Oxley Act of 2002.</w:t>
            </w: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260" w:type="dxa"/>
            <w:vAlign w:val="bottom"/>
          </w:tcPr>
          <w:p>
            <w:pPr>
              <w:spacing w:after="0"/>
              <w:rPr>
                <w:sz w:val="17"/>
                <w:szCs w:val="17"/>
                <w:color w:val="auto"/>
              </w:rPr>
            </w:pPr>
          </w:p>
        </w:tc>
        <w:tc>
          <w:tcPr>
            <w:tcW w:w="4440" w:type="dxa"/>
            <w:vAlign w:val="bottom"/>
            <w:gridSpan w:val="15"/>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1"/>
              <w:spacing w:after="0" w:line="19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88"/>
              </w:rPr>
              <w:t>18 U.S.C. Section 1350, as Adopted Pursuant to Section</w:t>
            </w:r>
          </w:p>
        </w:tc>
        <w:tc>
          <w:tcPr>
            <w:tcW w:w="6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4"/>
                <w:szCs w:val="14"/>
                <w:color w:val="auto"/>
              </w:rPr>
            </w:pPr>
          </w:p>
        </w:tc>
        <w:tc>
          <w:tcPr>
            <w:tcW w:w="4080" w:type="dxa"/>
            <w:vAlign w:val="bottom"/>
            <w:gridSpan w:val="10"/>
          </w:tcPr>
          <w:p>
            <w:pPr>
              <w:spacing w:after="0" w:line="169" w:lineRule="exact"/>
              <w:rPr>
                <w:sz w:val="20"/>
                <w:szCs w:val="20"/>
                <w:color w:val="auto"/>
              </w:rPr>
            </w:pPr>
            <w:r>
              <w:rPr>
                <w:rFonts w:ascii="Arial" w:cs="Arial" w:eastAsia="Arial" w:hAnsi="Arial"/>
                <w:sz w:val="18"/>
                <w:szCs w:val="18"/>
                <w:color w:val="0000FF"/>
              </w:rPr>
              <w:t>906 of the Sarbanes-Oxley Act of 2002.</w:t>
            </w:r>
          </w:p>
        </w:tc>
        <w:tc>
          <w:tcPr>
            <w:tcW w:w="100" w:type="dxa"/>
            <w:vAlign w:val="bottom"/>
          </w:tcPr>
          <w:p>
            <w:pPr>
              <w:spacing w:after="0"/>
              <w:rPr>
                <w:sz w:val="14"/>
                <w:szCs w:val="14"/>
                <w:color w:val="auto"/>
              </w:rPr>
            </w:pPr>
          </w:p>
        </w:tc>
        <w:tc>
          <w:tcPr>
            <w:tcW w:w="260" w:type="dxa"/>
            <w:vAlign w:val="bottom"/>
            <w:gridSpan w:val="4"/>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vMerge w:val="restart"/>
          </w:tcPr>
          <w:p>
            <w:pPr>
              <w:jc w:val="center"/>
              <w:ind w:right="71"/>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440" w:type="dxa"/>
            <w:vAlign w:val="bottom"/>
            <w:gridSpan w:val="15"/>
          </w:tcPr>
          <w:p>
            <w:pPr>
              <w:spacing w:after="0" w:line="182" w:lineRule="exact"/>
              <w:rPr>
                <w:sz w:val="20"/>
                <w:szCs w:val="20"/>
                <w:color w:val="auto"/>
              </w:rPr>
            </w:pPr>
            <w:r>
              <w:rPr>
                <w:rFonts w:ascii="Arial" w:cs="Arial" w:eastAsia="Arial" w:hAnsi="Arial"/>
                <w:sz w:val="18"/>
                <w:szCs w:val="18"/>
                <w:color w:val="0000FF"/>
                <w:w w:val="99"/>
              </w:rPr>
              <w:t>Certification of Principal Financial Officer Pursuant to 18</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2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1"/>
              </w:rPr>
              <w:t>U.S.C. Section 1350, as Adopted Pursuant to Section 906</w:t>
            </w:r>
          </w:p>
        </w:tc>
        <w:tc>
          <w:tcPr>
            <w:tcW w:w="2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14"/>
                <w:szCs w:val="14"/>
                <w:color w:val="auto"/>
              </w:rPr>
            </w:pPr>
          </w:p>
        </w:tc>
        <w:tc>
          <w:tcPr>
            <w:tcW w:w="418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rPr>
              <w:t>of the Sarbanes-Oxley Act of 2002.</w:t>
            </w:r>
          </w:p>
        </w:tc>
        <w:tc>
          <w:tcPr>
            <w:tcW w:w="260" w:type="dxa"/>
            <w:vAlign w:val="bottom"/>
            <w:gridSpan w:val="4"/>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vMerge w:val="restart"/>
          </w:tcPr>
          <w:p>
            <w:pPr>
              <w:jc w:val="center"/>
              <w:ind w:right="71"/>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95"/>
        </w:trPr>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tcBorders>
              <w:top w:val="single" w:sz="8" w:color="0000FF"/>
            </w:tcBorders>
          </w:tcPr>
          <w:p>
            <w:pPr>
              <w:spacing w:after="0" w:line="195" w:lineRule="exact"/>
              <w:rPr>
                <w:sz w:val="20"/>
                <w:szCs w:val="20"/>
                <w:color w:val="auto"/>
              </w:rPr>
            </w:pPr>
            <w:r>
              <w:rPr>
                <w:rFonts w:ascii="Arial" w:cs="Arial" w:eastAsia="Arial" w:hAnsi="Arial"/>
                <w:sz w:val="18"/>
                <w:szCs w:val="18"/>
                <w:color w:val="auto"/>
                <w:w w:val="93"/>
              </w:rPr>
              <w:t>INLINE XBRL Instance Document</w:t>
            </w:r>
          </w:p>
        </w:tc>
        <w:tc>
          <w:tcPr>
            <w:tcW w:w="20" w:type="dxa"/>
            <w:vAlign w:val="bottom"/>
            <w:tcBorders>
              <w:top w:val="single" w:sz="8" w:color="0000EE"/>
            </w:tcBorders>
          </w:tcPr>
          <w:p>
            <w:pPr>
              <w:spacing w:after="0"/>
              <w:rPr>
                <w:sz w:val="16"/>
                <w:szCs w:val="16"/>
                <w:color w:val="auto"/>
              </w:rPr>
            </w:pPr>
          </w:p>
        </w:tc>
        <w:tc>
          <w:tcPr>
            <w:tcW w:w="1880" w:type="dxa"/>
            <w:vAlign w:val="bottom"/>
            <w:gridSpan w:val="13"/>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20"/>
              <w:spacing w:after="0" w:line="202" w:lineRule="exact"/>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7"/>
                <w:szCs w:val="17"/>
                <w:color w:val="auto"/>
              </w:rPr>
            </w:pPr>
          </w:p>
        </w:tc>
        <w:tc>
          <w:tcPr>
            <w:tcW w:w="444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1"/>
              <w:spacing w:after="0" w:line="202"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101.CAL</w:t>
            </w:r>
          </w:p>
        </w:tc>
        <w:tc>
          <w:tcPr>
            <w:tcW w:w="260" w:type="dxa"/>
            <w:vAlign w:val="bottom"/>
          </w:tcPr>
          <w:p>
            <w:pPr>
              <w:spacing w:after="0"/>
              <w:rPr>
                <w:sz w:val="15"/>
                <w:szCs w:val="15"/>
                <w:color w:val="auto"/>
              </w:rPr>
            </w:pPr>
          </w:p>
        </w:tc>
        <w:tc>
          <w:tcPr>
            <w:tcW w:w="4440" w:type="dxa"/>
            <w:vAlign w:val="bottom"/>
            <w:gridSpan w:val="15"/>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1"/>
              <w:spacing w:after="0" w:line="17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101.DEF</w:t>
            </w:r>
          </w:p>
        </w:tc>
        <w:tc>
          <w:tcPr>
            <w:tcW w:w="260" w:type="dxa"/>
            <w:vAlign w:val="bottom"/>
          </w:tcPr>
          <w:p>
            <w:pPr>
              <w:spacing w:after="0"/>
              <w:rPr>
                <w:sz w:val="15"/>
                <w:szCs w:val="15"/>
                <w:color w:val="auto"/>
              </w:rPr>
            </w:pPr>
          </w:p>
        </w:tc>
        <w:tc>
          <w:tcPr>
            <w:tcW w:w="4440" w:type="dxa"/>
            <w:vAlign w:val="bottom"/>
            <w:gridSpan w:val="15"/>
          </w:tcPr>
          <w:p>
            <w:pPr>
              <w:spacing w:after="0" w:line="176" w:lineRule="exact"/>
              <w:rPr>
                <w:sz w:val="20"/>
                <w:szCs w:val="20"/>
                <w:color w:val="auto"/>
              </w:rPr>
            </w:pPr>
            <w:r>
              <w:rPr>
                <w:rFonts w:ascii="Arial" w:cs="Arial" w:eastAsia="Arial" w:hAnsi="Arial"/>
                <w:sz w:val="18"/>
                <w:szCs w:val="18"/>
                <w:color w:val="auto"/>
              </w:rPr>
              <w:t>INLINE XBRL Taxonomy Extension Definition</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1"/>
              <w:spacing w:after="0" w:line="17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5"/>
                <w:szCs w:val="15"/>
                <w:color w:val="auto"/>
              </w:rPr>
            </w:pPr>
          </w:p>
        </w:tc>
        <w:tc>
          <w:tcPr>
            <w:tcW w:w="4440" w:type="dxa"/>
            <w:vAlign w:val="bottom"/>
            <w:gridSpan w:val="15"/>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1"/>
              <w:spacing w:after="0" w:line="17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101.PRE</w:t>
            </w:r>
          </w:p>
        </w:tc>
        <w:tc>
          <w:tcPr>
            <w:tcW w:w="260" w:type="dxa"/>
            <w:vAlign w:val="bottom"/>
          </w:tcPr>
          <w:p>
            <w:pPr>
              <w:spacing w:after="0"/>
              <w:rPr>
                <w:sz w:val="15"/>
                <w:szCs w:val="15"/>
                <w:color w:val="auto"/>
              </w:rPr>
            </w:pPr>
          </w:p>
        </w:tc>
        <w:tc>
          <w:tcPr>
            <w:tcW w:w="4440" w:type="dxa"/>
            <w:vAlign w:val="bottom"/>
            <w:gridSpan w:val="15"/>
          </w:tcPr>
          <w:p>
            <w:pPr>
              <w:spacing w:after="0" w:line="176" w:lineRule="exact"/>
              <w:rPr>
                <w:sz w:val="20"/>
                <w:szCs w:val="20"/>
                <w:color w:val="auto"/>
              </w:rPr>
            </w:pPr>
            <w:r>
              <w:rPr>
                <w:rFonts w:ascii="Arial" w:cs="Arial" w:eastAsia="Arial" w:hAnsi="Arial"/>
                <w:sz w:val="18"/>
                <w:szCs w:val="18"/>
                <w:color w:val="auto"/>
              </w:rPr>
              <w:t>INLINE XBRL Taxonomy Extension Presentation</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1"/>
              <w:spacing w:after="0" w:line="17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260" w:type="dxa"/>
            <w:vAlign w:val="bottom"/>
          </w:tcPr>
          <w:p>
            <w:pPr>
              <w:spacing w:after="0"/>
              <w:rPr>
                <w:sz w:val="15"/>
                <w:szCs w:val="15"/>
                <w:color w:val="auto"/>
              </w:rPr>
            </w:pPr>
          </w:p>
        </w:tc>
        <w:tc>
          <w:tcPr>
            <w:tcW w:w="4440" w:type="dxa"/>
            <w:vAlign w:val="bottom"/>
            <w:gridSpan w:val="15"/>
          </w:tcPr>
          <w:p>
            <w:pPr>
              <w:spacing w:after="0" w:line="176" w:lineRule="exact"/>
              <w:rPr>
                <w:sz w:val="20"/>
                <w:szCs w:val="20"/>
                <w:color w:val="auto"/>
              </w:rPr>
            </w:pPr>
            <w:r>
              <w:rPr>
                <w:rFonts w:ascii="Arial" w:cs="Arial" w:eastAsia="Arial" w:hAnsi="Arial"/>
                <w:sz w:val="18"/>
                <w:szCs w:val="18"/>
                <w:color w:val="auto"/>
              </w:rPr>
              <w:t>Cover Page Interactive Data File (embedded within the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71"/>
              <w:spacing w:after="0" w:line="176"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auto"/>
              </w:rPr>
              <w:t>Inline XBRL document)</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480" w:right="320" w:hanging="459"/>
        <w:spacing w:after="0" w:line="180" w:lineRule="auto"/>
        <w:tabs>
          <w:tab w:leader="none" w:pos="480" w:val="left"/>
        </w:tabs>
        <w:numPr>
          <w:ilvl w:val="0"/>
          <w:numId w:val="61"/>
        </w:numPr>
        <w:rPr>
          <w:rFonts w:ascii="Arial" w:cs="Arial" w:eastAsia="Arial" w:hAnsi="Arial"/>
          <w:sz w:val="31"/>
          <w:szCs w:val="31"/>
          <w:color w:val="auto"/>
          <w:vertAlign w:val="superscript"/>
        </w:rPr>
      </w:pPr>
      <w:r>
        <w:rPr>
          <w:rFonts w:ascii="Arial" w:cs="Arial" w:eastAsia="Arial" w:hAnsi="Arial"/>
          <w:sz w:val="16"/>
          <w:szCs w:val="16"/>
          <w:color w:val="auto"/>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27" w:lineRule="exact"/>
        <w:rPr>
          <w:sz w:val="20"/>
          <w:szCs w:val="20"/>
          <w:color w:val="auto"/>
        </w:rPr>
      </w:pPr>
    </w:p>
    <w:p>
      <w:pPr>
        <w:ind w:left="480" w:right="40" w:hanging="459"/>
        <w:spacing w:after="0" w:line="184" w:lineRule="auto"/>
        <w:tabs>
          <w:tab w:leader="none" w:pos="480" w:val="left"/>
        </w:tabs>
        <w:numPr>
          <w:ilvl w:val="0"/>
          <w:numId w:val="62"/>
        </w:numPr>
        <w:rPr>
          <w:rFonts w:ascii="Arial" w:cs="Arial" w:eastAsia="Arial" w:hAnsi="Arial"/>
          <w:sz w:val="36"/>
          <w:szCs w:val="36"/>
          <w:color w:val="auto"/>
          <w:vertAlign w:val="superscript"/>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ORIC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100" w:type="dxa"/>
            <w:vAlign w:val="bottom"/>
            <w:gridSpan w:val="2"/>
          </w:tcPr>
          <w:p>
            <w:pPr>
              <w:ind w:left="1880"/>
              <w:spacing w:after="0"/>
              <w:rPr>
                <w:sz w:val="20"/>
                <w:szCs w:val="20"/>
                <w:color w:val="auto"/>
              </w:rPr>
            </w:pPr>
            <w:r>
              <w:rPr>
                <w:rFonts w:ascii="Arial" w:cs="Arial" w:eastAsia="Arial" w:hAnsi="Arial"/>
                <w:sz w:val="18"/>
                <w:szCs w:val="18"/>
                <w:b w:val="1"/>
                <w:bCs w:val="1"/>
                <w:color w:val="auto"/>
                <w:w w:val="93"/>
              </w:rPr>
              <w:t>ORIC Pharmaceuticals, Inc.</w:t>
            </w:r>
          </w:p>
        </w:tc>
        <w:tc>
          <w:tcPr>
            <w:tcW w:w="3620" w:type="dxa"/>
            <w:vAlign w:val="bottom"/>
          </w:tcPr>
          <w:p>
            <w:pPr>
              <w:spacing w:after="0"/>
              <w:rPr>
                <w:sz w:val="20"/>
                <w:szCs w:val="20"/>
                <w:color w:val="auto"/>
              </w:rPr>
            </w:pPr>
          </w:p>
        </w:tc>
      </w:tr>
      <w:tr>
        <w:trPr>
          <w:trHeight w:val="405"/>
        </w:trPr>
        <w:tc>
          <w:tcPr>
            <w:tcW w:w="3520" w:type="dxa"/>
            <w:vAlign w:val="bottom"/>
          </w:tcPr>
          <w:p>
            <w:pPr>
              <w:ind w:left="20"/>
              <w:spacing w:after="0"/>
              <w:rPr>
                <w:sz w:val="20"/>
                <w:szCs w:val="20"/>
                <w:color w:val="auto"/>
              </w:rPr>
            </w:pPr>
            <w:r>
              <w:rPr>
                <w:rFonts w:ascii="Arial" w:cs="Arial" w:eastAsia="Arial" w:hAnsi="Arial"/>
                <w:sz w:val="18"/>
                <w:szCs w:val="18"/>
                <w:color w:val="auto"/>
              </w:rPr>
              <w:t>Date: August 11, 2022</w:t>
            </w:r>
          </w:p>
        </w:tc>
        <w:tc>
          <w:tcPr>
            <w:tcW w:w="4100" w:type="dxa"/>
            <w:vAlign w:val="bottom"/>
            <w:gridSpan w:val="2"/>
          </w:tcPr>
          <w:p>
            <w:pPr>
              <w:ind w:left="1880"/>
              <w:spacing w:after="0"/>
              <w:rPr>
                <w:sz w:val="20"/>
                <w:szCs w:val="20"/>
                <w:color w:val="auto"/>
              </w:rPr>
            </w:pPr>
            <w:r>
              <w:rPr>
                <w:rFonts w:ascii="Arial" w:cs="Arial" w:eastAsia="Arial" w:hAnsi="Arial"/>
                <w:sz w:val="18"/>
                <w:szCs w:val="18"/>
                <w:color w:val="auto"/>
              </w:rPr>
              <w:t>By:</w:t>
            </w:r>
          </w:p>
        </w:tc>
        <w:tc>
          <w:tcPr>
            <w:tcW w:w="3620" w:type="dxa"/>
            <w:vAlign w:val="bottom"/>
          </w:tcPr>
          <w:p>
            <w:pPr>
              <w:jc w:val="center"/>
              <w:ind w:right="1379"/>
              <w:spacing w:after="0"/>
              <w:rPr>
                <w:sz w:val="20"/>
                <w:szCs w:val="20"/>
                <w:color w:val="auto"/>
              </w:rPr>
            </w:pPr>
            <w:r>
              <w:rPr>
                <w:rFonts w:ascii="Arial" w:cs="Arial" w:eastAsia="Arial" w:hAnsi="Arial"/>
                <w:sz w:val="18"/>
                <w:szCs w:val="18"/>
                <w:color w:val="auto"/>
                <w:w w:val="90"/>
              </w:rPr>
              <w:t>/s/ Jacob M. Chacko</w:t>
            </w:r>
          </w:p>
        </w:tc>
      </w:tr>
      <w:tr>
        <w:trPr>
          <w:trHeight w:val="218"/>
        </w:trPr>
        <w:tc>
          <w:tcPr>
            <w:tcW w:w="35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620" w:type="dxa"/>
            <w:vAlign w:val="bottom"/>
            <w:tcBorders>
              <w:top w:val="single" w:sz="8" w:color="auto"/>
            </w:tcBorders>
          </w:tcPr>
          <w:p>
            <w:pPr>
              <w:jc w:val="center"/>
              <w:ind w:right="1399"/>
              <w:spacing w:after="0"/>
              <w:rPr>
                <w:sz w:val="20"/>
                <w:szCs w:val="20"/>
                <w:color w:val="auto"/>
              </w:rPr>
            </w:pPr>
            <w:r>
              <w:rPr>
                <w:rFonts w:ascii="Arial" w:cs="Arial" w:eastAsia="Arial" w:hAnsi="Arial"/>
                <w:sz w:val="18"/>
                <w:szCs w:val="18"/>
                <w:b w:val="1"/>
                <w:bCs w:val="1"/>
                <w:color w:val="auto"/>
                <w:w w:val="93"/>
              </w:rPr>
              <w:t>Jacob M. Chacko, M.D.</w:t>
            </w:r>
          </w:p>
        </w:tc>
      </w:tr>
      <w:tr>
        <w:trPr>
          <w:trHeight w:val="164"/>
        </w:trPr>
        <w:tc>
          <w:tcPr>
            <w:tcW w:w="3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20" w:type="dxa"/>
            <w:vAlign w:val="bottom"/>
          </w:tcPr>
          <w:p>
            <w:pPr>
              <w:jc w:val="center"/>
              <w:ind w:right="1379"/>
              <w:spacing w:after="0"/>
              <w:rPr>
                <w:sz w:val="20"/>
                <w:szCs w:val="20"/>
                <w:color w:val="auto"/>
              </w:rPr>
            </w:pPr>
            <w:r>
              <w:rPr>
                <w:rFonts w:ascii="Arial" w:cs="Arial" w:eastAsia="Arial" w:hAnsi="Arial"/>
                <w:sz w:val="13"/>
                <w:szCs w:val="13"/>
                <w:b w:val="1"/>
                <w:bCs w:val="1"/>
                <w:color w:val="auto"/>
                <w:w w:val="87"/>
              </w:rPr>
              <w:t>President and Chief Executive Officer</w:t>
            </w:r>
          </w:p>
        </w:tc>
      </w:tr>
      <w:tr>
        <w:trPr>
          <w:trHeight w:val="421"/>
        </w:trPr>
        <w:tc>
          <w:tcPr>
            <w:tcW w:w="3520" w:type="dxa"/>
            <w:vAlign w:val="bottom"/>
          </w:tcPr>
          <w:p>
            <w:pPr>
              <w:ind w:left="20"/>
              <w:spacing w:after="0"/>
              <w:rPr>
                <w:sz w:val="20"/>
                <w:szCs w:val="20"/>
                <w:color w:val="auto"/>
              </w:rPr>
            </w:pPr>
            <w:r>
              <w:rPr>
                <w:rFonts w:ascii="Arial" w:cs="Arial" w:eastAsia="Arial" w:hAnsi="Arial"/>
                <w:sz w:val="18"/>
                <w:szCs w:val="18"/>
                <w:color w:val="auto"/>
              </w:rPr>
              <w:t>Date: August 11, 2022</w:t>
            </w:r>
          </w:p>
        </w:tc>
        <w:tc>
          <w:tcPr>
            <w:tcW w:w="4100" w:type="dxa"/>
            <w:vAlign w:val="bottom"/>
            <w:gridSpan w:val="2"/>
          </w:tcPr>
          <w:p>
            <w:pPr>
              <w:ind w:left="1880"/>
              <w:spacing w:after="0"/>
              <w:rPr>
                <w:sz w:val="20"/>
                <w:szCs w:val="20"/>
                <w:color w:val="auto"/>
              </w:rPr>
            </w:pPr>
            <w:r>
              <w:rPr>
                <w:rFonts w:ascii="Arial" w:cs="Arial" w:eastAsia="Arial" w:hAnsi="Arial"/>
                <w:sz w:val="18"/>
                <w:szCs w:val="18"/>
                <w:color w:val="auto"/>
              </w:rPr>
              <w:t>By:</w:t>
            </w:r>
          </w:p>
        </w:tc>
        <w:tc>
          <w:tcPr>
            <w:tcW w:w="3620" w:type="dxa"/>
            <w:vAlign w:val="bottom"/>
          </w:tcPr>
          <w:p>
            <w:pPr>
              <w:jc w:val="center"/>
              <w:ind w:right="1379"/>
              <w:spacing w:after="0"/>
              <w:rPr>
                <w:sz w:val="20"/>
                <w:szCs w:val="20"/>
                <w:color w:val="auto"/>
              </w:rPr>
            </w:pPr>
            <w:r>
              <w:rPr>
                <w:rFonts w:ascii="Arial" w:cs="Arial" w:eastAsia="Arial" w:hAnsi="Arial"/>
                <w:sz w:val="18"/>
                <w:szCs w:val="18"/>
                <w:color w:val="auto"/>
                <w:w w:val="95"/>
              </w:rPr>
              <w:t>/s/ Dominic Piscitelli</w:t>
            </w:r>
          </w:p>
        </w:tc>
      </w:tr>
      <w:tr>
        <w:trPr>
          <w:trHeight w:val="218"/>
        </w:trPr>
        <w:tc>
          <w:tcPr>
            <w:tcW w:w="35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620" w:type="dxa"/>
            <w:vAlign w:val="bottom"/>
            <w:tcBorders>
              <w:top w:val="single" w:sz="8" w:color="auto"/>
            </w:tcBorders>
          </w:tcPr>
          <w:p>
            <w:pPr>
              <w:jc w:val="center"/>
              <w:ind w:right="1399"/>
              <w:spacing w:after="0"/>
              <w:rPr>
                <w:sz w:val="20"/>
                <w:szCs w:val="20"/>
                <w:color w:val="auto"/>
              </w:rPr>
            </w:pPr>
            <w:r>
              <w:rPr>
                <w:rFonts w:ascii="Arial" w:cs="Arial" w:eastAsia="Arial" w:hAnsi="Arial"/>
                <w:sz w:val="18"/>
                <w:szCs w:val="18"/>
                <w:b w:val="1"/>
                <w:bCs w:val="1"/>
                <w:color w:val="auto"/>
                <w:w w:val="89"/>
              </w:rPr>
              <w:t>Dominic Piscitelli</w:t>
            </w:r>
          </w:p>
        </w:tc>
      </w:tr>
      <w:tr>
        <w:trPr>
          <w:trHeight w:val="164"/>
        </w:trPr>
        <w:tc>
          <w:tcPr>
            <w:tcW w:w="3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20" w:type="dxa"/>
            <w:vAlign w:val="bottom"/>
          </w:tcPr>
          <w:p>
            <w:pPr>
              <w:jc w:val="center"/>
              <w:ind w:right="1379"/>
              <w:spacing w:after="0"/>
              <w:rPr>
                <w:sz w:val="20"/>
                <w:szCs w:val="20"/>
                <w:color w:val="auto"/>
              </w:rPr>
            </w:pPr>
            <w:r>
              <w:rPr>
                <w:rFonts w:ascii="Arial" w:cs="Arial" w:eastAsia="Arial" w:hAnsi="Arial"/>
                <w:sz w:val="13"/>
                <w:szCs w:val="13"/>
                <w:b w:val="1"/>
                <w:bCs w:val="1"/>
                <w:color w:val="auto"/>
                <w:w w:val="89"/>
              </w:rPr>
              <w:t>Chief Financial Officer</w:t>
            </w:r>
          </w:p>
        </w:tc>
      </w:tr>
      <w:tr>
        <w:trPr>
          <w:trHeight w:val="867"/>
        </w:trPr>
        <w:tc>
          <w:tcPr>
            <w:tcW w:w="3520" w:type="dxa"/>
            <w:vAlign w:val="bottom"/>
          </w:tcPr>
          <w:p>
            <w:pPr>
              <w:spacing w:after="0"/>
              <w:rPr>
                <w:sz w:val="24"/>
                <w:szCs w:val="24"/>
                <w:color w:val="auto"/>
              </w:rPr>
            </w:pPr>
          </w:p>
        </w:tc>
        <w:tc>
          <w:tcPr>
            <w:tcW w:w="2640" w:type="dxa"/>
            <w:vAlign w:val="bottom"/>
          </w:tcPr>
          <w:p>
            <w:pPr>
              <w:jc w:val="right"/>
              <w:ind w:right="350"/>
              <w:spacing w:after="0"/>
              <w:rPr>
                <w:sz w:val="20"/>
                <w:szCs w:val="20"/>
                <w:color w:val="auto"/>
              </w:rPr>
            </w:pPr>
            <w:r>
              <w:rPr>
                <w:rFonts w:ascii="Arial" w:cs="Arial" w:eastAsia="Arial" w:hAnsi="Arial"/>
                <w:sz w:val="18"/>
                <w:szCs w:val="18"/>
                <w:color w:val="auto"/>
              </w:rPr>
              <w:t>73</w:t>
            </w:r>
          </w:p>
        </w:tc>
        <w:tc>
          <w:tcPr>
            <w:tcW w:w="14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01"/>
        </w:trPr>
        <w:tc>
          <w:tcPr>
            <w:tcW w:w="352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Jacob M. Chacko, certify that:</w:t>
      </w:r>
    </w:p>
    <w:p>
      <w:pPr>
        <w:spacing w:after="0" w:line="212"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56"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5700" w:right="1740" w:hanging="7750"/>
        <w:spacing w:after="0" w:line="251" w:lineRule="auto"/>
        <w:tabs>
          <w:tab w:leader="none" w:pos="568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 /s/ Jacob M. Chacko Jacob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-128270</wp:posOffset>
            </wp:positionV>
            <wp:extent cx="330898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Dominic Piscitelli, certify that:</w:t>
      </w:r>
    </w:p>
    <w:p>
      <w:pPr>
        <w:spacing w:after="0" w:line="212"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ORIC Pharmaceuticals,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56"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June 30, 2022 as filed with the Securities and Exchange Commission on the date hereof (the “Report”), I certify, pursuant to 18 U.S.C. § 1350, as adopted pursuant to § 906 of the Sarbanes-Oxley Act of 2002, that:</w:t>
      </w:r>
    </w:p>
    <w:p>
      <w:pPr>
        <w:spacing w:after="0" w:line="87" w:lineRule="exact"/>
        <w:rPr>
          <w:sz w:val="20"/>
          <w:szCs w:val="20"/>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Jacob M. Chacko, M.D.</w:t>
      </w: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Quarterly Report of ORIC Pharmaceuticals, Inc. (the “Company”) on Form 10-Q for the period ended June 30, 2022 as filed with the Securities and Exchange Commission on the date hereof (the “Report”), I certify, pursuant to 18 U.S.C. § 1350, as adopted pursuant to § 906 of the Sarbanes-Oxley Act of 2002, that:</w:t>
      </w:r>
    </w:p>
    <w:p>
      <w:pPr>
        <w:spacing w:after="0" w:line="87" w:lineRule="exact"/>
        <w:rPr>
          <w:sz w:val="20"/>
          <w:szCs w:val="20"/>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Dominic Piscitelli</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2"/>
    </w:lvl>
  </w:abstractNum>
  <w:abstractNum w:abstractNumId="6">
    <w:nsid w:val="3804823E"/>
    <w:multiLevelType w:val="hybridMultilevel"/>
    <w:lvl w:ilvl="0">
      <w:lvlJc w:val="left"/>
      <w:lvlText w:val="%1."/>
      <w:numFmt w:val="decimal"/>
      <w:start w:val="3"/>
    </w:lvl>
  </w:abstractNum>
  <w:abstractNum w:abstractNumId="7">
    <w:nsid w:val="77465F01"/>
    <w:multiLevelType w:val="hybridMultilevel"/>
    <w:lvl w:ilvl="0">
      <w:lvlJc w:val="left"/>
      <w:lvlText w:val="%1."/>
      <w:numFmt w:val="decimal"/>
      <w:start w:val="4"/>
    </w:lvl>
  </w:abstractNum>
  <w:abstractNum w:abstractNumId="8">
    <w:nsid w:val="7724C67E"/>
    <w:multiLevelType w:val="hybridMultilevel"/>
    <w:lvl w:ilvl="0">
      <w:lvlJc w:val="left"/>
      <w:lvlText w:val="%1."/>
      <w:numFmt w:val="decimal"/>
      <w:start w:val="6"/>
    </w:lvl>
  </w:abstractNum>
  <w:abstractNum w:abstractNumId="9">
    <w:nsid w:val="5C482A97"/>
    <w:multiLevelType w:val="hybridMultilevel"/>
    <w:lvl w:ilvl="0">
      <w:lvlJc w:val="left"/>
      <w:lvlText w:val="%1."/>
      <w:numFmt w:val="decimal"/>
      <w:start w:val="7"/>
    </w:lvl>
  </w:abstractNum>
  <w:abstractNum w:abstractNumId="10">
    <w:nsid w:val="2463B9EA"/>
    <w:multiLevelType w:val="hybridMultilevel"/>
    <w:lvl w:ilvl="0">
      <w:lvlJc w:val="left"/>
      <w:lvlText w:val="%1."/>
      <w:numFmt w:val="decimal"/>
      <w:start w:val="8"/>
    </w:lvl>
  </w:abstractNum>
  <w:abstractNum w:abstractNumId="11">
    <w:nsid w:val="5E884ADC"/>
    <w:multiLevelType w:val="hybridMultilevel"/>
    <w:lvl w:ilvl="0">
      <w:lvlJc w:val="left"/>
      <w:lvlText w:val="%1."/>
      <w:numFmt w:val="decimal"/>
      <w:start w:val="9"/>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amp;"/>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297" Type="http://schemas.openxmlformats.org/officeDocument/2006/relationships/hyperlink" Target="https://www.sec.gov/Archives/edgar/data/1796280/000119312522066051/d253295dex101.htm" TargetMode="External"/><Relationship Id="rId298" Type="http://schemas.openxmlformats.org/officeDocument/2006/relationships/hyperlink" Target="https://www.sec.gov/Archives/edgar/data/1796280/000095017022008512/oric-ex10_2.htm" TargetMode="External"/><Relationship Id="rId299" Type="http://schemas.openxmlformats.org/officeDocument/2006/relationships/hyperlink" Target="https://www.sec.gov/Archives/edgar/data/1796280/000095017022008512/oric-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2022-08-11T16:48:50Z</dcterms:created>
  <dcterms:modified xsi:type="dcterms:W3CDTF">2022-08-11T16:48:50Z</dcterms:modified>
</cp:coreProperties>
</file>