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69850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92710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32" w:lineRule="exact"/>
        <w:rPr>
          <w:sz w:val="24"/>
          <w:szCs w:val="24"/>
          <w:color w:val="auto"/>
        </w:rPr>
      </w:pPr>
    </w:p>
    <w:p>
      <w:pPr>
        <w:ind w:left="3660" w:right="1620" w:hanging="3639"/>
        <w:spacing w:after="0" w:line="438" w:lineRule="auto"/>
        <w:tabs>
          <w:tab w:leader="none" w:pos="485"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2021</w:t>
      </w:r>
    </w:p>
    <w:p>
      <w:pPr>
        <w:spacing w:after="0" w:line="284" w:lineRule="exact"/>
        <w:rPr>
          <w:sz w:val="24"/>
          <w:szCs w:val="24"/>
          <w:color w:val="auto"/>
        </w:rPr>
      </w:pPr>
    </w:p>
    <w:p>
      <w:pPr>
        <w:ind w:left="3500" w:right="1600" w:hanging="3479"/>
        <w:spacing w:after="0" w:line="399" w:lineRule="auto"/>
        <w:tabs>
          <w:tab w:leader="none" w:pos="471"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_________ to _________</w:t>
      </w:r>
    </w:p>
    <w:p>
      <w:pPr>
        <w:ind w:left="420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001-39269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ORIC PHARMACEUTICALS, INC.</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98" w:lineRule="exact"/>
        <w:rPr>
          <w:sz w:val="24"/>
          <w:szCs w:val="24"/>
          <w:color w:val="auto"/>
        </w:rPr>
      </w:pPr>
    </w:p>
    <w:tbl>
      <w:tblPr>
        <w:tblLayout w:type="fixed"/>
        <w:tblInd w:w="1200" w:type="dxa"/>
        <w:tblCellMar>
          <w:top w:w="0" w:type="dxa"/>
          <w:left w:w="0" w:type="dxa"/>
          <w:bottom w:w="0" w:type="dxa"/>
          <w:right w:w="0" w:type="dxa"/>
        </w:tblCellMar>
      </w:tblPr>
      <w:tr>
        <w:trPr>
          <w:trHeight w:val="186"/>
        </w:trPr>
        <w:tc>
          <w:tcPr>
            <w:tcW w:w="4760" w:type="dxa"/>
            <w:vAlign w:val="bottom"/>
          </w:tcPr>
          <w:p>
            <w:pPr>
              <w:jc w:val="center"/>
              <w:ind w:right="1472"/>
              <w:spacing w:after="0"/>
              <w:rPr>
                <w:sz w:val="20"/>
                <w:szCs w:val="20"/>
                <w:color w:val="auto"/>
              </w:rPr>
            </w:pPr>
            <w:r>
              <w:rPr>
                <w:rFonts w:ascii="Arial" w:cs="Arial" w:eastAsia="Arial" w:hAnsi="Arial"/>
                <w:sz w:val="14"/>
                <w:szCs w:val="14"/>
                <w:b w:val="1"/>
                <w:bCs w:val="1"/>
                <w:color w:val="auto"/>
                <w:w w:val="94"/>
              </w:rPr>
              <w:t>Delaware</w:t>
            </w:r>
          </w:p>
        </w:tc>
        <w:tc>
          <w:tcPr>
            <w:tcW w:w="3440" w:type="dxa"/>
            <w:vAlign w:val="bottom"/>
          </w:tcPr>
          <w:p>
            <w:pPr>
              <w:jc w:val="right"/>
              <w:ind w:right="553"/>
              <w:spacing w:after="0"/>
              <w:rPr>
                <w:sz w:val="20"/>
                <w:szCs w:val="20"/>
                <w:color w:val="auto"/>
              </w:rPr>
            </w:pPr>
            <w:r>
              <w:rPr>
                <w:rFonts w:ascii="Arial" w:cs="Arial" w:eastAsia="Arial" w:hAnsi="Arial"/>
                <w:sz w:val="14"/>
                <w:szCs w:val="14"/>
                <w:b w:val="1"/>
                <w:bCs w:val="1"/>
                <w:color w:val="auto"/>
              </w:rPr>
              <w:t>47-1787157</w:t>
            </w:r>
          </w:p>
        </w:tc>
      </w:tr>
      <w:tr>
        <w:trPr>
          <w:trHeight w:val="185"/>
        </w:trPr>
        <w:tc>
          <w:tcPr>
            <w:tcW w:w="4760" w:type="dxa"/>
            <w:vAlign w:val="bottom"/>
          </w:tcPr>
          <w:p>
            <w:pPr>
              <w:jc w:val="center"/>
              <w:ind w:right="1452"/>
              <w:spacing w:after="0"/>
              <w:rPr>
                <w:sz w:val="20"/>
                <w:szCs w:val="20"/>
                <w:color w:val="auto"/>
              </w:rPr>
            </w:pPr>
            <w:r>
              <w:rPr>
                <w:rFonts w:ascii="Arial" w:cs="Arial" w:eastAsia="Arial" w:hAnsi="Arial"/>
                <w:sz w:val="13"/>
                <w:szCs w:val="13"/>
                <w:b w:val="1"/>
                <w:bCs w:val="1"/>
                <w:color w:val="auto"/>
                <w:w w:val="88"/>
              </w:rPr>
              <w:t>(State or other jurisdiction of incorporation or organization)</w:t>
            </w:r>
          </w:p>
        </w:tc>
        <w:tc>
          <w:tcPr>
            <w:tcW w:w="3440" w:type="dxa"/>
            <w:vAlign w:val="bottom"/>
          </w:tcPr>
          <w:p>
            <w:pPr>
              <w:jc w:val="center"/>
              <w:ind w:left="1433"/>
              <w:spacing w:after="0"/>
              <w:rPr>
                <w:sz w:val="20"/>
                <w:szCs w:val="20"/>
                <w:color w:val="auto"/>
              </w:rPr>
            </w:pPr>
            <w:r>
              <w:rPr>
                <w:rFonts w:ascii="Arial" w:cs="Arial" w:eastAsia="Arial" w:hAnsi="Arial"/>
                <w:sz w:val="13"/>
                <w:szCs w:val="13"/>
                <w:b w:val="1"/>
                <w:bCs w:val="1"/>
                <w:color w:val="auto"/>
                <w:w w:val="91"/>
              </w:rPr>
              <w:t>(I.R.S. Employer Identification No.)</w:t>
            </w:r>
          </w:p>
        </w:tc>
      </w:tr>
      <w:tr>
        <w:trPr>
          <w:trHeight w:val="250"/>
        </w:trPr>
        <w:tc>
          <w:tcPr>
            <w:tcW w:w="4760" w:type="dxa"/>
            <w:vAlign w:val="bottom"/>
          </w:tcPr>
          <w:p>
            <w:pPr>
              <w:jc w:val="center"/>
              <w:ind w:right="1512"/>
              <w:spacing w:after="0"/>
              <w:rPr>
                <w:sz w:val="20"/>
                <w:szCs w:val="20"/>
                <w:color w:val="auto"/>
              </w:rPr>
            </w:pPr>
            <w:r>
              <w:rPr>
                <w:rFonts w:ascii="Arial" w:cs="Arial" w:eastAsia="Arial" w:hAnsi="Arial"/>
                <w:sz w:val="14"/>
                <w:szCs w:val="14"/>
                <w:b w:val="1"/>
                <w:bCs w:val="1"/>
                <w:color w:val="auto"/>
                <w:w w:val="93"/>
              </w:rPr>
              <w:t>240 E. Grand Ave, 2</w:t>
            </w:r>
            <w:r>
              <w:rPr>
                <w:rFonts w:ascii="Arial" w:cs="Arial" w:eastAsia="Arial" w:hAnsi="Arial"/>
                <w:sz w:val="16"/>
                <w:szCs w:val="16"/>
                <w:b w:val="1"/>
                <w:bCs w:val="1"/>
                <w:color w:val="auto"/>
                <w:w w:val="93"/>
                <w:vertAlign w:val="superscript"/>
              </w:rPr>
              <w:t>nd</w:t>
            </w:r>
            <w:r>
              <w:rPr>
                <w:rFonts w:ascii="Arial" w:cs="Arial" w:eastAsia="Arial" w:hAnsi="Arial"/>
                <w:sz w:val="14"/>
                <w:szCs w:val="14"/>
                <w:b w:val="1"/>
                <w:bCs w:val="1"/>
                <w:color w:val="auto"/>
                <w:w w:val="93"/>
              </w:rPr>
              <w:t xml:space="preserve"> Floor</w:t>
            </w:r>
          </w:p>
        </w:tc>
        <w:tc>
          <w:tcPr>
            <w:tcW w:w="3440" w:type="dxa"/>
            <w:vAlign w:val="bottom"/>
          </w:tcPr>
          <w:p>
            <w:pPr>
              <w:spacing w:after="0"/>
              <w:rPr>
                <w:sz w:val="21"/>
                <w:szCs w:val="21"/>
                <w:color w:val="auto"/>
              </w:rPr>
            </w:pPr>
          </w:p>
        </w:tc>
      </w:tr>
      <w:tr>
        <w:trPr>
          <w:trHeight w:val="186"/>
        </w:trPr>
        <w:tc>
          <w:tcPr>
            <w:tcW w:w="4760" w:type="dxa"/>
            <w:vAlign w:val="bottom"/>
          </w:tcPr>
          <w:p>
            <w:pPr>
              <w:ind w:left="820"/>
              <w:spacing w:after="0"/>
              <w:rPr>
                <w:sz w:val="20"/>
                <w:szCs w:val="20"/>
                <w:color w:val="auto"/>
              </w:rPr>
            </w:pPr>
            <w:r>
              <w:rPr>
                <w:rFonts w:ascii="Arial" w:cs="Arial" w:eastAsia="Arial" w:hAnsi="Arial"/>
                <w:sz w:val="14"/>
                <w:szCs w:val="14"/>
                <w:b w:val="1"/>
                <w:bCs w:val="1"/>
                <w:color w:val="auto"/>
              </w:rPr>
              <w:t>South San Francisco, CA</w:t>
            </w:r>
          </w:p>
        </w:tc>
        <w:tc>
          <w:tcPr>
            <w:tcW w:w="3440" w:type="dxa"/>
            <w:vAlign w:val="bottom"/>
          </w:tcPr>
          <w:p>
            <w:pPr>
              <w:jc w:val="right"/>
              <w:ind w:right="713"/>
              <w:spacing w:after="0"/>
              <w:rPr>
                <w:sz w:val="20"/>
                <w:szCs w:val="20"/>
                <w:color w:val="auto"/>
              </w:rPr>
            </w:pPr>
            <w:r>
              <w:rPr>
                <w:rFonts w:ascii="Arial" w:cs="Arial" w:eastAsia="Arial" w:hAnsi="Arial"/>
                <w:sz w:val="14"/>
                <w:szCs w:val="14"/>
                <w:b w:val="1"/>
                <w:bCs w:val="1"/>
                <w:color w:val="auto"/>
              </w:rPr>
              <w:t>94080</w:t>
            </w:r>
          </w:p>
        </w:tc>
      </w:tr>
      <w:tr>
        <w:trPr>
          <w:trHeight w:val="185"/>
        </w:trPr>
        <w:tc>
          <w:tcPr>
            <w:tcW w:w="4760" w:type="dxa"/>
            <w:vAlign w:val="bottom"/>
          </w:tcPr>
          <w:p>
            <w:pPr>
              <w:jc w:val="center"/>
              <w:ind w:right="1452"/>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3440" w:type="dxa"/>
            <w:vAlign w:val="bottom"/>
          </w:tcPr>
          <w:p>
            <w:pPr>
              <w:jc w:val="center"/>
              <w:ind w:left="1433"/>
              <w:spacing w:after="0"/>
              <w:rPr>
                <w:sz w:val="20"/>
                <w:szCs w:val="20"/>
                <w:color w:val="auto"/>
              </w:rPr>
            </w:pPr>
            <w:r>
              <w:rPr>
                <w:rFonts w:ascii="Arial" w:cs="Arial" w:eastAsia="Arial" w:hAnsi="Arial"/>
                <w:sz w:val="13"/>
                <w:szCs w:val="13"/>
                <w:b w:val="1"/>
                <w:bCs w:val="1"/>
                <w:color w:val="auto"/>
                <w:w w:val="90"/>
              </w:rPr>
              <w:t>(Zip Code)</w:t>
            </w:r>
          </w:p>
        </w:tc>
      </w:tr>
    </w:tbl>
    <w:p>
      <w:pPr>
        <w:spacing w:after="0" w:line="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(650) 388-5600</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-116205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0" w:lineRule="exact"/>
        <w:rPr>
          <w:sz w:val="24"/>
          <w:szCs w:val="24"/>
          <w:color w:val="auto"/>
        </w:rPr>
      </w:pPr>
    </w:p>
    <w:p>
      <w:pPr>
        <w:ind w:left="3240"/>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86"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4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20" w:type="dxa"/>
            <w:vAlign w:val="bottom"/>
          </w:tcPr>
          <w:p>
            <w:pPr>
              <w:jc w:val="center"/>
              <w:spacing w:after="0"/>
              <w:rPr>
                <w:sz w:val="20"/>
                <w:szCs w:val="20"/>
                <w:color w:val="auto"/>
              </w:rPr>
            </w:pPr>
            <w:r>
              <w:rPr>
                <w:rFonts w:ascii="Arial" w:cs="Arial" w:eastAsia="Arial" w:hAnsi="Arial"/>
                <w:sz w:val="14"/>
                <w:szCs w:val="14"/>
                <w:b w:val="1"/>
                <w:bCs w:val="1"/>
                <w:color w:val="auto"/>
                <w:w w:val="93"/>
              </w:rPr>
              <w:t>Trading</w:t>
            </w:r>
          </w:p>
        </w:tc>
        <w:tc>
          <w:tcPr>
            <w:tcW w:w="120" w:type="dxa"/>
            <w:vAlign w:val="bottom"/>
          </w:tcPr>
          <w:p>
            <w:pPr>
              <w:spacing w:after="0"/>
              <w:rPr>
                <w:sz w:val="15"/>
                <w:szCs w:val="15"/>
                <w:color w:val="auto"/>
              </w:rPr>
            </w:pPr>
          </w:p>
        </w:tc>
        <w:tc>
          <w:tcPr>
            <w:tcW w:w="4360" w:type="dxa"/>
            <w:vAlign w:val="bottom"/>
          </w:tcPr>
          <w:p>
            <w:pPr>
              <w:spacing w:after="0"/>
              <w:rPr>
                <w:sz w:val="15"/>
                <w:szCs w:val="15"/>
                <w:color w:val="auto"/>
              </w:rPr>
            </w:pPr>
          </w:p>
        </w:tc>
      </w:tr>
      <w:tr>
        <w:trPr>
          <w:trHeight w:val="192"/>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40" w:type="dxa"/>
            <w:vAlign w:val="bottom"/>
          </w:tcPr>
          <w:p>
            <w:pPr>
              <w:spacing w:after="0"/>
              <w:rPr>
                <w:sz w:val="16"/>
                <w:szCs w:val="16"/>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Symbol(s)</w:t>
            </w:r>
          </w:p>
        </w:tc>
        <w:tc>
          <w:tcPr>
            <w:tcW w:w="120" w:type="dxa"/>
            <w:vAlign w:val="bottom"/>
          </w:tcPr>
          <w:p>
            <w:pPr>
              <w:spacing w:after="0"/>
              <w:rPr>
                <w:sz w:val="16"/>
                <w:szCs w:val="16"/>
                <w:color w:val="auto"/>
              </w:rPr>
            </w:pPr>
          </w:p>
        </w:tc>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17"/>
        </w:trPr>
        <w:tc>
          <w:tcPr>
            <w:tcW w:w="4500" w:type="dxa"/>
            <w:vAlign w:val="bottom"/>
          </w:tcPr>
          <w:p>
            <w:pPr>
              <w:jc w:val="center"/>
              <w:spacing w:after="0"/>
              <w:rPr>
                <w:sz w:val="20"/>
                <w:szCs w:val="20"/>
                <w:color w:val="auto"/>
              </w:rPr>
            </w:pPr>
            <w:r>
              <w:rPr>
                <w:rFonts w:ascii="Arial" w:cs="Arial" w:eastAsia="Arial" w:hAnsi="Arial"/>
                <w:sz w:val="14"/>
                <w:szCs w:val="14"/>
                <w:b w:val="1"/>
                <w:bCs w:val="1"/>
                <w:color w:val="auto"/>
                <w:w w:val="92"/>
              </w:rPr>
              <w:t>Common Stock, $0.0001 par value per share</w:t>
            </w:r>
          </w:p>
        </w:tc>
        <w:tc>
          <w:tcPr>
            <w:tcW w:w="14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Arial" w:cs="Arial" w:eastAsia="Arial" w:hAnsi="Arial"/>
                <w:sz w:val="14"/>
                <w:szCs w:val="14"/>
                <w:b w:val="1"/>
                <w:bCs w:val="1"/>
                <w:color w:val="auto"/>
              </w:rPr>
              <w:t>ORIC</w:t>
            </w:r>
          </w:p>
        </w:tc>
        <w:tc>
          <w:tcPr>
            <w:tcW w:w="120" w:type="dxa"/>
            <w:vAlign w:val="bottom"/>
          </w:tcPr>
          <w:p>
            <w:pPr>
              <w:spacing w:after="0"/>
              <w:rPr>
                <w:sz w:val="18"/>
                <w:szCs w:val="18"/>
                <w:color w:val="auto"/>
              </w:rPr>
            </w:pPr>
          </w:p>
        </w:tc>
        <w:tc>
          <w:tcPr>
            <w:tcW w:w="4360" w:type="dxa"/>
            <w:vAlign w:val="bottom"/>
          </w:tcPr>
          <w:p>
            <w:pPr>
              <w:jc w:val="center"/>
              <w:spacing w:after="0"/>
              <w:rPr>
                <w:sz w:val="20"/>
                <w:szCs w:val="20"/>
                <w:color w:val="auto"/>
              </w:rPr>
            </w:pPr>
            <w:r>
              <w:rPr>
                <w:rFonts w:ascii="Arial" w:cs="Arial" w:eastAsia="Arial" w:hAnsi="Arial"/>
                <w:sz w:val="14"/>
                <w:szCs w:val="14"/>
                <w:b w:val="1"/>
                <w:bCs w:val="1"/>
                <w:color w:val="auto"/>
                <w:w w:val="96"/>
              </w:rPr>
              <w:t>The NASDAQ Global Select Market</w:t>
            </w:r>
          </w:p>
        </w:tc>
      </w:tr>
    </w:tbl>
    <w:p>
      <w:pPr>
        <w:spacing w:after="0" w:line="110" w:lineRule="exact"/>
        <w:rPr>
          <w:sz w:val="24"/>
          <w:szCs w:val="24"/>
          <w:color w:val="auto"/>
        </w:rPr>
      </w:pPr>
    </w:p>
    <w:p>
      <w:pPr>
        <w:jc w:val="both"/>
        <w:ind w:firstLine="599"/>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ind w:right="100" w:firstLine="599"/>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47" w:lineRule="exact"/>
        <w:rPr>
          <w:sz w:val="24"/>
          <w:szCs w:val="24"/>
          <w:color w:val="auto"/>
        </w:rPr>
      </w:pPr>
    </w:p>
    <w:p>
      <w:pPr>
        <w:jc w:val="both"/>
        <w:ind w:right="260" w:firstLine="59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86"/>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73"/>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181" w:lineRule="exact"/>
        <w:rPr>
          <w:sz w:val="24"/>
          <w:szCs w:val="24"/>
          <w:color w:val="auto"/>
        </w:rPr>
      </w:pPr>
    </w:p>
    <w:p>
      <w:pPr>
        <w:ind w:right="500" w:firstLine="599"/>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 w:lineRule="exact"/>
        <w:rPr>
          <w:sz w:val="24"/>
          <w:szCs w:val="24"/>
          <w:color w:val="auto"/>
        </w:rPr>
      </w:pPr>
    </w:p>
    <w:p>
      <w:pPr>
        <w:ind w:left="600" w:right="2020"/>
        <w:spacing w:after="0" w:line="260"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November 3, 2021, the registrant had 39,381,866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428625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580" w:type="dxa"/>
            <w:vAlign w:val="bottom"/>
            <w:gridSpan w:val="5"/>
          </w:tcPr>
          <w:p>
            <w:pPr>
              <w:ind w:left="80"/>
              <w:spacing w:after="0"/>
              <w:rPr>
                <w:sz w:val="20"/>
                <w:szCs w:val="20"/>
                <w:color w:val="auto"/>
              </w:rPr>
            </w:pPr>
            <w:r>
              <w:rPr>
                <w:rFonts w:ascii="Arial" w:cs="Arial" w:eastAsia="Arial" w:hAnsi="Arial"/>
                <w:sz w:val="18"/>
                <w:szCs w:val="18"/>
                <w:b w:val="1"/>
                <w:bCs w:val="1"/>
                <w:color w:val="auto"/>
              </w:rPr>
              <w:t>Table of Contents</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8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PART I.</w:t>
            </w:r>
          </w:p>
        </w:tc>
        <w:tc>
          <w:tcPr>
            <w:tcW w:w="9260" w:type="dxa"/>
            <w:vAlign w:val="bottom"/>
            <w:gridSpan w:val="18"/>
          </w:tcPr>
          <w:p>
            <w:pPr>
              <w:spacing w:after="0" w:line="182" w:lineRule="exact"/>
              <w:rPr>
                <w:rFonts w:ascii="Arial" w:cs="Arial" w:eastAsia="Arial" w:hAnsi="Arial"/>
                <w:sz w:val="18"/>
                <w:szCs w:val="18"/>
                <w:color w:val="0563C1"/>
              </w:rPr>
            </w:pPr>
            <w:hyperlink w:anchor="page5">
              <w:r>
                <w:rPr>
                  <w:rFonts w:ascii="Arial" w:cs="Arial" w:eastAsia="Arial" w:hAnsi="Arial"/>
                  <w:sz w:val="18"/>
                  <w:szCs w:val="18"/>
                  <w:color w:val="0563C1"/>
                </w:rPr>
                <w:t>FINANCIAL INFORMATION</w:t>
              </w:r>
            </w:hyperlink>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420" w:type="dxa"/>
            <w:vAlign w:val="bottom"/>
            <w:tcBorders>
              <w:bottom w:val="single" w:sz="8" w:color="0563C1"/>
            </w:tcBorders>
            <w:gridSpan w:val="11"/>
          </w:tcPr>
          <w:p>
            <w:pPr>
              <w:spacing w:after="0"/>
              <w:rPr>
                <w:rFonts w:ascii="Arial" w:cs="Arial" w:eastAsia="Arial" w:hAnsi="Arial"/>
                <w:sz w:val="18"/>
                <w:szCs w:val="18"/>
                <w:color w:val="0563C1"/>
                <w:w w:val="89"/>
              </w:rPr>
            </w:pPr>
            <w:hyperlink w:anchor="page5">
              <w:r>
                <w:rPr>
                  <w:rFonts w:ascii="Arial" w:cs="Arial" w:eastAsia="Arial" w:hAnsi="Arial"/>
                  <w:sz w:val="18"/>
                  <w:szCs w:val="18"/>
                  <w:color w:val="0563C1"/>
                  <w:w w:val="89"/>
                </w:rPr>
                <w:t>Financial Statements (Unaudited)</w:t>
              </w:r>
            </w:hyperlink>
          </w:p>
        </w:tc>
        <w:tc>
          <w:tcPr>
            <w:tcW w:w="6840" w:type="dxa"/>
            <w:vAlign w:val="bottom"/>
            <w:gridSpan w:val="7"/>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60" w:type="dxa"/>
            <w:vAlign w:val="bottom"/>
            <w:gridSpan w:val="18"/>
          </w:tcPr>
          <w:p>
            <w:pPr>
              <w:spacing w:after="0"/>
              <w:rPr>
                <w:rFonts w:ascii="Arial" w:cs="Arial" w:eastAsia="Arial" w:hAnsi="Arial"/>
                <w:sz w:val="18"/>
                <w:szCs w:val="18"/>
                <w:color w:val="0563C1"/>
              </w:rPr>
            </w:pPr>
            <w:hyperlink w:anchor="page5">
              <w:r>
                <w:rPr>
                  <w:rFonts w:ascii="Arial" w:cs="Arial" w:eastAsia="Arial" w:hAnsi="Arial"/>
                  <w:sz w:val="18"/>
                  <w:szCs w:val="18"/>
                  <w:color w:val="0563C1"/>
                </w:rPr>
                <w:t>Balance Sheets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80" w:type="dxa"/>
            <w:vAlign w:val="bottom"/>
            <w:tcBorders>
              <w:bottom w:val="single" w:sz="8" w:color="0563C1"/>
            </w:tcBorders>
            <w:gridSpan w:val="13"/>
          </w:tcPr>
          <w:p>
            <w:pPr>
              <w:spacing w:after="0"/>
              <w:rPr>
                <w:rFonts w:ascii="Arial" w:cs="Arial" w:eastAsia="Arial" w:hAnsi="Arial"/>
                <w:sz w:val="18"/>
                <w:szCs w:val="18"/>
                <w:color w:val="0563C1"/>
                <w:w w:val="88"/>
              </w:rPr>
            </w:pPr>
            <w:hyperlink w:anchor="page6">
              <w:r>
                <w:rPr>
                  <w:rFonts w:ascii="Arial" w:cs="Arial" w:eastAsia="Arial" w:hAnsi="Arial"/>
                  <w:sz w:val="18"/>
                  <w:szCs w:val="18"/>
                  <w:color w:val="0563C1"/>
                  <w:w w:val="88"/>
                </w:rPr>
                <w:t>Statements of Operations and Comprehensive Loss</w:t>
              </w:r>
            </w:hyperlink>
          </w:p>
        </w:tc>
        <w:tc>
          <w:tcPr>
            <w:tcW w:w="5580" w:type="dxa"/>
            <w:vAlign w:val="bottom"/>
            <w:gridSpan w:val="5"/>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60" w:type="dxa"/>
            <w:vAlign w:val="bottom"/>
            <w:gridSpan w:val="18"/>
          </w:tcPr>
          <w:p>
            <w:pPr>
              <w:spacing w:after="0"/>
              <w:rPr>
                <w:rFonts w:ascii="Arial" w:cs="Arial" w:eastAsia="Arial" w:hAnsi="Arial"/>
                <w:sz w:val="18"/>
                <w:szCs w:val="18"/>
                <w:color w:val="0563C1"/>
              </w:rPr>
            </w:pPr>
            <w:hyperlink w:anchor="page7">
              <w:r>
                <w:rPr>
                  <w:rFonts w:ascii="Arial" w:cs="Arial" w:eastAsia="Arial" w:hAnsi="Arial"/>
                  <w:sz w:val="18"/>
                  <w:szCs w:val="18"/>
                  <w:color w:val="0563C1"/>
                </w:rPr>
                <w:t>Statements of Convertible Preferred Stock and Stockholders’ Equity (Deficit)</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580" w:type="dxa"/>
            <w:vAlign w:val="bottom"/>
            <w:tcBorders>
              <w:top w:val="single" w:sz="8" w:color="0563C1"/>
            </w:tcBorders>
            <w:gridSpan w:val="16"/>
          </w:tcPr>
          <w:p>
            <w:pPr>
              <w:spacing w:after="0"/>
              <w:rPr>
                <w:rFonts w:ascii="Arial" w:cs="Arial" w:eastAsia="Arial" w:hAnsi="Arial"/>
                <w:sz w:val="18"/>
                <w:szCs w:val="18"/>
                <w:color w:val="0563C1"/>
              </w:rPr>
            </w:pPr>
            <w:hyperlink w:anchor="page8">
              <w:r>
                <w:rPr>
                  <w:rFonts w:ascii="Arial" w:cs="Arial" w:eastAsia="Arial" w:hAnsi="Arial"/>
                  <w:sz w:val="18"/>
                  <w:szCs w:val="18"/>
                  <w:color w:val="0563C1"/>
                </w:rPr>
                <w:t>Statements of Cash Flows</w:t>
              </w:r>
            </w:hyperlink>
          </w:p>
        </w:tc>
        <w:tc>
          <w:tcPr>
            <w:tcW w:w="3680" w:type="dxa"/>
            <w:vAlign w:val="bottom"/>
            <w:gridSpan w:val="2"/>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60" w:type="dxa"/>
            <w:vAlign w:val="bottom"/>
            <w:gridSpan w:val="18"/>
          </w:tcPr>
          <w:p>
            <w:pPr>
              <w:spacing w:after="0"/>
              <w:rPr>
                <w:rFonts w:ascii="Arial" w:cs="Arial" w:eastAsia="Arial" w:hAnsi="Arial"/>
                <w:sz w:val="18"/>
                <w:szCs w:val="18"/>
                <w:color w:val="0563C1"/>
              </w:rPr>
            </w:pPr>
            <w:hyperlink w:anchor="page9">
              <w:r>
                <w:rPr>
                  <w:rFonts w:ascii="Arial" w:cs="Arial" w:eastAsia="Arial" w:hAnsi="Arial"/>
                  <w:sz w:val="18"/>
                  <w:szCs w:val="18"/>
                  <w:color w:val="0563C1"/>
                </w:rPr>
                <w:t>Notes to Unaudited Financial Statements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20" w:type="dxa"/>
            <w:vAlign w:val="bottom"/>
            <w:gridSpan w:val="2"/>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620" w:type="dxa"/>
            <w:vAlign w:val="bottom"/>
            <w:gridSpan w:val="2"/>
            <w:shd w:val="clear" w:color="auto" w:fill="0563C1"/>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563C1"/>
            </w:tcBorders>
            <w:gridSpan w:val="17"/>
          </w:tcPr>
          <w:p>
            <w:pPr>
              <w:spacing w:after="0"/>
              <w:rPr>
                <w:rFonts w:ascii="Arial" w:cs="Arial" w:eastAsia="Arial" w:hAnsi="Arial"/>
                <w:sz w:val="18"/>
                <w:szCs w:val="18"/>
                <w:color w:val="0563C1"/>
                <w:w w:val="90"/>
              </w:rPr>
            </w:pPr>
            <w:hyperlink w:anchor="page17">
              <w:r>
                <w:rPr>
                  <w:rFonts w:ascii="Arial" w:cs="Arial" w:eastAsia="Arial" w:hAnsi="Arial"/>
                  <w:sz w:val="18"/>
                  <w:szCs w:val="18"/>
                  <w:color w:val="0563C1"/>
                  <w:w w:val="90"/>
                </w:rPr>
                <w:t>Management’s Discussion and Analysis of Financial Condition and Results of Operations</w:t>
              </w:r>
            </w:hyperlink>
          </w:p>
        </w:tc>
        <w:tc>
          <w:tcPr>
            <w:tcW w:w="28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563C1"/>
            </w:tcBorders>
            <w:gridSpan w:val="15"/>
          </w:tcPr>
          <w:p>
            <w:pPr>
              <w:spacing w:after="0"/>
              <w:rPr>
                <w:rFonts w:ascii="Arial" w:cs="Arial" w:eastAsia="Arial" w:hAnsi="Arial"/>
                <w:sz w:val="18"/>
                <w:szCs w:val="18"/>
                <w:color w:val="0563C1"/>
                <w:w w:val="92"/>
              </w:rPr>
            </w:pPr>
            <w:hyperlink w:anchor="page23">
              <w:r>
                <w:rPr>
                  <w:rFonts w:ascii="Arial" w:cs="Arial" w:eastAsia="Arial" w:hAnsi="Arial"/>
                  <w:sz w:val="18"/>
                  <w:szCs w:val="18"/>
                  <w:color w:val="0563C1"/>
                  <w:w w:val="92"/>
                </w:rPr>
                <w:t>Quantitative and Qualitative Disclosures About Market Risk</w:t>
              </w:r>
            </w:hyperlink>
          </w:p>
        </w:tc>
        <w:tc>
          <w:tcPr>
            <w:tcW w:w="4900" w:type="dxa"/>
            <w:vAlign w:val="bottom"/>
            <w:gridSpan w:val="3"/>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260" w:type="dxa"/>
            <w:vAlign w:val="bottom"/>
            <w:gridSpan w:val="18"/>
          </w:tcPr>
          <w:p>
            <w:pPr>
              <w:spacing w:after="0"/>
              <w:rPr>
                <w:rFonts w:ascii="Arial" w:cs="Arial" w:eastAsia="Arial" w:hAnsi="Arial"/>
                <w:sz w:val="18"/>
                <w:szCs w:val="18"/>
                <w:color w:val="0563C1"/>
              </w:rPr>
            </w:pPr>
            <w:hyperlink w:anchor="page24">
              <w:r>
                <w:rPr>
                  <w:rFonts w:ascii="Arial" w:cs="Arial" w:eastAsia="Arial" w:hAnsi="Arial"/>
                  <w:sz w:val="18"/>
                  <w:szCs w:val="18"/>
                  <w:color w:val="0563C1"/>
                </w:rPr>
                <w:t>Controls and Procedures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II.</w:t>
            </w:r>
          </w:p>
        </w:tc>
        <w:tc>
          <w:tcPr>
            <w:tcW w:w="60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2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140" w:type="dxa"/>
            <w:vAlign w:val="bottom"/>
            <w:gridSpan w:val="2"/>
            <w:vMerge w:val="continue"/>
          </w:tcPr>
          <w:p>
            <w:pPr>
              <w:spacing w:after="0"/>
              <w:rPr>
                <w:sz w:val="24"/>
                <w:szCs w:val="24"/>
                <w:color w:val="auto"/>
              </w:rPr>
            </w:pPr>
          </w:p>
        </w:tc>
        <w:tc>
          <w:tcPr>
            <w:tcW w:w="1880" w:type="dxa"/>
            <w:vAlign w:val="bottom"/>
            <w:tcBorders>
              <w:bottom w:val="single" w:sz="8" w:color="0563C1"/>
            </w:tcBorders>
            <w:gridSpan w:val="8"/>
          </w:tcPr>
          <w:p>
            <w:pPr>
              <w:spacing w:after="0"/>
              <w:rPr>
                <w:rFonts w:ascii="Arial" w:cs="Arial" w:eastAsia="Arial" w:hAnsi="Arial"/>
                <w:sz w:val="18"/>
                <w:szCs w:val="18"/>
                <w:color w:val="0563C1"/>
                <w:w w:val="95"/>
              </w:rPr>
            </w:pPr>
            <w:hyperlink w:anchor="page25">
              <w:r>
                <w:rPr>
                  <w:rFonts w:ascii="Arial" w:cs="Arial" w:eastAsia="Arial" w:hAnsi="Arial"/>
                  <w:sz w:val="18"/>
                  <w:szCs w:val="18"/>
                  <w:color w:val="0563C1"/>
                  <w:w w:val="95"/>
                </w:rPr>
                <w:t>OTHER INFORMATION</w:t>
              </w:r>
            </w:hyperlink>
          </w:p>
        </w:tc>
        <w:tc>
          <w:tcPr>
            <w:tcW w:w="7380" w:type="dxa"/>
            <w:vAlign w:val="bottom"/>
            <w:gridSpan w:val="10"/>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260" w:type="dxa"/>
            <w:vAlign w:val="bottom"/>
            <w:gridSpan w:val="18"/>
          </w:tcPr>
          <w:p>
            <w:pPr>
              <w:spacing w:after="0"/>
              <w:rPr>
                <w:rFonts w:ascii="Arial" w:cs="Arial" w:eastAsia="Arial" w:hAnsi="Arial"/>
                <w:sz w:val="18"/>
                <w:szCs w:val="18"/>
                <w:color w:val="0563C1"/>
              </w:rPr>
            </w:pPr>
            <w:hyperlink w:anchor="page25">
              <w:r>
                <w:rPr>
                  <w:rFonts w:ascii="Arial" w:cs="Arial" w:eastAsia="Arial" w:hAnsi="Arial"/>
                  <w:sz w:val="18"/>
                  <w:szCs w:val="18"/>
                  <w:color w:val="0563C1"/>
                </w:rPr>
                <w:t>Legal Proceedings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320" w:type="dxa"/>
            <w:vAlign w:val="bottom"/>
            <w:tcBorders>
              <w:top w:val="single" w:sz="8" w:color="0563C1"/>
            </w:tcBorders>
            <w:gridSpan w:val="5"/>
          </w:tcPr>
          <w:p>
            <w:pPr>
              <w:spacing w:after="0"/>
              <w:rPr>
                <w:rFonts w:ascii="Arial" w:cs="Arial" w:eastAsia="Arial" w:hAnsi="Arial"/>
                <w:sz w:val="18"/>
                <w:szCs w:val="18"/>
                <w:color w:val="0563C1"/>
              </w:rPr>
            </w:pPr>
            <w:hyperlink w:anchor="page25">
              <w:r>
                <w:rPr>
                  <w:rFonts w:ascii="Arial" w:cs="Arial" w:eastAsia="Arial" w:hAnsi="Arial"/>
                  <w:sz w:val="18"/>
                  <w:szCs w:val="18"/>
                  <w:color w:val="0563C1"/>
                </w:rPr>
                <w:t>Risk Factors</w:t>
              </w:r>
            </w:hyperlink>
          </w:p>
        </w:tc>
        <w:tc>
          <w:tcPr>
            <w:tcW w:w="7940" w:type="dxa"/>
            <w:vAlign w:val="bottom"/>
            <w:gridSpan w:val="13"/>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2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260" w:type="dxa"/>
            <w:vAlign w:val="bottom"/>
            <w:gridSpan w:val="18"/>
          </w:tcPr>
          <w:p>
            <w:pPr>
              <w:spacing w:after="0"/>
              <w:rPr>
                <w:rFonts w:ascii="Arial" w:cs="Arial" w:eastAsia="Arial" w:hAnsi="Arial"/>
                <w:sz w:val="18"/>
                <w:szCs w:val="18"/>
                <w:color w:val="0563C1"/>
              </w:rPr>
            </w:pPr>
            <w:hyperlink w:anchor="page75">
              <w:r>
                <w:rPr>
                  <w:rFonts w:ascii="Arial" w:cs="Arial" w:eastAsia="Arial" w:hAnsi="Arial"/>
                  <w:sz w:val="18"/>
                  <w:szCs w:val="18"/>
                  <w:color w:val="0563C1"/>
                </w:rPr>
                <w:t>Unregistered Sales of Equity Securities and Use of Proceeds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20" w:type="dxa"/>
            <w:vAlign w:val="bottom"/>
            <w:tcBorders>
              <w:top w:val="single" w:sz="8" w:color="0563C1"/>
              <w:bottom w:val="single" w:sz="8" w:color="0563C1"/>
            </w:tcBorders>
            <w:gridSpan w:val="10"/>
          </w:tcPr>
          <w:p>
            <w:pPr>
              <w:spacing w:after="0"/>
              <w:rPr>
                <w:rFonts w:ascii="Arial" w:cs="Arial" w:eastAsia="Arial" w:hAnsi="Arial"/>
                <w:sz w:val="18"/>
                <w:szCs w:val="18"/>
                <w:color w:val="0563C1"/>
                <w:w w:val="90"/>
              </w:rPr>
            </w:pPr>
            <w:hyperlink w:anchor="page76">
              <w:r>
                <w:rPr>
                  <w:rFonts w:ascii="Arial" w:cs="Arial" w:eastAsia="Arial" w:hAnsi="Arial"/>
                  <w:sz w:val="18"/>
                  <w:szCs w:val="18"/>
                  <w:color w:val="0563C1"/>
                  <w:w w:val="90"/>
                </w:rPr>
                <w:t>Defaults Upon Senior Securities</w:t>
              </w:r>
            </w:hyperlink>
          </w:p>
        </w:tc>
        <w:tc>
          <w:tcPr>
            <w:tcW w:w="2020" w:type="dxa"/>
            <w:vAlign w:val="bottom"/>
            <w:tcBorders>
              <w:top w:val="single" w:sz="8" w:color="0563C1"/>
            </w:tcBorders>
            <w:gridSpan w:val="4"/>
          </w:tcPr>
          <w:p>
            <w:pPr>
              <w:spacing w:after="0"/>
              <w:rPr>
                <w:sz w:val="19"/>
                <w:szCs w:val="19"/>
                <w:color w:val="auto"/>
              </w:rPr>
            </w:pPr>
          </w:p>
        </w:tc>
        <w:tc>
          <w:tcPr>
            <w:tcW w:w="4920" w:type="dxa"/>
            <w:vAlign w:val="bottom"/>
            <w:gridSpan w:val="4"/>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260" w:type="dxa"/>
            <w:vAlign w:val="bottom"/>
            <w:gridSpan w:val="18"/>
          </w:tcPr>
          <w:p>
            <w:pPr>
              <w:spacing w:after="0"/>
              <w:rPr>
                <w:rFonts w:ascii="Arial" w:cs="Arial" w:eastAsia="Arial" w:hAnsi="Arial"/>
                <w:sz w:val="18"/>
                <w:szCs w:val="18"/>
                <w:color w:val="0563C1"/>
              </w:rPr>
            </w:pPr>
            <w:hyperlink w:anchor="page76">
              <w:r>
                <w:rPr>
                  <w:rFonts w:ascii="Arial" w:cs="Arial" w:eastAsia="Arial" w:hAnsi="Arial"/>
                  <w:sz w:val="18"/>
                  <w:szCs w:val="18"/>
                  <w:color w:val="0563C1"/>
                </w:rPr>
                <w:t>Mine Safety Disclosures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563C1"/>
            </w:tcBorders>
            <w:gridSpan w:val="6"/>
          </w:tcPr>
          <w:p>
            <w:pPr>
              <w:spacing w:after="0"/>
              <w:rPr>
                <w:rFonts w:ascii="Arial" w:cs="Arial" w:eastAsia="Arial" w:hAnsi="Arial"/>
                <w:sz w:val="18"/>
                <w:szCs w:val="18"/>
                <w:color w:val="0563C1"/>
              </w:rPr>
            </w:pPr>
            <w:hyperlink w:anchor="page76">
              <w:r>
                <w:rPr>
                  <w:rFonts w:ascii="Arial" w:cs="Arial" w:eastAsia="Arial" w:hAnsi="Arial"/>
                  <w:sz w:val="18"/>
                  <w:szCs w:val="18"/>
                  <w:color w:val="0563C1"/>
                </w:rPr>
                <w:t>Other Information</w:t>
              </w:r>
            </w:hyperlink>
          </w:p>
        </w:tc>
        <w:tc>
          <w:tcPr>
            <w:tcW w:w="7500" w:type="dxa"/>
            <w:vAlign w:val="bottom"/>
            <w:gridSpan w:val="12"/>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00" w:type="dxa"/>
            <w:vAlign w:val="bottom"/>
            <w:tcBorders>
              <w:top w:val="single" w:sz="8" w:color="0563C1"/>
            </w:tcBorders>
            <w:gridSpan w:val="4"/>
          </w:tcPr>
          <w:p>
            <w:pPr>
              <w:spacing w:after="0"/>
              <w:rPr>
                <w:rFonts w:ascii="Arial" w:cs="Arial" w:eastAsia="Arial" w:hAnsi="Arial"/>
                <w:sz w:val="18"/>
                <w:szCs w:val="18"/>
                <w:color w:val="0563C1"/>
              </w:rPr>
            </w:pPr>
            <w:hyperlink w:anchor="page77">
              <w:r>
                <w:rPr>
                  <w:rFonts w:ascii="Arial" w:cs="Arial" w:eastAsia="Arial" w:hAnsi="Arial"/>
                  <w:sz w:val="18"/>
                  <w:szCs w:val="18"/>
                  <w:color w:val="0563C1"/>
                </w:rPr>
                <w:t>Exhibits</w:t>
              </w:r>
            </w:hyperlink>
          </w:p>
        </w:tc>
        <w:tc>
          <w:tcPr>
            <w:tcW w:w="7960" w:type="dxa"/>
            <w:vAlign w:val="bottom"/>
            <w:gridSpan w:val="14"/>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3"/>
        </w:trPr>
        <w:tc>
          <w:tcPr>
            <w:tcW w:w="1140" w:type="dxa"/>
            <w:vAlign w:val="bottom"/>
            <w:gridSpan w:val="2"/>
          </w:tcPr>
          <w:p>
            <w:pPr>
              <w:spacing w:after="0"/>
              <w:rPr>
                <w:rFonts w:ascii="Arial" w:cs="Arial" w:eastAsia="Arial" w:hAnsi="Arial"/>
                <w:sz w:val="18"/>
                <w:szCs w:val="18"/>
                <w:color w:val="0563C1"/>
                <w:w w:val="95"/>
              </w:rPr>
            </w:pPr>
            <w:hyperlink w:anchor="page78">
              <w:r>
                <w:rPr>
                  <w:rFonts w:ascii="Arial" w:cs="Arial" w:eastAsia="Arial" w:hAnsi="Arial"/>
                  <w:sz w:val="18"/>
                  <w:szCs w:val="18"/>
                  <w:color w:val="0563C1"/>
                  <w:w w:val="95"/>
                </w:rPr>
                <w:t>SIGNATURES</w:t>
              </w:r>
            </w:hyperlink>
          </w:p>
        </w:tc>
        <w:tc>
          <w:tcPr>
            <w:tcW w:w="600" w:type="dxa"/>
            <w:vAlign w:val="bottom"/>
            <w:tcBorders>
              <w:top w:val="single" w:sz="8" w:color="0563C1"/>
            </w:tcBorders>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1100" w:type="dxa"/>
            <w:vAlign w:val="bottom"/>
            <w:shd w:val="clear" w:color="auto" w:fill="0563C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6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43" w:lineRule="exact"/>
        <w:rPr>
          <w:sz w:val="20"/>
          <w:szCs w:val="20"/>
          <w:color w:val="auto"/>
        </w:rPr>
      </w:pPr>
    </w:p>
    <w:p>
      <w:pPr>
        <w:ind w:firstLine="749"/>
        <w:spacing w:after="0" w:line="288" w:lineRule="auto"/>
        <w:rPr>
          <w:sz w:val="20"/>
          <w:szCs w:val="20"/>
          <w:color w:val="auto"/>
        </w:rPr>
      </w:pPr>
      <w:r>
        <w:rPr>
          <w:rFonts w:ascii="Arial" w:cs="Arial" w:eastAsia="Arial" w:hAnsi="Arial"/>
          <w:sz w:val="17"/>
          <w:szCs w:val="17"/>
          <w:color w:val="auto"/>
        </w:rPr>
        <w:t>This quarterly report on Form 10-Q contains forward-looking statements. All statements other than statements of historical facts contained in this quarterly report on Form10-Q, including statements regarding our future results of operations and financial position, business strategy, development plans, planned preclinical studies and clinical trials, future results of clinical trials, expected research and development costs, regulatory strategy, timing and likelihood of success, as well as plans and objectives of management for future operations, are forward-looking statements. In some cases, you can identify forward-looking statements by terms such as “may,” “will,” “should,” “would,” “expect,” “plan,” “anticipate,” “could,” “intend,” “target,” “project,” “contemplate,” “believe,” “estimate,” “predict,” “potential” or “continue” or the negative of these terms or other similar expressions. Forward-looking statements contained in this quarterly report on Form 10-Q include, but are not limited to, statements about:</w:t>
      </w:r>
    </w:p>
    <w:p>
      <w:pPr>
        <w:spacing w:after="0" w:line="7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ability of our clinical trials to demonstrate safety and efficacy of our product candidates, and other positive results;</w:t>
      </w:r>
    </w:p>
    <w:p>
      <w:pPr>
        <w:spacing w:after="0" w:line="131" w:lineRule="exact"/>
        <w:rPr>
          <w:sz w:val="20"/>
          <w:szCs w:val="20"/>
          <w:color w:val="auto"/>
        </w:rPr>
      </w:pPr>
    </w:p>
    <w:p>
      <w:pPr>
        <w:ind w:left="1200" w:right="20"/>
        <w:spacing w:after="0" w:line="329" w:lineRule="auto"/>
        <w:rPr>
          <w:sz w:val="20"/>
          <w:szCs w:val="20"/>
          <w:color w:val="auto"/>
        </w:rPr>
      </w:pPr>
      <w:r>
        <w:rPr>
          <w:rFonts w:ascii="Arial" w:cs="Arial" w:eastAsia="Arial" w:hAnsi="Arial"/>
          <w:sz w:val="16"/>
          <w:szCs w:val="16"/>
          <w:color w:val="auto"/>
        </w:rPr>
        <w:t>the timing, progress and results of preclinical studies and clinical trials for ORIC-101, ORIC-533, ORIC-944, ORIC-114 and other product candidates we may develop, including statements regarding the timing of initiation and completion of studies or trials and related preparatory work, the period during which the results of the trials will become available, and our research and development programs;</w:t>
      </w:r>
    </w:p>
    <w:p>
      <w:pPr>
        <w:spacing w:after="0" w:line="40" w:lineRule="exact"/>
        <w:rPr>
          <w:sz w:val="20"/>
          <w:szCs w:val="20"/>
          <w:color w:val="auto"/>
        </w:rPr>
      </w:pPr>
    </w:p>
    <w:p>
      <w:pPr>
        <w:ind w:left="1200" w:right="140"/>
        <w:spacing w:after="0" w:line="279" w:lineRule="auto"/>
        <w:rPr>
          <w:sz w:val="20"/>
          <w:szCs w:val="20"/>
          <w:color w:val="auto"/>
        </w:rPr>
      </w:pPr>
      <w:r>
        <w:rPr>
          <w:rFonts w:ascii="Arial" w:cs="Arial" w:eastAsia="Arial" w:hAnsi="Arial"/>
          <w:sz w:val="18"/>
          <w:szCs w:val="18"/>
          <w:color w:val="auto"/>
        </w:rPr>
        <w:t>the timing, scope and likelihood of regulatory filings and approvals, including timing of Investigational New Drug, or IND, or Clinical Trial Application, or CTA, applications and final Food and Drug Administration, or FDA, approval of ORIC-101, ORIC-533, ORIC-944, ORIC-114 and any other future product candidates;</w:t>
      </w:r>
    </w:p>
    <w:p>
      <w:pPr>
        <w:spacing w:after="0" w:line="7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timing, scope or likelihood of foreign regulatory filings and approvals;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our ability to develop and advance our current product candidates and programs into, and successfully complete, clinical studies;</w:t>
      </w:r>
    </w:p>
    <w:p>
      <w:pPr>
        <w:spacing w:after="0" w:line="14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our manufacturing, commercialization, and marketing capabilities and strategy;</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our plans relating to commercializing our product candidates, if approved, including the geographic areas of focus and sales strategy;</w:t>
      </w:r>
    </w:p>
    <w:p>
      <w:pPr>
        <w:spacing w:after="0" w:line="14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need to hire additional personnel and our ability to attract and retain such personnel;</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our expectations regarding the impact of the COVID-19 pandemic on our business;</w:t>
      </w:r>
    </w:p>
    <w:p>
      <w:pPr>
        <w:spacing w:after="0" w:line="131" w:lineRule="exact"/>
        <w:rPr>
          <w:sz w:val="20"/>
          <w:szCs w:val="20"/>
          <w:color w:val="auto"/>
        </w:rPr>
      </w:pPr>
    </w:p>
    <w:p>
      <w:pPr>
        <w:ind w:left="1200" w:right="560"/>
        <w:spacing w:after="0" w:line="293" w:lineRule="auto"/>
        <w:rPr>
          <w:sz w:val="20"/>
          <w:szCs w:val="20"/>
          <w:color w:val="auto"/>
        </w:rPr>
      </w:pPr>
      <w:r>
        <w:rPr>
          <w:rFonts w:ascii="Arial" w:cs="Arial" w:eastAsia="Arial" w:hAnsi="Arial"/>
          <w:sz w:val="18"/>
          <w:szCs w:val="18"/>
          <w:color w:val="auto"/>
        </w:rPr>
        <w:t>the size of the market opportunity for our product candidates, including our estimates of the number of patients who suffer from the diseases we are targeting;</w:t>
      </w:r>
    </w:p>
    <w:p>
      <w:pPr>
        <w:spacing w:after="0" w:line="6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our expectations regarding the approval and use of our product candidates in combination with other drugs;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our competitive position and the success of competing therapies that are or may become available;</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our estimates of the number of patients that we will enroll in our clinical trials;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beneficial characteristics, safety, efficacy and therapeutic effects of our product candidates;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our ability to obtain and maintain regulatory approval of our product candidates;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our plans relating to the further development of our product candidates, including additional indications we may pursue;</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existing regulations and regulatory developments in the United States, Europe and other jurisdictions;</w:t>
      </w:r>
    </w:p>
    <w:p>
      <w:pPr>
        <w:spacing w:after="0" w:line="131" w:lineRule="exact"/>
        <w:rPr>
          <w:sz w:val="20"/>
          <w:szCs w:val="20"/>
          <w:color w:val="auto"/>
        </w:rPr>
      </w:pPr>
    </w:p>
    <w:p>
      <w:pPr>
        <w:ind w:left="1200" w:right="40"/>
        <w:spacing w:after="0" w:line="275" w:lineRule="auto"/>
        <w:rPr>
          <w:sz w:val="20"/>
          <w:szCs w:val="20"/>
          <w:color w:val="auto"/>
        </w:rPr>
      </w:pPr>
      <w:r>
        <w:rPr>
          <w:rFonts w:ascii="Arial" w:cs="Arial" w:eastAsia="Arial" w:hAnsi="Arial"/>
          <w:sz w:val="18"/>
          <w:szCs w:val="18"/>
          <w:color w:val="auto"/>
        </w:rPr>
        <w:t>our intellectual property position, including the scope of protection we are able to establish and maintain for intellectual property rights covering ORIC-101, ORIC-533, ORIC-944, ORIC-114 and other product candidates we may develop, including the extensions of existing patent terms where available, the validity of intellectual property rights held by third parties, and our ability not to infringe, misappropriate or otherwise violate any third-party intellectual property rights;</w:t>
      </w:r>
    </w:p>
    <w:p>
      <w:pPr>
        <w:spacing w:after="0" w:line="77" w:lineRule="exact"/>
        <w:rPr>
          <w:sz w:val="20"/>
          <w:szCs w:val="20"/>
          <w:color w:val="auto"/>
        </w:rPr>
      </w:pPr>
    </w:p>
    <w:p>
      <w:pPr>
        <w:ind w:left="1200" w:right="560"/>
        <w:spacing w:after="0" w:line="293" w:lineRule="auto"/>
        <w:rPr>
          <w:sz w:val="20"/>
          <w:szCs w:val="20"/>
          <w:color w:val="auto"/>
        </w:rPr>
      </w:pPr>
      <w:r>
        <w:rPr>
          <w:rFonts w:ascii="Arial" w:cs="Arial" w:eastAsia="Arial" w:hAnsi="Arial"/>
          <w:sz w:val="18"/>
          <w:szCs w:val="18"/>
          <w:color w:val="auto"/>
        </w:rPr>
        <w:t>our continued reliance on third parties to conduct additional clinical trials of our product candidates, and for the manufacture of our product candidates for preclinical studies and clinical trials;</w:t>
      </w:r>
    </w:p>
    <w:p>
      <w:pPr>
        <w:spacing w:after="0" w:line="62" w:lineRule="exact"/>
        <w:rPr>
          <w:sz w:val="20"/>
          <w:szCs w:val="20"/>
          <w:color w:val="auto"/>
        </w:rPr>
      </w:pPr>
    </w:p>
    <w:p>
      <w:pPr>
        <w:ind w:left="1200" w:right="640"/>
        <w:spacing w:after="0" w:line="293" w:lineRule="auto"/>
        <w:rPr>
          <w:sz w:val="20"/>
          <w:szCs w:val="20"/>
          <w:color w:val="auto"/>
        </w:rPr>
      </w:pPr>
      <w:r>
        <w:rPr>
          <w:rFonts w:ascii="Arial" w:cs="Arial" w:eastAsia="Arial" w:hAnsi="Arial"/>
          <w:sz w:val="18"/>
          <w:szCs w:val="18"/>
          <w:color w:val="auto"/>
        </w:rPr>
        <w:t>our ability to obtain, and negotiate favorable terms of, any collaboration, licensing or other arrangements that may be necessary or desirable to develop, manufacture or commercialize our product candidates;</w:t>
      </w:r>
    </w:p>
    <w:p>
      <w:pPr>
        <w:spacing w:after="0" w:line="62" w:lineRule="exact"/>
        <w:rPr>
          <w:sz w:val="20"/>
          <w:szCs w:val="20"/>
          <w:color w:val="auto"/>
        </w:rPr>
      </w:pPr>
    </w:p>
    <w:p>
      <w:pPr>
        <w:ind w:left="1200" w:right="740"/>
        <w:spacing w:after="0" w:line="293" w:lineRule="auto"/>
        <w:rPr>
          <w:sz w:val="20"/>
          <w:szCs w:val="20"/>
          <w:color w:val="auto"/>
        </w:rPr>
      </w:pPr>
      <w:r>
        <w:rPr>
          <w:rFonts w:ascii="Arial" w:cs="Arial" w:eastAsia="Arial" w:hAnsi="Arial"/>
          <w:sz w:val="18"/>
          <w:szCs w:val="18"/>
          <w:color w:val="auto"/>
        </w:rPr>
        <w:t>the pricing and reimbursement of ORIC-101, ORIC-533, ORIC-944, ORIC-114 and other product candidates we may develop, if approved;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3" w:name="page4"/>
    <w:bookmarkEnd w:id="3"/>
    <w:p>
      <w:pPr>
        <w:ind w:left="1200" w:right="100"/>
        <w:spacing w:after="0" w:line="293" w:lineRule="auto"/>
        <w:rPr>
          <w:sz w:val="20"/>
          <w:szCs w:val="20"/>
          <w:color w:val="auto"/>
        </w:rPr>
      </w:pPr>
      <w:r>
        <w:rPr>
          <w:rFonts w:ascii="Arial" w:cs="Arial" w:eastAsia="Arial" w:hAnsi="Arial"/>
          <w:sz w:val="18"/>
          <w:szCs w:val="18"/>
          <w:color w:val="auto"/>
        </w:rPr>
        <w:t>the rate and degree of market acceptance and clinical utility of ORIC-101, ORIC-533, ORIC-944, ORIC-114 and other product candidates we may develop;</w:t>
      </w:r>
    </w:p>
    <w:p>
      <w:pPr>
        <w:spacing w:after="0" w:line="62" w:lineRule="exact"/>
        <w:rPr>
          <w:sz w:val="20"/>
          <w:szCs w:val="20"/>
          <w:color w:val="auto"/>
        </w:rPr>
      </w:pPr>
    </w:p>
    <w:p>
      <w:pPr>
        <w:ind w:left="1200" w:right="2420"/>
        <w:spacing w:after="0" w:line="391" w:lineRule="auto"/>
        <w:rPr>
          <w:sz w:val="20"/>
          <w:szCs w:val="20"/>
          <w:color w:val="auto"/>
        </w:rPr>
      </w:pPr>
      <w:r>
        <w:rPr>
          <w:rFonts w:ascii="Arial" w:cs="Arial" w:eastAsia="Arial" w:hAnsi="Arial"/>
          <w:sz w:val="18"/>
          <w:szCs w:val="18"/>
          <w:color w:val="auto"/>
        </w:rPr>
        <w:t>our estimates regarding expenses, future revenue, capital requirements and needs for additional financing; our financial performance;</w:t>
      </w:r>
    </w:p>
    <w:p>
      <w:pPr>
        <w:spacing w:after="0" w:line="1" w:lineRule="exact"/>
        <w:rPr>
          <w:sz w:val="20"/>
          <w:szCs w:val="20"/>
          <w:color w:val="auto"/>
        </w:rPr>
      </w:pPr>
    </w:p>
    <w:p>
      <w:pPr>
        <w:ind w:left="1200" w:right="420"/>
        <w:spacing w:after="0" w:line="293" w:lineRule="auto"/>
        <w:rPr>
          <w:sz w:val="20"/>
          <w:szCs w:val="20"/>
          <w:color w:val="auto"/>
        </w:rPr>
      </w:pPr>
      <w:r>
        <w:rPr>
          <w:rFonts w:ascii="Arial" w:cs="Arial" w:eastAsia="Arial" w:hAnsi="Arial"/>
          <w:sz w:val="18"/>
          <w:szCs w:val="18"/>
          <w:color w:val="auto"/>
        </w:rPr>
        <w:t>the period over which we estimate our existing cash, cash equivalents and available-for-sale investments will be sufficient to fund our future operating expenses and capital expenditure requirements;</w:t>
      </w:r>
    </w:p>
    <w:p>
      <w:pPr>
        <w:spacing w:after="0" w:line="6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impact of laws and regulations;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our expectations regarding the period during which we will qualify as an emerging growth company under the JOBS Act; and</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our anticipated use of our existing resources.</w:t>
      </w:r>
    </w:p>
    <w:p>
      <w:pPr>
        <w:spacing w:after="0" w:line="131" w:lineRule="exact"/>
        <w:rPr>
          <w:sz w:val="20"/>
          <w:szCs w:val="20"/>
          <w:color w:val="auto"/>
        </w:rPr>
      </w:pPr>
    </w:p>
    <w:p>
      <w:pPr>
        <w:ind w:right="20" w:firstLine="749"/>
        <w:spacing w:after="0" w:line="287" w:lineRule="auto"/>
        <w:rPr>
          <w:sz w:val="20"/>
          <w:szCs w:val="20"/>
          <w:color w:val="auto"/>
        </w:rPr>
      </w:pPr>
      <w:r>
        <w:rPr>
          <w:rFonts w:ascii="Arial" w:cs="Arial" w:eastAsia="Arial" w:hAnsi="Arial"/>
          <w:sz w:val="17"/>
          <w:szCs w:val="17"/>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on Form 10-Q and are subject to a number of risks, uncertainties and assumptions described in the section titled “Risk factors” and elsewhere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spacing w:after="0" w:line="70" w:lineRule="exact"/>
        <w:rPr>
          <w:sz w:val="20"/>
          <w:szCs w:val="20"/>
          <w:color w:val="auto"/>
        </w:rPr>
      </w:pPr>
    </w:p>
    <w:p>
      <w:pPr>
        <w:ind w:firstLine="749"/>
        <w:spacing w:after="0" w:line="272"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ORIC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64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September 30, 2021</w:t>
            </w:r>
          </w:p>
        </w:tc>
        <w:tc>
          <w:tcPr>
            <w:tcW w:w="4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Pr>
          <w:p>
            <w:pPr>
              <w:spacing w:after="0"/>
              <w:rPr>
                <w:sz w:val="19"/>
                <w:szCs w:val="19"/>
                <w:color w:val="auto"/>
              </w:rPr>
            </w:pPr>
          </w:p>
        </w:tc>
      </w:tr>
      <w:tr>
        <w:trPr>
          <w:trHeight w:val="274"/>
        </w:trPr>
        <w:tc>
          <w:tcPr>
            <w:tcW w:w="3640" w:type="dxa"/>
            <w:vAlign w:val="bottom"/>
          </w:tcPr>
          <w:p>
            <w:pPr>
              <w:spacing w:after="0"/>
              <w:rPr>
                <w:sz w:val="23"/>
                <w:szCs w:val="23"/>
                <w:color w:val="auto"/>
              </w:rPr>
            </w:pPr>
          </w:p>
        </w:tc>
        <w:tc>
          <w:tcPr>
            <w:tcW w:w="3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80" w:type="dxa"/>
            <w:vAlign w:val="bottom"/>
          </w:tcPr>
          <w:p>
            <w:pPr>
              <w:jc w:val="right"/>
              <w:ind w:right="552"/>
              <w:spacing w:after="0"/>
              <w:rPr>
                <w:sz w:val="20"/>
                <w:szCs w:val="20"/>
                <w:color w:val="auto"/>
              </w:rPr>
            </w:pPr>
            <w:r>
              <w:rPr>
                <w:rFonts w:ascii="Arial" w:cs="Arial" w:eastAsia="Arial" w:hAnsi="Arial"/>
                <w:sz w:val="16"/>
                <w:szCs w:val="16"/>
                <w:color w:val="auto"/>
              </w:rPr>
              <w:t>(unaudited)</w:t>
            </w: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3640" w:type="dxa"/>
            <w:vAlign w:val="bottom"/>
            <w:shd w:val="clear" w:color="auto" w:fill="CFF0FC"/>
          </w:tcPr>
          <w:p>
            <w:pPr>
              <w:spacing w:after="0"/>
              <w:rPr>
                <w:sz w:val="20"/>
                <w:szCs w:val="20"/>
                <w:color w:val="auto"/>
              </w:rPr>
            </w:pPr>
          </w:p>
        </w:tc>
        <w:tc>
          <w:tcPr>
            <w:tcW w:w="3360" w:type="dxa"/>
            <w:vAlign w:val="bottom"/>
            <w:gridSpan w:val="2"/>
            <w:shd w:val="clear" w:color="auto" w:fill="CFF0FC"/>
          </w:tcPr>
          <w:p>
            <w:pPr>
              <w:jc w:val="right"/>
              <w:ind w:right="1110"/>
              <w:spacing w:after="0"/>
              <w:rPr>
                <w:sz w:val="20"/>
                <w:szCs w:val="20"/>
                <w:color w:val="auto"/>
              </w:rPr>
            </w:pPr>
            <w:r>
              <w:rPr>
                <w:rFonts w:ascii="Arial" w:cs="Arial" w:eastAsia="Arial" w:hAnsi="Arial"/>
                <w:sz w:val="16"/>
                <w:szCs w:val="16"/>
                <w:b w:val="1"/>
                <w:bCs w:val="1"/>
                <w:color w:val="auto"/>
              </w:rPr>
              <w:t>Assets</w:t>
            </w:r>
          </w:p>
        </w:tc>
        <w:tc>
          <w:tcPr>
            <w:tcW w:w="17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36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66"/>
        </w:trPr>
        <w:tc>
          <w:tcPr>
            <w:tcW w:w="36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Cash and cash equivalents</w:t>
            </w:r>
          </w:p>
        </w:tc>
        <w:tc>
          <w:tcPr>
            <w:tcW w:w="33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241,126</w:t>
            </w:r>
          </w:p>
        </w:tc>
        <w:tc>
          <w:tcPr>
            <w:tcW w:w="7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78,446</w:t>
            </w:r>
          </w:p>
        </w:tc>
        <w:tc>
          <w:tcPr>
            <w:tcW w:w="100" w:type="dxa"/>
            <w:vAlign w:val="bottom"/>
            <w:shd w:val="clear" w:color="auto" w:fill="CFF0FC"/>
          </w:tcPr>
          <w:p>
            <w:pPr>
              <w:spacing w:after="0"/>
              <w:rPr>
                <w:sz w:val="23"/>
                <w:szCs w:val="23"/>
                <w:color w:val="auto"/>
              </w:rPr>
            </w:pPr>
          </w:p>
        </w:tc>
      </w:tr>
      <w:tr>
        <w:trPr>
          <w:trHeight w:val="250"/>
        </w:trPr>
        <w:tc>
          <w:tcPr>
            <w:tcW w:w="3640" w:type="dxa"/>
            <w:vAlign w:val="bottom"/>
          </w:tcPr>
          <w:p>
            <w:pPr>
              <w:ind w:left="200"/>
              <w:spacing w:after="0"/>
              <w:rPr>
                <w:sz w:val="20"/>
                <w:szCs w:val="20"/>
                <w:color w:val="auto"/>
              </w:rPr>
            </w:pPr>
            <w:r>
              <w:rPr>
                <w:rFonts w:ascii="Arial" w:cs="Arial" w:eastAsia="Arial" w:hAnsi="Arial"/>
                <w:sz w:val="16"/>
                <w:szCs w:val="16"/>
                <w:color w:val="auto"/>
              </w:rPr>
              <w:t>Short-term investments, available-for-sale</w:t>
            </w:r>
          </w:p>
        </w:tc>
        <w:tc>
          <w:tcPr>
            <w:tcW w:w="3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48,393</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215,154</w:t>
            </w:r>
          </w:p>
        </w:tc>
        <w:tc>
          <w:tcPr>
            <w:tcW w:w="100" w:type="dxa"/>
            <w:vAlign w:val="bottom"/>
          </w:tcPr>
          <w:p>
            <w:pPr>
              <w:spacing w:after="0"/>
              <w:rPr>
                <w:sz w:val="21"/>
                <w:szCs w:val="21"/>
                <w:color w:val="auto"/>
              </w:rPr>
            </w:pPr>
          </w:p>
        </w:tc>
      </w:tr>
      <w:tr>
        <w:trPr>
          <w:trHeight w:val="257"/>
        </w:trPr>
        <w:tc>
          <w:tcPr>
            <w:tcW w:w="3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310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3,330</w:t>
            </w:r>
          </w:p>
        </w:tc>
        <w:tc>
          <w:tcPr>
            <w:tcW w:w="4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3,097</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3640" w:type="dxa"/>
            <w:vAlign w:val="bottom"/>
          </w:tcPr>
          <w:p>
            <w:pPr>
              <w:ind w:left="380"/>
              <w:spacing w:after="0"/>
              <w:rPr>
                <w:sz w:val="20"/>
                <w:szCs w:val="20"/>
                <w:color w:val="auto"/>
              </w:rPr>
            </w:pPr>
            <w:r>
              <w:rPr>
                <w:rFonts w:ascii="Arial" w:cs="Arial" w:eastAsia="Arial" w:hAnsi="Arial"/>
                <w:sz w:val="16"/>
                <w:szCs w:val="16"/>
                <w:color w:val="auto"/>
              </w:rPr>
              <w:t>Total current assets</w:t>
            </w:r>
          </w:p>
        </w:tc>
        <w:tc>
          <w:tcPr>
            <w:tcW w:w="3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292,849</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296,697</w:t>
            </w:r>
          </w:p>
        </w:tc>
        <w:tc>
          <w:tcPr>
            <w:tcW w:w="100" w:type="dxa"/>
            <w:vAlign w:val="bottom"/>
          </w:tcPr>
          <w:p>
            <w:pPr>
              <w:spacing w:after="0"/>
              <w:rPr>
                <w:sz w:val="21"/>
                <w:szCs w:val="21"/>
                <w:color w:val="auto"/>
              </w:rPr>
            </w:pPr>
          </w:p>
        </w:tc>
      </w:tr>
      <w:tr>
        <w:trPr>
          <w:trHeight w:val="236"/>
        </w:trPr>
        <w:tc>
          <w:tcPr>
            <w:tcW w:w="3640" w:type="dxa"/>
            <w:vAlign w:val="bottom"/>
            <w:shd w:val="clear" w:color="auto" w:fill="CFF0FC"/>
          </w:tcPr>
          <w:p>
            <w:pPr>
              <w:spacing w:after="0"/>
              <w:rPr>
                <w:sz w:val="20"/>
                <w:szCs w:val="20"/>
                <w:color w:val="auto"/>
              </w:rPr>
            </w:pPr>
          </w:p>
        </w:tc>
        <w:tc>
          <w:tcPr>
            <w:tcW w:w="3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7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50"/>
        </w:trPr>
        <w:tc>
          <w:tcPr>
            <w:tcW w:w="3640" w:type="dxa"/>
            <w:vAlign w:val="bottom"/>
          </w:tcPr>
          <w:p>
            <w:pPr>
              <w:ind w:left="200"/>
              <w:spacing w:after="0"/>
              <w:rPr>
                <w:sz w:val="20"/>
                <w:szCs w:val="20"/>
                <w:color w:val="auto"/>
              </w:rPr>
            </w:pPr>
            <w:r>
              <w:rPr>
                <w:rFonts w:ascii="Arial" w:cs="Arial" w:eastAsia="Arial" w:hAnsi="Arial"/>
                <w:sz w:val="16"/>
                <w:szCs w:val="16"/>
                <w:color w:val="auto"/>
              </w:rPr>
              <w:t>Investments, available-for-sale</w:t>
            </w:r>
          </w:p>
        </w:tc>
        <w:tc>
          <w:tcPr>
            <w:tcW w:w="3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6,956</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63"/>
        </w:trPr>
        <w:tc>
          <w:tcPr>
            <w:tcW w:w="36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Property and equipment, net</w:t>
            </w:r>
          </w:p>
        </w:tc>
        <w:tc>
          <w:tcPr>
            <w:tcW w:w="31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1,825</w:t>
            </w:r>
          </w:p>
        </w:tc>
        <w:tc>
          <w:tcPr>
            <w:tcW w:w="4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1,981</w:t>
            </w:r>
          </w:p>
        </w:tc>
        <w:tc>
          <w:tcPr>
            <w:tcW w:w="100" w:type="dxa"/>
            <w:vAlign w:val="bottom"/>
            <w:shd w:val="clear" w:color="auto" w:fill="CFF0FC"/>
          </w:tcPr>
          <w:p>
            <w:pPr>
              <w:spacing w:after="0"/>
              <w:rPr>
                <w:sz w:val="22"/>
                <w:szCs w:val="22"/>
                <w:color w:val="auto"/>
              </w:rPr>
            </w:pPr>
          </w:p>
        </w:tc>
      </w:tr>
      <w:tr>
        <w:trPr>
          <w:trHeight w:val="250"/>
        </w:trPr>
        <w:tc>
          <w:tcPr>
            <w:tcW w:w="3640" w:type="dxa"/>
            <w:vAlign w:val="bottom"/>
          </w:tcPr>
          <w:p>
            <w:pPr>
              <w:ind w:left="200"/>
              <w:spacing w:after="0"/>
              <w:rPr>
                <w:sz w:val="20"/>
                <w:szCs w:val="20"/>
                <w:color w:val="auto"/>
              </w:rPr>
            </w:pPr>
            <w:r>
              <w:rPr>
                <w:rFonts w:ascii="Arial" w:cs="Arial" w:eastAsia="Arial" w:hAnsi="Arial"/>
                <w:sz w:val="16"/>
                <w:szCs w:val="16"/>
                <w:color w:val="auto"/>
              </w:rPr>
              <w:t>Other assets</w:t>
            </w:r>
          </w:p>
        </w:tc>
        <w:tc>
          <w:tcPr>
            <w:tcW w:w="3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12,550</w:t>
            </w:r>
          </w:p>
        </w:tc>
        <w:tc>
          <w:tcPr>
            <w:tcW w:w="4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1"/>
                <w:szCs w:val="21"/>
                <w:color w:val="auto"/>
              </w:rPr>
            </w:pPr>
          </w:p>
        </w:tc>
      </w:tr>
      <w:tr>
        <w:trPr>
          <w:trHeight w:val="290"/>
        </w:trPr>
        <w:tc>
          <w:tcPr>
            <w:tcW w:w="36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Total assets</w:t>
            </w:r>
          </w:p>
        </w:tc>
        <w:tc>
          <w:tcPr>
            <w:tcW w:w="31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314,180</w:t>
            </w:r>
          </w:p>
        </w:tc>
        <w:tc>
          <w:tcPr>
            <w:tcW w:w="4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298,997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17"/>
        </w:trPr>
        <w:tc>
          <w:tcPr>
            <w:tcW w:w="3640" w:type="dxa"/>
            <w:vAlign w:val="bottom"/>
          </w:tcPr>
          <w:p>
            <w:pPr>
              <w:spacing w:after="0"/>
              <w:rPr>
                <w:sz w:val="18"/>
                <w:szCs w:val="18"/>
                <w:color w:val="auto"/>
              </w:rPr>
            </w:pPr>
          </w:p>
        </w:tc>
        <w:tc>
          <w:tcPr>
            <w:tcW w:w="3360" w:type="dxa"/>
            <w:vAlign w:val="bottom"/>
            <w:gridSpan w:val="2"/>
          </w:tcPr>
          <w:p>
            <w:pPr>
              <w:spacing w:after="0"/>
              <w:rPr>
                <w:sz w:val="18"/>
                <w:szCs w:val="18"/>
                <w:color w:val="auto"/>
              </w:rPr>
            </w:pPr>
          </w:p>
        </w:tc>
        <w:tc>
          <w:tcPr>
            <w:tcW w:w="1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3640" w:type="dxa"/>
            <w:vAlign w:val="bottom"/>
            <w:shd w:val="clear" w:color="auto" w:fill="CFF0FC"/>
          </w:tcPr>
          <w:p>
            <w:pPr>
              <w:spacing w:after="0"/>
              <w:rPr>
                <w:sz w:val="19"/>
                <w:szCs w:val="19"/>
                <w:color w:val="auto"/>
              </w:rPr>
            </w:pPr>
          </w:p>
        </w:tc>
        <w:tc>
          <w:tcPr>
            <w:tcW w:w="3360" w:type="dxa"/>
            <w:vAlign w:val="bottom"/>
            <w:gridSpan w:val="2"/>
            <w:shd w:val="clear" w:color="auto" w:fill="CFF0FC"/>
          </w:tcPr>
          <w:p>
            <w:pPr>
              <w:jc w:val="right"/>
              <w:ind w:right="90"/>
              <w:spacing w:after="0"/>
              <w:rPr>
                <w:sz w:val="20"/>
                <w:szCs w:val="20"/>
                <w:color w:val="auto"/>
              </w:rPr>
            </w:pPr>
            <w:r>
              <w:rPr>
                <w:rFonts w:ascii="Arial" w:cs="Arial" w:eastAsia="Arial" w:hAnsi="Arial"/>
                <w:sz w:val="16"/>
                <w:szCs w:val="16"/>
                <w:b w:val="1"/>
                <w:bCs w:val="1"/>
                <w:color w:val="auto"/>
              </w:rPr>
              <w:t>Liabilities and Stockholders' Equity</w:t>
            </w:r>
          </w:p>
        </w:tc>
        <w:tc>
          <w:tcPr>
            <w:tcW w:w="17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64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3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Current liabilities:</w:t>
            </w:r>
          </w:p>
        </w:tc>
        <w:tc>
          <w:tcPr>
            <w:tcW w:w="3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50"/>
        </w:trPr>
        <w:tc>
          <w:tcPr>
            <w:tcW w:w="3640" w:type="dxa"/>
            <w:vAlign w:val="bottom"/>
          </w:tcPr>
          <w:p>
            <w:pPr>
              <w:ind w:left="200"/>
              <w:spacing w:after="0"/>
              <w:rPr>
                <w:sz w:val="20"/>
                <w:szCs w:val="20"/>
                <w:color w:val="auto"/>
              </w:rPr>
            </w:pPr>
            <w:r>
              <w:rPr>
                <w:rFonts w:ascii="Arial" w:cs="Arial" w:eastAsia="Arial" w:hAnsi="Arial"/>
                <w:sz w:val="16"/>
                <w:szCs w:val="16"/>
                <w:color w:val="auto"/>
              </w:rPr>
              <w:t>Accounts payable</w:t>
            </w:r>
          </w:p>
        </w:tc>
        <w:tc>
          <w:tcPr>
            <w:tcW w:w="3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419</w:t>
            </w: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21"/>
                <w:szCs w:val="21"/>
                <w:color w:val="auto"/>
              </w:rPr>
            </w:pPr>
          </w:p>
        </w:tc>
      </w:tr>
      <w:tr>
        <w:trPr>
          <w:trHeight w:val="257"/>
        </w:trPr>
        <w:tc>
          <w:tcPr>
            <w:tcW w:w="3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Accrued liabilities</w:t>
            </w:r>
          </w:p>
        </w:tc>
        <w:tc>
          <w:tcPr>
            <w:tcW w:w="310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11,484</w:t>
            </w:r>
          </w:p>
        </w:tc>
        <w:tc>
          <w:tcPr>
            <w:tcW w:w="4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8,245</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3640" w:type="dxa"/>
            <w:vAlign w:val="bottom"/>
          </w:tcPr>
          <w:p>
            <w:pPr>
              <w:ind w:left="380"/>
              <w:spacing w:after="0"/>
              <w:rPr>
                <w:sz w:val="20"/>
                <w:szCs w:val="20"/>
                <w:color w:val="auto"/>
              </w:rPr>
            </w:pPr>
            <w:r>
              <w:rPr>
                <w:rFonts w:ascii="Arial" w:cs="Arial" w:eastAsia="Arial" w:hAnsi="Arial"/>
                <w:sz w:val="16"/>
                <w:szCs w:val="16"/>
                <w:color w:val="auto"/>
              </w:rPr>
              <w:t>Total current liabilities</w:t>
            </w:r>
          </w:p>
        </w:tc>
        <w:tc>
          <w:tcPr>
            <w:tcW w:w="3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11,903</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9,002</w:t>
            </w:r>
          </w:p>
        </w:tc>
        <w:tc>
          <w:tcPr>
            <w:tcW w:w="100" w:type="dxa"/>
            <w:vAlign w:val="bottom"/>
          </w:tcPr>
          <w:p>
            <w:pPr>
              <w:spacing w:after="0"/>
              <w:rPr>
                <w:sz w:val="21"/>
                <w:szCs w:val="21"/>
                <w:color w:val="auto"/>
              </w:rPr>
            </w:pPr>
          </w:p>
        </w:tc>
      </w:tr>
      <w:tr>
        <w:trPr>
          <w:trHeight w:val="263"/>
        </w:trPr>
        <w:tc>
          <w:tcPr>
            <w:tcW w:w="3640" w:type="dxa"/>
            <w:vAlign w:val="bottom"/>
            <w:shd w:val="clear" w:color="auto" w:fill="CFF0FC"/>
          </w:tcPr>
          <w:p>
            <w:pPr>
              <w:spacing w:after="0"/>
              <w:rPr>
                <w:sz w:val="22"/>
                <w:szCs w:val="22"/>
                <w:color w:val="auto"/>
              </w:rPr>
            </w:pPr>
          </w:p>
        </w:tc>
        <w:tc>
          <w:tcPr>
            <w:tcW w:w="31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78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6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3640" w:type="dxa"/>
            <w:vAlign w:val="bottom"/>
          </w:tcPr>
          <w:p>
            <w:pPr>
              <w:ind w:left="200"/>
              <w:spacing w:after="0"/>
              <w:rPr>
                <w:sz w:val="20"/>
                <w:szCs w:val="20"/>
                <w:color w:val="auto"/>
              </w:rPr>
            </w:pPr>
            <w:r>
              <w:rPr>
                <w:rFonts w:ascii="Arial" w:cs="Arial" w:eastAsia="Arial" w:hAnsi="Arial"/>
                <w:sz w:val="16"/>
                <w:szCs w:val="16"/>
                <w:color w:val="auto"/>
              </w:rPr>
              <w:t>Other long-term liabilities</w:t>
            </w:r>
          </w:p>
        </w:tc>
        <w:tc>
          <w:tcPr>
            <w:tcW w:w="3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10,741</w:t>
            </w:r>
          </w:p>
        </w:tc>
        <w:tc>
          <w:tcPr>
            <w:tcW w:w="4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1"/>
                <w:szCs w:val="21"/>
                <w:color w:val="auto"/>
              </w:rPr>
            </w:pPr>
          </w:p>
        </w:tc>
      </w:tr>
      <w:tr>
        <w:trPr>
          <w:trHeight w:val="257"/>
        </w:trPr>
        <w:tc>
          <w:tcPr>
            <w:tcW w:w="36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Total liabilities</w:t>
            </w:r>
          </w:p>
        </w:tc>
        <w:tc>
          <w:tcPr>
            <w:tcW w:w="31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22,644</w:t>
            </w:r>
          </w:p>
        </w:tc>
        <w:tc>
          <w:tcPr>
            <w:tcW w:w="4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9,221</w:t>
            </w:r>
          </w:p>
        </w:tc>
        <w:tc>
          <w:tcPr>
            <w:tcW w:w="100" w:type="dxa"/>
            <w:vAlign w:val="bottom"/>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-2576830</wp:posOffset>
            </wp:positionV>
            <wp:extent cx="291465"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9146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-2576830</wp:posOffset>
            </wp:positionV>
            <wp:extent cx="5969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-1602740</wp:posOffset>
            </wp:positionV>
            <wp:extent cx="2914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-1584960</wp:posOffset>
            </wp:positionV>
            <wp:extent cx="2914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-1602740</wp:posOffset>
            </wp:positionV>
            <wp:extent cx="596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-1584960</wp:posOffset>
            </wp:positionV>
            <wp:extent cx="596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-664845</wp:posOffset>
            </wp:positionV>
            <wp:extent cx="291465"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9146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-664845</wp:posOffset>
            </wp:positionV>
            <wp:extent cx="5969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p>
      <w:pPr>
        <w:spacing w:after="0" w:line="233"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Commitments and contingencies (Note 9)</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274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6" w:lineRule="exact"/>
        <w:rPr>
          <w:sz w:val="20"/>
          <w:szCs w:val="20"/>
          <w:color w:val="auto"/>
        </w:rPr>
      </w:pPr>
    </w:p>
    <w:p>
      <w:pPr>
        <w:ind w:left="200" w:right="1480"/>
        <w:spacing w:after="0" w:line="281" w:lineRule="auto"/>
        <w:rPr>
          <w:sz w:val="20"/>
          <w:szCs w:val="20"/>
          <w:color w:val="auto"/>
        </w:rPr>
      </w:pPr>
      <w:r>
        <w:rPr>
          <w:rFonts w:ascii="Arial" w:cs="Arial" w:eastAsia="Arial" w:hAnsi="Arial"/>
          <w:sz w:val="16"/>
          <w:szCs w:val="16"/>
          <w:color w:val="auto"/>
        </w:rPr>
        <w:t>Preferred stock, $0.0001 par value; 200,000,000 shares authorized; no shares issued and outstanding at September 30, 2021 and December 31, 2020</w:t>
      </w:r>
    </w:p>
    <w:p>
      <w:pPr>
        <w:spacing w:after="0" w:line="1" w:lineRule="exact"/>
        <w:rPr>
          <w:sz w:val="20"/>
          <w:szCs w:val="20"/>
          <w:color w:val="auto"/>
        </w:rPr>
      </w:pPr>
    </w:p>
    <w:p>
      <w:pPr>
        <w:ind w:left="200" w:right="1380"/>
        <w:spacing w:after="0" w:line="275" w:lineRule="auto"/>
        <w:rPr>
          <w:sz w:val="20"/>
          <w:szCs w:val="20"/>
          <w:color w:val="auto"/>
        </w:rPr>
      </w:pPr>
      <w:r>
        <w:rPr>
          <w:rFonts w:ascii="Arial" w:cs="Arial" w:eastAsia="Arial" w:hAnsi="Arial"/>
          <w:sz w:val="16"/>
          <w:szCs w:val="16"/>
          <w:color w:val="auto"/>
        </w:rPr>
        <w:t>Common stock, $0.0001 par value; 1,000,000,000 shares authorized; 39,331,585 and 36,672,415 shares issued and outstanding at September 30, 2021 and December 31, 2020,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200"/>
        <w:spacing w:after="0"/>
        <w:rPr>
          <w:sz w:val="20"/>
          <w:szCs w:val="20"/>
          <w:color w:val="auto"/>
        </w:rPr>
      </w:pPr>
      <w:r>
        <w:rPr>
          <w:rFonts w:ascii="Arial" w:cs="Arial" w:eastAsia="Arial" w:hAnsi="Arial"/>
          <w:sz w:val="16"/>
          <w:szCs w:val="16"/>
          <w:color w:val="auto"/>
        </w:rPr>
        <w:t>Additional paid-in capital</w:t>
      </w:r>
    </w:p>
    <w:p>
      <w:pPr>
        <w:spacing w:after="0" w:line="7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Accumulated deficit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56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634"/>
        </w:trPr>
        <w:tc>
          <w:tcPr>
            <w:tcW w:w="1560" w:type="dxa"/>
            <w:vAlign w:val="bottom"/>
          </w:tcPr>
          <w:p>
            <w:pPr>
              <w:jc w:val="right"/>
              <w:ind w:right="830"/>
              <w:spacing w:after="0"/>
              <w:rPr>
                <w:sz w:val="20"/>
                <w:szCs w:val="20"/>
                <w:color w:val="auto"/>
              </w:rPr>
            </w:pPr>
            <w:r>
              <w:rPr>
                <w:rFonts w:ascii="Arial" w:cs="Arial" w:eastAsia="Arial" w:hAnsi="Arial"/>
                <w:sz w:val="18"/>
                <w:szCs w:val="18"/>
                <w:color w:val="auto"/>
              </w:rPr>
              <w:t>4</w:t>
            </w:r>
          </w:p>
        </w:tc>
        <w:tc>
          <w:tcPr>
            <w:tcW w:w="15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57"/>
        </w:trPr>
        <w:tc>
          <w:tcPr>
            <w:tcW w:w="1560" w:type="dxa"/>
            <w:vAlign w:val="bottom"/>
          </w:tcPr>
          <w:p>
            <w:pPr>
              <w:jc w:val="right"/>
              <w:ind w:right="830"/>
              <w:spacing w:after="0"/>
              <w:rPr>
                <w:sz w:val="20"/>
                <w:szCs w:val="20"/>
                <w:color w:val="auto"/>
              </w:rPr>
            </w:pPr>
            <w:r>
              <w:rPr>
                <w:rFonts w:ascii="Arial" w:cs="Arial" w:eastAsia="Arial" w:hAnsi="Arial"/>
                <w:sz w:val="18"/>
                <w:szCs w:val="18"/>
                <w:color w:val="auto"/>
                <w:w w:val="95"/>
              </w:rPr>
              <w:t>513,871</w:t>
            </w:r>
          </w:p>
        </w:tc>
        <w:tc>
          <w:tcPr>
            <w:tcW w:w="1540" w:type="dxa"/>
            <w:vAlign w:val="bottom"/>
          </w:tcPr>
          <w:p>
            <w:pPr>
              <w:jc w:val="right"/>
              <w:spacing w:after="0"/>
              <w:rPr>
                <w:sz w:val="20"/>
                <w:szCs w:val="20"/>
                <w:color w:val="auto"/>
              </w:rPr>
            </w:pPr>
            <w:r>
              <w:rPr>
                <w:rFonts w:ascii="Arial" w:cs="Arial" w:eastAsia="Arial" w:hAnsi="Arial"/>
                <w:sz w:val="18"/>
                <w:szCs w:val="18"/>
                <w:color w:val="auto"/>
              </w:rPr>
              <w:t>456,196</w:t>
            </w:r>
          </w:p>
        </w:tc>
      </w:tr>
      <w:tr>
        <w:trPr>
          <w:trHeight w:val="256"/>
        </w:trPr>
        <w:tc>
          <w:tcPr>
            <w:tcW w:w="1560" w:type="dxa"/>
            <w:vAlign w:val="bottom"/>
          </w:tcPr>
          <w:p>
            <w:pPr>
              <w:jc w:val="right"/>
              <w:ind w:right="730"/>
              <w:spacing w:after="0"/>
              <w:rPr>
                <w:sz w:val="20"/>
                <w:szCs w:val="20"/>
                <w:color w:val="auto"/>
              </w:rPr>
            </w:pPr>
            <w:r>
              <w:rPr>
                <w:rFonts w:ascii="Arial" w:cs="Arial" w:eastAsia="Arial" w:hAnsi="Arial"/>
                <w:sz w:val="18"/>
                <w:szCs w:val="18"/>
                <w:color w:val="auto"/>
                <w:w w:val="87"/>
              </w:rPr>
              <w:t>(222,337 )</w:t>
            </w:r>
          </w:p>
        </w:tc>
        <w:tc>
          <w:tcPr>
            <w:tcW w:w="1540" w:type="dxa"/>
            <w:vAlign w:val="bottom"/>
          </w:tcPr>
          <w:p>
            <w:pPr>
              <w:jc w:val="right"/>
              <w:spacing w:after="0"/>
              <w:rPr>
                <w:sz w:val="20"/>
                <w:szCs w:val="20"/>
                <w:color w:val="auto"/>
              </w:rPr>
            </w:pPr>
            <w:r>
              <w:rPr>
                <w:rFonts w:ascii="Arial" w:cs="Arial" w:eastAsia="Arial" w:hAnsi="Arial"/>
                <w:sz w:val="18"/>
                <w:szCs w:val="18"/>
                <w:color w:val="auto"/>
              </w:rPr>
              <w:t>(166,393 )</w:t>
            </w:r>
          </w:p>
        </w:tc>
      </w:tr>
    </w:tbl>
    <w:p>
      <w:pPr>
        <w:spacing w:after="0" w:line="20" w:lineRule="exact"/>
        <w:rPr>
          <w:sz w:val="20"/>
          <w:szCs w:val="20"/>
          <w:color w:val="auto"/>
        </w:rPr>
      </w:pPr>
    </w:p>
    <w:p>
      <w:pPr>
        <w:sectPr>
          <w:pgSz w:w="11900" w:h="16838" w:orient="portrait"/>
          <w:cols w:equalWidth="0" w:num="2">
            <w:col w:w="7400" w:space="720"/>
            <w:col w:w="3120"/>
          </w:cols>
          <w:pgMar w:left="320" w:top="364" w:right="33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6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Accumulated other comprehensive loss</w:t>
            </w:r>
          </w:p>
        </w:tc>
        <w:tc>
          <w:tcPr>
            <w:tcW w:w="780" w:type="dxa"/>
            <w:vAlign w:val="bottom"/>
            <w:shd w:val="clear" w:color="auto" w:fill="CFF0FC"/>
          </w:tcPr>
          <w:p>
            <w:pPr>
              <w:spacing w:after="0"/>
              <w:rPr>
                <w:sz w:val="21"/>
                <w:szCs w:val="21"/>
                <w:color w:val="auto"/>
              </w:rPr>
            </w:pPr>
          </w:p>
        </w:tc>
        <w:tc>
          <w:tcPr>
            <w:tcW w:w="172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(2 )</w:t>
            </w:r>
          </w:p>
        </w:tc>
        <w:tc>
          <w:tcPr>
            <w:tcW w:w="70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(31 )</w:t>
            </w:r>
          </w:p>
        </w:tc>
      </w:tr>
      <w:tr>
        <w:trPr>
          <w:trHeight w:val="243"/>
        </w:trPr>
        <w:tc>
          <w:tcPr>
            <w:tcW w:w="6740" w:type="dxa"/>
            <w:vAlign w:val="bottom"/>
            <w:tcBorders>
              <w:top w:val="single" w:sz="8" w:color="CFF0FC"/>
            </w:tcBorders>
          </w:tcPr>
          <w:p>
            <w:pPr>
              <w:ind w:left="380"/>
              <w:spacing w:after="0"/>
              <w:rPr>
                <w:sz w:val="20"/>
                <w:szCs w:val="20"/>
                <w:color w:val="auto"/>
              </w:rPr>
            </w:pPr>
            <w:r>
              <w:rPr>
                <w:rFonts w:ascii="Arial" w:cs="Arial" w:eastAsia="Arial" w:hAnsi="Arial"/>
                <w:sz w:val="16"/>
                <w:szCs w:val="16"/>
                <w:color w:val="auto"/>
              </w:rPr>
              <w:t>Total stockholders' equity</w:t>
            </w:r>
          </w:p>
        </w:tc>
        <w:tc>
          <w:tcPr>
            <w:tcW w:w="78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291,536</w:t>
            </w:r>
          </w:p>
        </w:tc>
        <w:tc>
          <w:tcPr>
            <w:tcW w:w="460" w:type="dxa"/>
            <w:vAlign w:val="bottom"/>
            <w:tcBorders>
              <w:top w:val="single" w:sz="8" w:color="CFF0FC"/>
            </w:tcBorders>
          </w:tcPr>
          <w:p>
            <w:pPr>
              <w:spacing w:after="0"/>
              <w:rPr>
                <w:sz w:val="21"/>
                <w:szCs w:val="21"/>
                <w:color w:val="auto"/>
              </w:rPr>
            </w:pPr>
          </w:p>
        </w:tc>
        <w:tc>
          <w:tcPr>
            <w:tcW w:w="70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289,776</w:t>
            </w:r>
          </w:p>
        </w:tc>
        <w:tc>
          <w:tcPr>
            <w:tcW w:w="100" w:type="dxa"/>
            <w:vAlign w:val="bottom"/>
            <w:tcBorders>
              <w:top w:val="single" w:sz="8" w:color="CFF0FC"/>
            </w:tcBorders>
          </w:tcPr>
          <w:p>
            <w:pPr>
              <w:spacing w:after="0"/>
              <w:rPr>
                <w:sz w:val="21"/>
                <w:szCs w:val="21"/>
                <w:color w:val="auto"/>
              </w:rPr>
            </w:pPr>
          </w:p>
        </w:tc>
      </w:tr>
      <w:tr>
        <w:trPr>
          <w:trHeight w:val="290"/>
        </w:trPr>
        <w:tc>
          <w:tcPr>
            <w:tcW w:w="67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Total liabilities and stockholders' equity</w:t>
            </w:r>
          </w:p>
        </w:tc>
        <w:tc>
          <w:tcPr>
            <w:tcW w:w="780" w:type="dxa"/>
            <w:vAlign w:val="bottom"/>
            <w:tcBorders>
              <w:bottom w:val="single" w:sz="8" w:color="auto"/>
            </w:tcBorders>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314,180</w:t>
            </w:r>
          </w:p>
        </w:tc>
        <w:tc>
          <w:tcPr>
            <w:tcW w:w="46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auto"/>
            </w:tcBorders>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298,997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-365125</wp:posOffset>
            </wp:positionV>
            <wp:extent cx="291465"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9146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-365125</wp:posOffset>
            </wp:positionV>
            <wp:extent cx="5969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-24765</wp:posOffset>
            </wp:positionV>
            <wp:extent cx="2914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-7620</wp:posOffset>
            </wp:positionV>
            <wp:extent cx="2914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ORIC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6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19"/>
                <w:szCs w:val="19"/>
                <w:color w:val="auto"/>
              </w:rPr>
            </w:pPr>
          </w:p>
        </w:tc>
        <w:tc>
          <w:tcPr>
            <w:tcW w:w="262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rPr>
              <w:t>Nine Months Ended</w:t>
            </w:r>
          </w:p>
        </w:tc>
      </w:tr>
      <w:tr>
        <w:trPr>
          <w:trHeight w:val="268"/>
        </w:trPr>
        <w:tc>
          <w:tcPr>
            <w:tcW w:w="52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40" w:type="dxa"/>
            <w:vAlign w:val="bottom"/>
            <w:tcBorders>
              <w:bottom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r>
      <w:tr>
        <w:trPr>
          <w:trHeight w:val="250"/>
        </w:trPr>
        <w:tc>
          <w:tcPr>
            <w:tcW w:w="52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3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1"/>
                <w:szCs w:val="21"/>
                <w:color w:val="auto"/>
              </w:rPr>
            </w:pPr>
          </w:p>
        </w:tc>
      </w:tr>
      <w:tr>
        <w:trPr>
          <w:trHeight w:val="257"/>
        </w:trPr>
        <w:tc>
          <w:tcPr>
            <w:tcW w:w="5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528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12,899</w:t>
            </w:r>
          </w:p>
        </w:tc>
        <w:tc>
          <w:tcPr>
            <w:tcW w:w="3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8,831</w:t>
            </w:r>
          </w:p>
        </w:tc>
        <w:tc>
          <w:tcPr>
            <w:tcW w:w="26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40,113</w:t>
            </w:r>
          </w:p>
        </w:tc>
        <w:tc>
          <w:tcPr>
            <w:tcW w:w="26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23,808</w:t>
            </w:r>
          </w:p>
        </w:tc>
        <w:tc>
          <w:tcPr>
            <w:tcW w:w="100" w:type="dxa"/>
            <w:vAlign w:val="bottom"/>
          </w:tcPr>
          <w:p>
            <w:pPr>
              <w:spacing w:after="0"/>
              <w:rPr>
                <w:sz w:val="21"/>
                <w:szCs w:val="21"/>
                <w:color w:val="auto"/>
              </w:rPr>
            </w:pPr>
          </w:p>
        </w:tc>
      </w:tr>
      <w:tr>
        <w:trPr>
          <w:trHeight w:val="263"/>
        </w:trPr>
        <w:tc>
          <w:tcPr>
            <w:tcW w:w="52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Acquired in-process research and development</w:t>
            </w:r>
          </w:p>
        </w:tc>
        <w:tc>
          <w:tcPr>
            <w:tcW w:w="300" w:type="dxa"/>
            <w:vAlign w:val="bottom"/>
            <w:shd w:val="clear" w:color="auto" w:fill="CFF0FC"/>
          </w:tcPr>
          <w:p>
            <w:pPr>
              <w:spacing w:after="0"/>
              <w:rPr>
                <w:sz w:val="22"/>
                <w:szCs w:val="22"/>
                <w:color w:val="auto"/>
              </w:rPr>
            </w:pPr>
          </w:p>
        </w:tc>
        <w:tc>
          <w:tcPr>
            <w:tcW w:w="13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12,971</w:t>
            </w:r>
          </w:p>
        </w:tc>
        <w:tc>
          <w:tcPr>
            <w:tcW w:w="2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12,971</w:t>
            </w:r>
          </w:p>
        </w:tc>
        <w:tc>
          <w:tcPr>
            <w:tcW w:w="100" w:type="dxa"/>
            <w:vAlign w:val="bottom"/>
            <w:shd w:val="clear" w:color="auto" w:fill="CFF0FC"/>
          </w:tcPr>
          <w:p>
            <w:pPr>
              <w:spacing w:after="0"/>
              <w:rPr>
                <w:sz w:val="22"/>
                <w:szCs w:val="22"/>
                <w:color w:val="auto"/>
              </w:rPr>
            </w:pPr>
          </w:p>
        </w:tc>
      </w:tr>
      <w:tr>
        <w:trPr>
          <w:trHeight w:val="250"/>
        </w:trPr>
        <w:tc>
          <w:tcPr>
            <w:tcW w:w="528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5,557</w:t>
            </w:r>
          </w:p>
        </w:tc>
        <w:tc>
          <w:tcPr>
            <w:tcW w:w="3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3,800</w:t>
            </w:r>
          </w:p>
        </w:tc>
        <w:tc>
          <w:tcPr>
            <w:tcW w:w="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15,953</w:t>
            </w:r>
          </w:p>
        </w:tc>
        <w:tc>
          <w:tcPr>
            <w:tcW w:w="26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9,125</w:t>
            </w:r>
          </w:p>
        </w:tc>
        <w:tc>
          <w:tcPr>
            <w:tcW w:w="100" w:type="dxa"/>
            <w:vAlign w:val="bottom"/>
          </w:tcPr>
          <w:p>
            <w:pPr>
              <w:spacing w:after="0"/>
              <w:rPr>
                <w:sz w:val="21"/>
                <w:szCs w:val="21"/>
                <w:color w:val="auto"/>
              </w:rPr>
            </w:pPr>
          </w:p>
        </w:tc>
      </w:tr>
      <w:tr>
        <w:trPr>
          <w:trHeight w:val="250"/>
        </w:trPr>
        <w:tc>
          <w:tcPr>
            <w:tcW w:w="52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18,456</w:t>
            </w:r>
          </w:p>
        </w:tc>
        <w:tc>
          <w:tcPr>
            <w:tcW w:w="3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25,602</w:t>
            </w: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56,066</w:t>
            </w:r>
          </w:p>
        </w:tc>
        <w:tc>
          <w:tcPr>
            <w:tcW w:w="26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45,904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528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0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(18,456 )</w:t>
            </w:r>
          </w:p>
        </w:tc>
        <w:tc>
          <w:tcPr>
            <w:tcW w:w="30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(25,602 )</w:t>
            </w:r>
          </w:p>
        </w:tc>
        <w:tc>
          <w:tcPr>
            <w:tcW w:w="28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(56,066 )</w:t>
            </w:r>
          </w:p>
        </w:tc>
        <w:tc>
          <w:tcPr>
            <w:tcW w:w="420" w:type="dxa"/>
            <w:vAlign w:val="bottom"/>
          </w:tcPr>
          <w:p>
            <w:pPr>
              <w:spacing w:after="0"/>
              <w:rPr>
                <w:sz w:val="21"/>
                <w:szCs w:val="21"/>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(45,904 )</w:t>
            </w:r>
          </w:p>
        </w:tc>
      </w:tr>
      <w:tr>
        <w:trPr>
          <w:trHeight w:val="263"/>
        </w:trPr>
        <w:tc>
          <w:tcPr>
            <w:tcW w:w="52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528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52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income, net</w:t>
            </w:r>
          </w:p>
        </w:tc>
        <w:tc>
          <w:tcPr>
            <w:tcW w:w="30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3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26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FF0FC"/>
          </w:tcPr>
          <w:p>
            <w:pPr>
              <w:spacing w:after="0"/>
              <w:rPr>
                <w:sz w:val="22"/>
                <w:szCs w:val="22"/>
                <w:color w:val="auto"/>
              </w:rPr>
            </w:pPr>
          </w:p>
        </w:tc>
      </w:tr>
      <w:tr>
        <w:trPr>
          <w:trHeight w:val="250"/>
        </w:trPr>
        <w:tc>
          <w:tcPr>
            <w:tcW w:w="5280" w:type="dxa"/>
            <w:vAlign w:val="bottom"/>
          </w:tcPr>
          <w:p>
            <w:pPr>
              <w:ind w:left="200"/>
              <w:spacing w:after="0"/>
              <w:rPr>
                <w:sz w:val="20"/>
                <w:szCs w:val="20"/>
                <w:color w:val="auto"/>
              </w:rPr>
            </w:pPr>
            <w:r>
              <w:rPr>
                <w:rFonts w:ascii="Arial" w:cs="Arial" w:eastAsia="Arial" w:hAnsi="Arial"/>
                <w:sz w:val="18"/>
                <w:szCs w:val="18"/>
                <w:color w:val="auto"/>
              </w:rPr>
              <w:t>Other income</w:t>
            </w:r>
          </w:p>
        </w:tc>
        <w:tc>
          <w:tcPr>
            <w:tcW w:w="300" w:type="dxa"/>
            <w:vAlign w:val="bottom"/>
          </w:tcPr>
          <w:p>
            <w:pPr>
              <w:spacing w:after="0"/>
              <w:rPr>
                <w:sz w:val="21"/>
                <w:szCs w:val="21"/>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r>
      <w:tr>
        <w:trPr>
          <w:trHeight w:val="250"/>
        </w:trPr>
        <w:tc>
          <w:tcPr>
            <w:tcW w:w="52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other income</w:t>
            </w:r>
          </w:p>
        </w:tc>
        <w:tc>
          <w:tcPr>
            <w:tcW w:w="300" w:type="dxa"/>
            <w:vAlign w:val="bottom"/>
            <w:tcBorders>
              <w:top w:val="single" w:sz="8" w:color="auto"/>
              <w:bottom w:val="single" w:sz="8" w:color="auto"/>
            </w:tcBorders>
            <w:shd w:val="clear" w:color="auto" w:fill="CFF0FC"/>
          </w:tcPr>
          <w:p>
            <w:pPr>
              <w:spacing w:after="0"/>
              <w:rPr>
                <w:sz w:val="21"/>
                <w:szCs w:val="21"/>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3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spacing w:after="0"/>
              <w:rPr>
                <w:sz w:val="21"/>
                <w:szCs w:val="21"/>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spacing w:after="0"/>
              <w:rPr>
                <w:sz w:val="21"/>
                <w:szCs w:val="21"/>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26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top w:val="single" w:sz="8" w:color="auto"/>
              <w:bottom w:val="single" w:sz="8" w:color="auto"/>
            </w:tcBorders>
            <w:shd w:val="clear" w:color="auto" w:fill="CFF0FC"/>
          </w:tcPr>
          <w:p>
            <w:pPr>
              <w:spacing w:after="0"/>
              <w:rPr>
                <w:sz w:val="21"/>
                <w:szCs w:val="21"/>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5280" w:type="dxa"/>
            <w:vAlign w:val="bottom"/>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(18,426 )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(25,548 )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(55,944 )</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(45,444 )</w:t>
            </w:r>
          </w:p>
        </w:tc>
      </w:tr>
      <w:tr>
        <w:trPr>
          <w:trHeight w:val="20"/>
        </w:trPr>
        <w:tc>
          <w:tcPr>
            <w:tcW w:w="5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5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comprehensive gain (loss):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5280" w:type="dxa"/>
            <w:vAlign w:val="bottom"/>
          </w:tcPr>
          <w:p>
            <w:pPr>
              <w:ind w:left="240"/>
              <w:spacing w:after="0"/>
              <w:rPr>
                <w:sz w:val="20"/>
                <w:szCs w:val="20"/>
                <w:color w:val="auto"/>
              </w:rPr>
            </w:pPr>
            <w:r>
              <w:rPr>
                <w:rFonts w:ascii="Arial" w:cs="Arial" w:eastAsia="Arial" w:hAnsi="Arial"/>
                <w:sz w:val="18"/>
                <w:szCs w:val="18"/>
                <w:color w:val="auto"/>
              </w:rPr>
              <w:t>Unrealized (loss) gain on available-for-sale investments</w:t>
            </w:r>
          </w:p>
        </w:tc>
        <w:tc>
          <w:tcPr>
            <w:tcW w:w="30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(5 )</w:t>
            </w:r>
          </w:p>
        </w:tc>
        <w:tc>
          <w:tcPr>
            <w:tcW w:w="30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(29 )</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(29 )</w:t>
            </w:r>
          </w:p>
        </w:tc>
      </w:tr>
      <w:tr>
        <w:trPr>
          <w:trHeight w:val="20"/>
        </w:trPr>
        <w:tc>
          <w:tcPr>
            <w:tcW w:w="5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0"/>
        </w:trPr>
        <w:tc>
          <w:tcPr>
            <w:tcW w:w="5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Comprehensive loss</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(18,431 )</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(25,577 )</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(55,915 )</w:t>
            </w: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(45,473 )</w:t>
            </w:r>
          </w:p>
        </w:tc>
      </w:tr>
      <w:tr>
        <w:trPr>
          <w:trHeight w:val="20"/>
        </w:trPr>
        <w:tc>
          <w:tcPr>
            <w:tcW w:w="52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37"/>
        </w:trPr>
        <w:tc>
          <w:tcPr>
            <w:tcW w:w="5280" w:type="dxa"/>
            <w:vAlign w:val="bottom"/>
          </w:tcPr>
          <w:p>
            <w:pPr>
              <w:ind w:left="20"/>
              <w:spacing w:after="0"/>
              <w:rPr>
                <w:sz w:val="20"/>
                <w:szCs w:val="20"/>
                <w:color w:val="auto"/>
              </w:rPr>
            </w:pPr>
            <w:r>
              <w:rPr>
                <w:rFonts w:ascii="Arial" w:cs="Arial" w:eastAsia="Arial" w:hAnsi="Arial"/>
                <w:sz w:val="18"/>
                <w:szCs w:val="18"/>
                <w:color w:val="auto"/>
              </w:rPr>
              <w:t>Net loss per share, basic and 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(0.47 )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(0.84 )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(1.49 )</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(2.52 )</w:t>
            </w:r>
          </w:p>
        </w:tc>
      </w:tr>
      <w:tr>
        <w:trPr>
          <w:trHeight w:val="20"/>
        </w:trPr>
        <w:tc>
          <w:tcPr>
            <w:tcW w:w="5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5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Weighted-average shares outstanding, basic and diluted</w:t>
            </w:r>
          </w:p>
        </w:tc>
        <w:tc>
          <w:tcPr>
            <w:tcW w:w="300" w:type="dxa"/>
            <w:vAlign w:val="bottom"/>
            <w:tcBorders>
              <w:bottom w:val="single" w:sz="8" w:color="auto"/>
            </w:tcBorders>
            <w:shd w:val="clear" w:color="auto" w:fill="CFF0FC"/>
          </w:tcPr>
          <w:p>
            <w:pPr>
              <w:spacing w:after="0"/>
              <w:rPr>
                <w:sz w:val="24"/>
                <w:szCs w:val="2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39,008,114</w:t>
            </w:r>
          </w:p>
        </w:tc>
        <w:tc>
          <w:tcPr>
            <w:tcW w:w="3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spacing w:after="0"/>
              <w:rPr>
                <w:sz w:val="24"/>
                <w:szCs w:val="2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30,314,904</w:t>
            </w:r>
          </w:p>
        </w:tc>
        <w:tc>
          <w:tcPr>
            <w:tcW w:w="2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spacing w:after="0"/>
              <w:rPr>
                <w:sz w:val="24"/>
                <w:szCs w:val="2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37,471,740</w:t>
            </w:r>
          </w:p>
        </w:tc>
        <w:tc>
          <w:tcPr>
            <w:tcW w:w="26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spacing w:after="0"/>
              <w:rPr>
                <w:sz w:val="24"/>
                <w:szCs w:val="2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18,022,068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-2087880</wp:posOffset>
            </wp:positionV>
            <wp:extent cx="19685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-2087880</wp:posOffset>
            </wp:positionV>
            <wp:extent cx="16256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-2087880</wp:posOffset>
            </wp:positionV>
            <wp:extent cx="163195"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-2087880</wp:posOffset>
            </wp:positionV>
            <wp:extent cx="6858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-1093470</wp:posOffset>
            </wp:positionV>
            <wp:extent cx="19685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-1093470</wp:posOffset>
            </wp:positionV>
            <wp:extent cx="16256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-1093470</wp:posOffset>
            </wp:positionV>
            <wp:extent cx="163195"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-1093470</wp:posOffset>
            </wp:positionV>
            <wp:extent cx="6858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-401955</wp:posOffset>
            </wp:positionV>
            <wp:extent cx="19685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-385445</wp:posOffset>
            </wp:positionV>
            <wp:extent cx="19685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-401955</wp:posOffset>
            </wp:positionV>
            <wp:extent cx="1625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-385445</wp:posOffset>
            </wp:positionV>
            <wp:extent cx="1625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-401955</wp:posOffset>
            </wp:positionV>
            <wp:extent cx="16319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-385445</wp:posOffset>
            </wp:positionV>
            <wp:extent cx="16319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-401955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-385445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-24765</wp:posOffset>
            </wp:positionV>
            <wp:extent cx="19685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-7620</wp:posOffset>
            </wp:positionV>
            <wp:extent cx="19685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-24765</wp:posOffset>
            </wp:positionV>
            <wp:extent cx="1625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-7620</wp:posOffset>
            </wp:positionV>
            <wp:extent cx="1625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-24765</wp:posOffset>
            </wp:positionV>
            <wp:extent cx="16319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-7620</wp:posOffset>
            </wp:positionV>
            <wp:extent cx="16319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ORIC PHARMACEUTICALS,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STATEMENTS OF CONVERTIBLE PREFERRED STOCK AND STOCKHOLDERS’ EQUITY (DEFICIT)</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amounts)</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6"/>
            <w:vMerge w:val="restart"/>
          </w:tcPr>
          <w:p>
            <w:pPr>
              <w:jc w:val="right"/>
              <w:ind w:right="760"/>
              <w:spacing w:after="0"/>
              <w:rPr>
                <w:sz w:val="20"/>
                <w:szCs w:val="20"/>
                <w:color w:val="auto"/>
              </w:rPr>
            </w:pPr>
            <w:r>
              <w:rPr>
                <w:rFonts w:ascii="Arial" w:cs="Arial" w:eastAsia="Arial" w:hAnsi="Arial"/>
                <w:sz w:val="13"/>
                <w:szCs w:val="13"/>
                <w:b w:val="1"/>
                <w:bCs w:val="1"/>
                <w:color w:val="auto"/>
              </w:rPr>
              <w:t>Convertible</w:t>
            </w: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gridSpan w:val="4"/>
          </w:tcPr>
          <w:p>
            <w:pPr>
              <w:ind w:left="20"/>
              <w:spacing w:after="0"/>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gridSpan w:val="6"/>
            <w:vMerge w:val="continue"/>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w w:val="94"/>
              </w:rPr>
              <w:t>Additional</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right"/>
              <w:ind w:right="560"/>
              <w:spacing w:after="0"/>
              <w:rPr>
                <w:sz w:val="20"/>
                <w:szCs w:val="20"/>
                <w:color w:val="auto"/>
              </w:rPr>
            </w:pPr>
            <w:r>
              <w:rPr>
                <w:rFonts w:ascii="Arial" w:cs="Arial" w:eastAsia="Arial" w:hAnsi="Arial"/>
                <w:sz w:val="13"/>
                <w:szCs w:val="13"/>
                <w:b w:val="1"/>
                <w:bCs w:val="1"/>
                <w:color w:val="auto"/>
              </w:rPr>
              <w:t>Other</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right"/>
              <w:ind w:right="54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9"/>
        </w:trPr>
        <w:tc>
          <w:tcPr>
            <w:tcW w:w="1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tcBorders>
              <w:bottom w:val="single" w:sz="8" w:color="auto"/>
            </w:tcBorders>
            <w:gridSpan w:val="5"/>
          </w:tcPr>
          <w:p>
            <w:pPr>
              <w:jc w:val="right"/>
              <w:ind w:right="357"/>
              <w:spacing w:after="0"/>
              <w:rPr>
                <w:sz w:val="20"/>
                <w:szCs w:val="20"/>
                <w:color w:val="auto"/>
              </w:rPr>
            </w:pPr>
            <w:r>
              <w:rPr>
                <w:rFonts w:ascii="Arial" w:cs="Arial" w:eastAsia="Arial" w:hAnsi="Arial"/>
                <w:sz w:val="13"/>
                <w:szCs w:val="13"/>
                <w:b w:val="1"/>
                <w:bCs w:val="1"/>
                <w:color w:val="auto"/>
              </w:rPr>
              <w:t>Preferred Stock</w:t>
            </w:r>
          </w:p>
        </w:tc>
        <w:tc>
          <w:tcPr>
            <w:tcW w:w="220" w:type="dxa"/>
            <w:vAlign w:val="bottom"/>
          </w:tcPr>
          <w:p>
            <w:pPr>
              <w:spacing w:after="0"/>
              <w:rPr>
                <w:sz w:val="15"/>
                <w:szCs w:val="15"/>
                <w:color w:val="auto"/>
              </w:rPr>
            </w:pPr>
          </w:p>
        </w:tc>
        <w:tc>
          <w:tcPr>
            <w:tcW w:w="1680" w:type="dxa"/>
            <w:vAlign w:val="bottom"/>
            <w:tcBorders>
              <w:bottom w:val="single" w:sz="8" w:color="auto"/>
            </w:tcBorders>
            <w:gridSpan w:val="4"/>
          </w:tcPr>
          <w:p>
            <w:pPr>
              <w:jc w:val="right"/>
              <w:ind w:right="357"/>
              <w:spacing w:after="0"/>
              <w:rPr>
                <w:sz w:val="20"/>
                <w:szCs w:val="20"/>
                <w:color w:val="auto"/>
              </w:rPr>
            </w:pPr>
            <w:r>
              <w:rPr>
                <w:rFonts w:ascii="Arial" w:cs="Arial" w:eastAsia="Arial" w:hAnsi="Arial"/>
                <w:sz w:val="13"/>
                <w:szCs w:val="13"/>
                <w:b w:val="1"/>
                <w:bCs w:val="1"/>
                <w:color w:val="auto"/>
              </w:rPr>
              <w:t>Common Stock</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Paid-in</w:t>
            </w:r>
          </w:p>
        </w:tc>
        <w:tc>
          <w:tcPr>
            <w:tcW w:w="1080" w:type="dxa"/>
            <w:vAlign w:val="bottom"/>
            <w:gridSpan w:val="3"/>
          </w:tcPr>
          <w:p>
            <w:pPr>
              <w:jc w:val="right"/>
              <w:ind w:right="320"/>
              <w:spacing w:after="0"/>
              <w:rPr>
                <w:sz w:val="20"/>
                <w:szCs w:val="20"/>
                <w:color w:val="auto"/>
              </w:rPr>
            </w:pPr>
            <w:r>
              <w:rPr>
                <w:rFonts w:ascii="Arial" w:cs="Arial" w:eastAsia="Arial" w:hAnsi="Arial"/>
                <w:sz w:val="13"/>
                <w:szCs w:val="13"/>
                <w:b w:val="1"/>
                <w:bCs w:val="1"/>
                <w:color w:val="auto"/>
                <w:w w:val="90"/>
              </w:rPr>
              <w:t>Accumulated</w:t>
            </w:r>
          </w:p>
        </w:tc>
        <w:tc>
          <w:tcPr>
            <w:tcW w:w="1140" w:type="dxa"/>
            <w:vAlign w:val="bottom"/>
            <w:gridSpan w:val="5"/>
          </w:tcPr>
          <w:p>
            <w:pPr>
              <w:spacing w:after="0"/>
              <w:rPr>
                <w:sz w:val="20"/>
                <w:szCs w:val="20"/>
                <w:color w:val="auto"/>
              </w:rPr>
            </w:pPr>
            <w:r>
              <w:rPr>
                <w:rFonts w:ascii="Arial" w:cs="Arial" w:eastAsia="Arial" w:hAnsi="Arial"/>
                <w:sz w:val="13"/>
                <w:szCs w:val="13"/>
                <w:b w:val="1"/>
                <w:bCs w:val="1"/>
                <w:color w:val="auto"/>
              </w:rPr>
              <w:t>Comprehensive</w:t>
            </w:r>
          </w:p>
        </w:tc>
        <w:tc>
          <w:tcPr>
            <w:tcW w:w="80" w:type="dxa"/>
            <w:vAlign w:val="bottom"/>
          </w:tcPr>
          <w:p>
            <w:pPr>
              <w:spacing w:after="0"/>
              <w:rPr>
                <w:sz w:val="15"/>
                <w:szCs w:val="15"/>
                <w:color w:val="auto"/>
              </w:rPr>
            </w:pPr>
          </w:p>
        </w:tc>
        <w:tc>
          <w:tcPr>
            <w:tcW w:w="1040" w:type="dxa"/>
            <w:vAlign w:val="bottom"/>
            <w:gridSpan w:val="4"/>
          </w:tcPr>
          <w:p>
            <w:pPr>
              <w:spacing w:after="0"/>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77"/>
        </w:trPr>
        <w:tc>
          <w:tcPr>
            <w:tcW w:w="1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Shares</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97"/>
              </w:rPr>
              <w:t>Amount</w:t>
            </w:r>
          </w:p>
        </w:tc>
        <w:tc>
          <w:tcPr>
            <w:tcW w:w="220" w:type="dxa"/>
            <w:vAlign w:val="bottom"/>
          </w:tcPr>
          <w:p>
            <w:pPr>
              <w:spacing w:after="0"/>
              <w:rPr>
                <w:sz w:val="15"/>
                <w:szCs w:val="15"/>
                <w:color w:val="auto"/>
              </w:rPr>
            </w:pPr>
          </w:p>
        </w:tc>
        <w:tc>
          <w:tcPr>
            <w:tcW w:w="7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Shares</w:t>
            </w:r>
          </w:p>
        </w:tc>
        <w:tc>
          <w:tcPr>
            <w:tcW w:w="3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3"/>
              </w:rPr>
              <w:t>Amount</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Capital</w:t>
            </w:r>
          </w:p>
        </w:tc>
        <w:tc>
          <w:tcPr>
            <w:tcW w:w="2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Deficit</w:t>
            </w:r>
          </w:p>
        </w:tc>
        <w:tc>
          <w:tcPr>
            <w:tcW w:w="2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6"/>
              </w:rPr>
              <w:t>Gain (Loss)</w:t>
            </w:r>
          </w:p>
        </w:tc>
        <w:tc>
          <w:tcPr>
            <w:tcW w:w="240" w:type="dxa"/>
            <w:vAlign w:val="bottom"/>
            <w:gridSpan w:val="2"/>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Equity</w:t>
            </w:r>
          </w:p>
        </w:tc>
        <w:tc>
          <w:tcPr>
            <w:tcW w:w="2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20" w:type="dxa"/>
            <w:vAlign w:val="bottom"/>
          </w:tcPr>
          <w:p>
            <w:pPr>
              <w:spacing w:after="0"/>
              <w:rPr>
                <w:sz w:val="15"/>
                <w:szCs w:val="15"/>
                <w:color w:val="auto"/>
              </w:rPr>
            </w:pPr>
          </w:p>
        </w:tc>
        <w:tc>
          <w:tcPr>
            <w:tcW w:w="2820" w:type="dxa"/>
            <w:vAlign w:val="bottom"/>
            <w:gridSpan w:val="2"/>
          </w:tcPr>
          <w:p>
            <w:pPr>
              <w:ind w:left="20"/>
              <w:spacing w:after="0"/>
              <w:rPr>
                <w:sz w:val="20"/>
                <w:szCs w:val="20"/>
                <w:color w:val="auto"/>
              </w:rPr>
            </w:pPr>
            <w:r>
              <w:rPr>
                <w:rFonts w:ascii="Arial" w:cs="Arial" w:eastAsia="Arial" w:hAnsi="Arial"/>
                <w:sz w:val="13"/>
                <w:szCs w:val="13"/>
                <w:b w:val="1"/>
                <w:bCs w:val="1"/>
                <w:color w:val="auto"/>
              </w:rPr>
              <w:t>Balance at December 31, 2020</w:t>
            </w: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36,672,415</w:t>
            </w:r>
          </w:p>
        </w:tc>
        <w:tc>
          <w:tcPr>
            <w:tcW w:w="3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4</w:t>
            </w: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456,196</w:t>
            </w:r>
          </w:p>
        </w:tc>
        <w:tc>
          <w:tcPr>
            <w:tcW w:w="2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5"/>
                <w:szCs w:val="5"/>
                <w:color w:val="auto"/>
                <w:w w:val="70"/>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(166,393 )</w:t>
            </w:r>
          </w:p>
        </w:tc>
        <w:tc>
          <w:tcPr>
            <w:tcW w:w="260" w:type="dxa"/>
            <w:vAlign w:val="bottom"/>
          </w:tcPr>
          <w:p>
            <w:pPr>
              <w:spacing w:after="0"/>
              <w:rPr>
                <w:sz w:val="15"/>
                <w:szCs w:val="15"/>
                <w:color w:val="auto"/>
              </w:rPr>
            </w:pPr>
          </w:p>
        </w:tc>
        <w:tc>
          <w:tcPr>
            <w:tcW w:w="120" w:type="dxa"/>
            <w:vAlign w:val="bottom"/>
            <w:gridSpan w:val="2"/>
          </w:tcPr>
          <w:p>
            <w:pPr>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(31 )</w:t>
            </w:r>
          </w:p>
        </w:tc>
        <w:tc>
          <w:tcPr>
            <w:tcW w:w="1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289,776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20" w:type="dxa"/>
            <w:vAlign w:val="bottom"/>
          </w:tcPr>
          <w:p>
            <w:pPr>
              <w:spacing w:after="0"/>
              <w:rPr>
                <w:sz w:val="17"/>
                <w:szCs w:val="17"/>
                <w:color w:val="auto"/>
              </w:rPr>
            </w:pPr>
          </w:p>
        </w:tc>
        <w:tc>
          <w:tcPr>
            <w:tcW w:w="2820" w:type="dxa"/>
            <w:vAlign w:val="bottom"/>
            <w:gridSpan w:val="2"/>
            <w:shd w:val="clear" w:color="auto" w:fill="CFF0FC"/>
          </w:tcPr>
          <w:p>
            <w:pPr>
              <w:ind w:left="160"/>
              <w:spacing w:after="0"/>
              <w:rPr>
                <w:sz w:val="20"/>
                <w:szCs w:val="20"/>
                <w:color w:val="auto"/>
              </w:rPr>
            </w:pPr>
            <w:r>
              <w:rPr>
                <w:rFonts w:ascii="Arial" w:cs="Arial" w:eastAsia="Arial" w:hAnsi="Arial"/>
                <w:sz w:val="13"/>
                <w:szCs w:val="13"/>
                <w:color w:val="auto"/>
              </w:rPr>
              <w:t>Exercise of common stock options</w:t>
            </w: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18,411</w:t>
            </w:r>
          </w:p>
        </w:tc>
        <w:tc>
          <w:tcPr>
            <w:tcW w:w="300" w:type="dxa"/>
            <w:vAlign w:val="bottom"/>
            <w:tcBorders>
              <w:left w:val="single" w:sz="8" w:color="CFF0FC"/>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w:t>
            </w:r>
          </w:p>
        </w:tc>
        <w:tc>
          <w:tcPr>
            <w:tcW w:w="260" w:type="dxa"/>
            <w:vAlign w:val="bottom"/>
            <w:tcBorders>
              <w:left w:val="single" w:sz="8" w:color="CFF0FC"/>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20" w:type="dxa"/>
            <w:vAlign w:val="bottom"/>
            <w:gridSpan w:val="3"/>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w:t>
            </w:r>
          </w:p>
        </w:tc>
        <w:tc>
          <w:tcPr>
            <w:tcW w:w="12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120" w:type="dxa"/>
            <w:vAlign w:val="bottom"/>
          </w:tcPr>
          <w:p>
            <w:pPr>
              <w:spacing w:after="0"/>
              <w:rPr>
                <w:sz w:val="15"/>
                <w:szCs w:val="15"/>
                <w:color w:val="auto"/>
              </w:rPr>
            </w:pPr>
          </w:p>
        </w:tc>
        <w:tc>
          <w:tcPr>
            <w:tcW w:w="2820" w:type="dxa"/>
            <w:vAlign w:val="bottom"/>
            <w:gridSpan w:val="2"/>
          </w:tcPr>
          <w:p>
            <w:pPr>
              <w:ind w:left="160"/>
              <w:spacing w:after="0"/>
              <w:rPr>
                <w:sz w:val="20"/>
                <w:szCs w:val="20"/>
                <w:color w:val="auto"/>
              </w:rPr>
            </w:pPr>
            <w:r>
              <w:rPr>
                <w:rFonts w:ascii="Arial" w:cs="Arial" w:eastAsia="Arial" w:hAnsi="Arial"/>
                <w:sz w:val="13"/>
                <w:szCs w:val="13"/>
                <w:color w:val="auto"/>
              </w:rPr>
              <w:t>Stock-based compensation expense</w:t>
            </w: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2,744</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2,744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20" w:type="dxa"/>
            <w:vAlign w:val="bottom"/>
          </w:tcPr>
          <w:p>
            <w:pPr>
              <w:spacing w:after="0"/>
              <w:rPr>
                <w:sz w:val="15"/>
                <w:szCs w:val="15"/>
                <w:color w:val="auto"/>
              </w:rPr>
            </w:pPr>
          </w:p>
        </w:tc>
        <w:tc>
          <w:tcPr>
            <w:tcW w:w="2820" w:type="dxa"/>
            <w:vAlign w:val="bottom"/>
            <w:gridSpan w:val="2"/>
            <w:shd w:val="clear" w:color="auto" w:fill="CFF0FC"/>
          </w:tcPr>
          <w:p>
            <w:pPr>
              <w:ind w:left="160"/>
              <w:spacing w:after="0"/>
              <w:rPr>
                <w:sz w:val="20"/>
                <w:szCs w:val="20"/>
                <w:color w:val="auto"/>
              </w:rPr>
            </w:pPr>
            <w:r>
              <w:rPr>
                <w:rFonts w:ascii="Arial" w:cs="Arial" w:eastAsia="Arial" w:hAnsi="Arial"/>
                <w:sz w:val="13"/>
                <w:szCs w:val="13"/>
                <w:color w:val="auto"/>
              </w:rPr>
              <w:t>Unrealized gain on available-for-sale</w:t>
            </w:r>
          </w:p>
        </w:tc>
        <w:tc>
          <w:tcPr>
            <w:tcW w:w="700" w:type="dxa"/>
            <w:vAlign w:val="bottom"/>
            <w:shd w:val="clear" w:color="auto" w:fill="CFF0FC"/>
          </w:tcPr>
          <w:p>
            <w:pPr>
              <w:spacing w:after="0"/>
              <w:rPr>
                <w:sz w:val="15"/>
                <w:szCs w:val="15"/>
                <w:color w:val="auto"/>
              </w:rPr>
            </w:pPr>
          </w:p>
        </w:tc>
        <w:tc>
          <w:tcPr>
            <w:tcW w:w="260" w:type="dxa"/>
            <w:vAlign w:val="bottom"/>
            <w:tcBorders>
              <w:left w:val="single" w:sz="8" w:color="CFF0FC"/>
            </w:tcBorders>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20" w:type="dxa"/>
            <w:vAlign w:val="bottom"/>
            <w:tcBorders>
              <w:left w:val="single" w:sz="8" w:color="CFF0FC"/>
              <w:right w:val="single" w:sz="8" w:color="CFF0FC"/>
            </w:tcBorders>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300" w:type="dxa"/>
            <w:vAlign w:val="bottom"/>
            <w:tcBorders>
              <w:left w:val="single" w:sz="8" w:color="CFF0FC"/>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60" w:type="dxa"/>
            <w:vAlign w:val="bottom"/>
            <w:tcBorders>
              <w:left w:val="single" w:sz="8" w:color="CFF0FC"/>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60" w:type="dxa"/>
            <w:vAlign w:val="bottom"/>
            <w:tcBorders>
              <w:left w:val="single" w:sz="8" w:color="CFF0FC"/>
            </w:tcBorders>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20" w:type="dxa"/>
            <w:vAlign w:val="bottom"/>
          </w:tcPr>
          <w:p>
            <w:pPr>
              <w:spacing w:after="0"/>
              <w:rPr>
                <w:sz w:val="15"/>
                <w:szCs w:val="15"/>
                <w:color w:val="auto"/>
              </w:rPr>
            </w:pPr>
          </w:p>
        </w:tc>
        <w:tc>
          <w:tcPr>
            <w:tcW w:w="2820" w:type="dxa"/>
            <w:vAlign w:val="bottom"/>
            <w:gridSpan w:val="2"/>
            <w:shd w:val="clear" w:color="auto" w:fill="CFF0FC"/>
          </w:tcPr>
          <w:p>
            <w:pPr>
              <w:ind w:left="160"/>
              <w:spacing w:after="0"/>
              <w:rPr>
                <w:sz w:val="20"/>
                <w:szCs w:val="20"/>
                <w:color w:val="auto"/>
              </w:rPr>
            </w:pPr>
            <w:r>
              <w:rPr>
                <w:rFonts w:ascii="Arial" w:cs="Arial" w:eastAsia="Arial" w:hAnsi="Arial"/>
                <w:sz w:val="13"/>
                <w:szCs w:val="13"/>
                <w:color w:val="auto"/>
              </w:rPr>
              <w:t>investments</w:t>
            </w: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00" w:type="dxa"/>
            <w:vAlign w:val="bottom"/>
            <w:tcBorders>
              <w:left w:val="single" w:sz="8" w:color="CFF0FC"/>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w:t>
            </w:r>
          </w:p>
        </w:tc>
        <w:tc>
          <w:tcPr>
            <w:tcW w:w="120" w:type="dxa"/>
            <w:vAlign w:val="bottom"/>
            <w:shd w:val="clear" w:color="auto" w:fill="CFF0FC"/>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20" w:type="dxa"/>
            <w:vAlign w:val="bottom"/>
          </w:tcPr>
          <w:p>
            <w:pPr>
              <w:spacing w:after="0"/>
              <w:rPr>
                <w:sz w:val="15"/>
                <w:szCs w:val="15"/>
                <w:color w:val="auto"/>
              </w:rPr>
            </w:pPr>
          </w:p>
        </w:tc>
        <w:tc>
          <w:tcPr>
            <w:tcW w:w="2820" w:type="dxa"/>
            <w:vAlign w:val="bottom"/>
            <w:gridSpan w:val="2"/>
          </w:tcPr>
          <w:p>
            <w:pPr>
              <w:ind w:left="160"/>
              <w:spacing w:after="0"/>
              <w:rPr>
                <w:sz w:val="20"/>
                <w:szCs w:val="20"/>
                <w:color w:val="auto"/>
              </w:rPr>
            </w:pPr>
            <w:r>
              <w:rPr>
                <w:rFonts w:ascii="Arial" w:cs="Arial" w:eastAsia="Arial" w:hAnsi="Arial"/>
                <w:sz w:val="13"/>
                <w:szCs w:val="13"/>
                <w:color w:val="auto"/>
              </w:rPr>
              <w:t>Net loss</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(16,509 )</w:t>
            </w: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(16,509 )</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2820" w:type="dxa"/>
            <w:vAlign w:val="bottom"/>
            <w:gridSpan w:val="2"/>
            <w:shd w:val="clear" w:color="auto" w:fill="CFF0FC"/>
          </w:tcPr>
          <w:p>
            <w:pPr>
              <w:ind w:left="20"/>
              <w:spacing w:after="0"/>
              <w:rPr>
                <w:sz w:val="20"/>
                <w:szCs w:val="20"/>
                <w:color w:val="auto"/>
              </w:rPr>
            </w:pPr>
            <w:r>
              <w:rPr>
                <w:rFonts w:ascii="Arial" w:cs="Arial" w:eastAsia="Arial" w:hAnsi="Arial"/>
                <w:sz w:val="13"/>
                <w:szCs w:val="13"/>
                <w:b w:val="1"/>
                <w:bCs w:val="1"/>
                <w:color w:val="auto"/>
              </w:rPr>
              <w:t>Balance at March 31, 2021</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left w:val="single" w:sz="8" w:color="CFF0FC"/>
            </w:tcBorders>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left w:val="single" w:sz="8" w:color="CFF0FC"/>
              <w:right w:val="single" w:sz="8" w:color="CFF0FC"/>
            </w:tcBorders>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36,690,826</w:t>
            </w:r>
          </w:p>
        </w:tc>
        <w:tc>
          <w:tcPr>
            <w:tcW w:w="300" w:type="dxa"/>
            <w:vAlign w:val="bottom"/>
            <w:tcBorders>
              <w:left w:val="single" w:sz="8" w:color="CFF0FC"/>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458,956</w:t>
            </w:r>
          </w:p>
        </w:tc>
        <w:tc>
          <w:tcPr>
            <w:tcW w:w="260" w:type="dxa"/>
            <w:vAlign w:val="bottom"/>
            <w:tcBorders>
              <w:left w:val="single" w:sz="8" w:color="CFF0FC"/>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(182,902 )</w:t>
            </w:r>
          </w:p>
        </w:tc>
        <w:tc>
          <w:tcPr>
            <w:tcW w:w="260" w:type="dxa"/>
            <w:vAlign w:val="bottom"/>
            <w:tcBorders>
              <w:left w:val="single" w:sz="8" w:color="CFF0FC"/>
            </w:tcBorders>
            <w:shd w:val="clear" w:color="auto" w:fill="CFF0FC"/>
          </w:tcPr>
          <w:p>
            <w:pPr>
              <w:spacing w:after="0"/>
              <w:rPr>
                <w:sz w:val="15"/>
                <w:szCs w:val="15"/>
                <w:color w:val="auto"/>
              </w:rPr>
            </w:pPr>
          </w:p>
        </w:tc>
        <w:tc>
          <w:tcPr>
            <w:tcW w:w="1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276,075</w:t>
            </w:r>
          </w:p>
        </w:tc>
        <w:tc>
          <w:tcPr>
            <w:tcW w:w="120" w:type="dxa"/>
            <w:vAlign w:val="bottom"/>
            <w:shd w:val="clear" w:color="auto" w:fill="CFF0FC"/>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20" w:type="dxa"/>
            <w:vAlign w:val="bottom"/>
          </w:tcPr>
          <w:p>
            <w:pPr>
              <w:spacing w:after="0"/>
              <w:rPr>
                <w:sz w:val="15"/>
                <w:szCs w:val="15"/>
                <w:color w:val="auto"/>
              </w:rPr>
            </w:pPr>
          </w:p>
        </w:tc>
        <w:tc>
          <w:tcPr>
            <w:tcW w:w="2820" w:type="dxa"/>
            <w:vAlign w:val="bottom"/>
            <w:tcBorders>
              <w:top w:val="single" w:sz="8" w:color="CFF0FC"/>
            </w:tcBorders>
            <w:gridSpan w:val="2"/>
          </w:tcPr>
          <w:p>
            <w:pPr>
              <w:ind w:left="160"/>
              <w:spacing w:after="0"/>
              <w:rPr>
                <w:sz w:val="20"/>
                <w:szCs w:val="20"/>
                <w:color w:val="auto"/>
              </w:rPr>
            </w:pPr>
            <w:r>
              <w:rPr>
                <w:rFonts w:ascii="Arial" w:cs="Arial" w:eastAsia="Arial" w:hAnsi="Arial"/>
                <w:sz w:val="13"/>
                <w:szCs w:val="13"/>
                <w:color w:val="auto"/>
              </w:rPr>
              <w:t>Exercise of common stock options</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top w:val="single" w:sz="8" w:color="CFF0FC"/>
            </w:tcBorders>
          </w:tcPr>
          <w:p>
            <w:pPr>
              <w:spacing w:after="0"/>
              <w:rPr>
                <w:sz w:val="15"/>
                <w:szCs w:val="15"/>
                <w:color w:val="auto"/>
              </w:rPr>
            </w:pPr>
          </w:p>
        </w:tc>
        <w:tc>
          <w:tcPr>
            <w:tcW w:w="60" w:type="dxa"/>
            <w:vAlign w:val="bottom"/>
            <w:tcBorders>
              <w:top w:val="single" w:sz="8" w:color="CFF0FC"/>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top w:val="single" w:sz="8" w:color="CFF0FC"/>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24,786</w:t>
            </w:r>
          </w:p>
        </w:tc>
        <w:tc>
          <w:tcPr>
            <w:tcW w:w="300" w:type="dxa"/>
            <w:vAlign w:val="bottom"/>
            <w:tcBorders>
              <w:top w:val="single" w:sz="8" w:color="CFF0FC"/>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58</w:t>
            </w:r>
          </w:p>
        </w:tc>
        <w:tc>
          <w:tcPr>
            <w:tcW w:w="260" w:type="dxa"/>
            <w:vAlign w:val="bottom"/>
            <w:tcBorders>
              <w:top w:val="single" w:sz="8" w:color="CFF0FC"/>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top w:val="single" w:sz="8" w:color="CFF0FC"/>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top w:val="single" w:sz="8" w:color="CFF0FC"/>
            </w:tcBorders>
            <w:gridSpan w:val="2"/>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58</w:t>
            </w:r>
          </w:p>
        </w:tc>
        <w:tc>
          <w:tcPr>
            <w:tcW w:w="120" w:type="dxa"/>
            <w:vAlign w:val="bottom"/>
            <w:tcBorders>
              <w:top w:val="single" w:sz="8" w:color="CFF0FC"/>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20" w:type="dxa"/>
            <w:vAlign w:val="bottom"/>
          </w:tcPr>
          <w:p>
            <w:pPr>
              <w:spacing w:after="0"/>
              <w:rPr>
                <w:sz w:val="17"/>
                <w:szCs w:val="17"/>
                <w:color w:val="auto"/>
              </w:rPr>
            </w:pPr>
          </w:p>
        </w:tc>
        <w:tc>
          <w:tcPr>
            <w:tcW w:w="2820" w:type="dxa"/>
            <w:vAlign w:val="bottom"/>
            <w:gridSpan w:val="2"/>
            <w:shd w:val="clear" w:color="auto" w:fill="CFF0FC"/>
          </w:tcPr>
          <w:p>
            <w:pPr>
              <w:ind w:left="160"/>
              <w:spacing w:after="0"/>
              <w:rPr>
                <w:sz w:val="20"/>
                <w:szCs w:val="20"/>
                <w:color w:val="auto"/>
              </w:rPr>
            </w:pPr>
            <w:r>
              <w:rPr>
                <w:rFonts w:ascii="Arial" w:cs="Arial" w:eastAsia="Arial" w:hAnsi="Arial"/>
                <w:sz w:val="13"/>
                <w:szCs w:val="13"/>
                <w:color w:val="auto"/>
              </w:rPr>
              <w:t>Stock-based compensation expense</w:t>
            </w: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00" w:type="dxa"/>
            <w:vAlign w:val="bottom"/>
            <w:tcBorders>
              <w:left w:val="single" w:sz="8" w:color="CFF0FC"/>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3,213</w:t>
            </w:r>
          </w:p>
        </w:tc>
        <w:tc>
          <w:tcPr>
            <w:tcW w:w="260" w:type="dxa"/>
            <w:vAlign w:val="bottom"/>
            <w:tcBorders>
              <w:left w:val="single" w:sz="8" w:color="CFF0FC"/>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20" w:type="dxa"/>
            <w:vAlign w:val="bottom"/>
            <w:gridSpan w:val="3"/>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3,213</w:t>
            </w:r>
          </w:p>
        </w:tc>
        <w:tc>
          <w:tcPr>
            <w:tcW w:w="12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120" w:type="dxa"/>
            <w:vAlign w:val="bottom"/>
          </w:tcPr>
          <w:p>
            <w:pPr>
              <w:spacing w:after="0"/>
              <w:rPr>
                <w:sz w:val="15"/>
                <w:szCs w:val="15"/>
                <w:color w:val="auto"/>
              </w:rPr>
            </w:pPr>
          </w:p>
        </w:tc>
        <w:tc>
          <w:tcPr>
            <w:tcW w:w="2820" w:type="dxa"/>
            <w:vAlign w:val="bottom"/>
            <w:gridSpan w:val="2"/>
          </w:tcPr>
          <w:p>
            <w:pPr>
              <w:ind w:left="160"/>
              <w:spacing w:after="0"/>
              <w:rPr>
                <w:sz w:val="20"/>
                <w:szCs w:val="20"/>
                <w:color w:val="auto"/>
              </w:rPr>
            </w:pPr>
            <w:r>
              <w:rPr>
                <w:rFonts w:ascii="Arial" w:cs="Arial" w:eastAsia="Arial" w:hAnsi="Arial"/>
                <w:sz w:val="13"/>
                <w:szCs w:val="13"/>
                <w:color w:val="auto"/>
                <w:w w:val="93"/>
              </w:rPr>
              <w:t>Unrealized loss on available-for-sale investments</w:t>
            </w: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(14 )</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(14 )</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2820" w:type="dxa"/>
            <w:vAlign w:val="bottom"/>
            <w:gridSpan w:val="2"/>
            <w:shd w:val="clear" w:color="auto" w:fill="CFF0FC"/>
          </w:tcPr>
          <w:p>
            <w:pPr>
              <w:ind w:left="160"/>
              <w:spacing w:after="0"/>
              <w:rPr>
                <w:sz w:val="20"/>
                <w:szCs w:val="20"/>
                <w:color w:val="auto"/>
              </w:rPr>
            </w:pPr>
            <w:r>
              <w:rPr>
                <w:rFonts w:ascii="Arial" w:cs="Arial" w:eastAsia="Arial" w:hAnsi="Arial"/>
                <w:sz w:val="13"/>
                <w:szCs w:val="13"/>
                <w:color w:val="auto"/>
              </w:rPr>
              <w:t>Net loss</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left w:val="single" w:sz="8" w:color="CFF0FC"/>
            </w:tcBorders>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left w:val="single" w:sz="8" w:color="CFF0FC"/>
              <w:right w:val="single" w:sz="8" w:color="CFF0FC"/>
            </w:tcBorders>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00" w:type="dxa"/>
            <w:vAlign w:val="bottom"/>
            <w:tcBorders>
              <w:left w:val="single" w:sz="8" w:color="CFF0FC"/>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left w:val="single" w:sz="8" w:color="CFF0FC"/>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(21,009 )</w:t>
            </w:r>
          </w:p>
        </w:tc>
        <w:tc>
          <w:tcPr>
            <w:tcW w:w="260" w:type="dxa"/>
            <w:vAlign w:val="bottom"/>
            <w:tcBorders>
              <w:left w:val="single" w:sz="8" w:color="CFF0FC"/>
            </w:tcBorders>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20" w:type="dxa"/>
            <w:vAlign w:val="bottom"/>
            <w:gridSpan w:val="3"/>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(21,009 )</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27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Borders>
              <w:left w:val="single" w:sz="8" w:color="CFF0FC"/>
            </w:tcBorders>
            <w:shd w:val="clear" w:color="auto" w:fill="CFF0FC"/>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2820" w:type="dxa"/>
            <w:vAlign w:val="bottom"/>
            <w:gridSpan w:val="2"/>
          </w:tcPr>
          <w:p>
            <w:pPr>
              <w:ind w:left="20"/>
              <w:spacing w:after="0"/>
              <w:rPr>
                <w:sz w:val="20"/>
                <w:szCs w:val="20"/>
                <w:color w:val="auto"/>
              </w:rPr>
            </w:pPr>
            <w:r>
              <w:rPr>
                <w:rFonts w:ascii="Arial" w:cs="Arial" w:eastAsia="Arial" w:hAnsi="Arial"/>
                <w:sz w:val="13"/>
                <w:szCs w:val="13"/>
                <w:b w:val="1"/>
                <w:bCs w:val="1"/>
                <w:color w:val="auto"/>
              </w:rPr>
              <w:t>Balance at June 30, 2021</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36,715,612</w:t>
            </w:r>
          </w:p>
        </w:tc>
        <w:tc>
          <w:tcPr>
            <w:tcW w:w="3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4</w:t>
            </w:r>
          </w:p>
        </w:tc>
        <w:tc>
          <w:tcPr>
            <w:tcW w:w="2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462,227</w:t>
            </w:r>
          </w:p>
        </w:tc>
        <w:tc>
          <w:tcPr>
            <w:tcW w:w="2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5"/>
                <w:szCs w:val="5"/>
                <w:color w:val="auto"/>
                <w:w w:val="70"/>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(203,911 )</w:t>
            </w:r>
          </w:p>
        </w:tc>
        <w:tc>
          <w:tcPr>
            <w:tcW w:w="260" w:type="dxa"/>
            <w:vAlign w:val="bottom"/>
          </w:tcPr>
          <w:p>
            <w:pPr>
              <w:spacing w:after="0"/>
              <w:rPr>
                <w:sz w:val="15"/>
                <w:szCs w:val="15"/>
                <w:color w:val="auto"/>
              </w:rPr>
            </w:pPr>
          </w:p>
        </w:tc>
        <w:tc>
          <w:tcPr>
            <w:tcW w:w="120" w:type="dxa"/>
            <w:vAlign w:val="bottom"/>
            <w:gridSpan w:val="2"/>
          </w:tcPr>
          <w:p>
            <w:pPr>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258,323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2820" w:type="dxa"/>
            <w:vAlign w:val="bottom"/>
            <w:gridSpan w:val="2"/>
            <w:shd w:val="clear" w:color="auto" w:fill="CFF0FC"/>
          </w:tcPr>
          <w:p>
            <w:pPr>
              <w:ind w:left="160"/>
              <w:spacing w:after="0"/>
              <w:rPr>
                <w:sz w:val="20"/>
                <w:szCs w:val="20"/>
                <w:color w:val="auto"/>
              </w:rPr>
            </w:pPr>
            <w:r>
              <w:rPr>
                <w:rFonts w:ascii="Arial" w:cs="Arial" w:eastAsia="Arial" w:hAnsi="Arial"/>
                <w:sz w:val="13"/>
                <w:szCs w:val="13"/>
                <w:color w:val="auto"/>
              </w:rPr>
              <w:t>Issuance of common stock</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left w:val="single" w:sz="8" w:color="CFF0FC"/>
            </w:tcBorders>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left w:val="single" w:sz="8" w:color="CFF0FC"/>
              <w:right w:val="single" w:sz="8" w:color="CFF0FC"/>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2,597,402</w:t>
            </w:r>
          </w:p>
        </w:tc>
        <w:tc>
          <w:tcPr>
            <w:tcW w:w="300" w:type="dxa"/>
            <w:vAlign w:val="bottom"/>
            <w:tcBorders>
              <w:left w:val="single" w:sz="8" w:color="CFF0FC"/>
              <w:right w:val="single" w:sz="8" w:color="CFF0FC"/>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50,000</w:t>
            </w:r>
          </w:p>
        </w:tc>
        <w:tc>
          <w:tcPr>
            <w:tcW w:w="260" w:type="dxa"/>
            <w:vAlign w:val="bottom"/>
            <w:tcBorders>
              <w:left w:val="single" w:sz="8" w:color="CFF0FC"/>
              <w:right w:val="single" w:sz="8" w:color="CFF0FC"/>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left w:val="single" w:sz="8" w:color="CFF0FC"/>
            </w:tcBorders>
            <w:shd w:val="clear" w:color="auto" w:fill="CFF0FC"/>
          </w:tcPr>
          <w:p>
            <w:pPr>
              <w:spacing w:after="0"/>
              <w:rPr>
                <w:sz w:val="16"/>
                <w:szCs w:val="16"/>
                <w:color w:val="auto"/>
              </w:rPr>
            </w:pPr>
          </w:p>
        </w:tc>
        <w:tc>
          <w:tcPr>
            <w:tcW w:w="4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gridSpan w:val="2"/>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50,000</w:t>
            </w:r>
          </w:p>
        </w:tc>
        <w:tc>
          <w:tcPr>
            <w:tcW w:w="120" w:type="dxa"/>
            <w:vAlign w:val="bottom"/>
            <w:shd w:val="clear" w:color="auto" w:fill="CFF0FC"/>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20" w:type="dxa"/>
            <w:vAlign w:val="bottom"/>
          </w:tcPr>
          <w:p>
            <w:pPr>
              <w:spacing w:after="0"/>
              <w:rPr>
                <w:sz w:val="15"/>
                <w:szCs w:val="15"/>
                <w:color w:val="auto"/>
              </w:rPr>
            </w:pPr>
          </w:p>
        </w:tc>
        <w:tc>
          <w:tcPr>
            <w:tcW w:w="2820" w:type="dxa"/>
            <w:vAlign w:val="bottom"/>
            <w:gridSpan w:val="2"/>
          </w:tcPr>
          <w:p>
            <w:pPr>
              <w:ind w:left="160"/>
              <w:spacing w:after="0"/>
              <w:rPr>
                <w:sz w:val="20"/>
                <w:szCs w:val="20"/>
                <w:color w:val="auto"/>
              </w:rPr>
            </w:pPr>
            <w:r>
              <w:rPr>
                <w:rFonts w:ascii="Arial" w:cs="Arial" w:eastAsia="Arial" w:hAnsi="Arial"/>
                <w:sz w:val="13"/>
                <w:szCs w:val="13"/>
                <w:color w:val="auto"/>
              </w:rPr>
              <w:t>Issuance costs associated with offering of</w:t>
            </w: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20" w:type="dxa"/>
            <w:vAlign w:val="bottom"/>
          </w:tcPr>
          <w:p>
            <w:pPr>
              <w:spacing w:after="0"/>
              <w:rPr>
                <w:sz w:val="14"/>
                <w:szCs w:val="14"/>
                <w:color w:val="auto"/>
              </w:rPr>
            </w:pPr>
          </w:p>
        </w:tc>
        <w:tc>
          <w:tcPr>
            <w:tcW w:w="2820" w:type="dxa"/>
            <w:vAlign w:val="bottom"/>
            <w:gridSpan w:val="2"/>
          </w:tcPr>
          <w:p>
            <w:pPr>
              <w:ind w:left="160"/>
              <w:spacing w:after="0"/>
              <w:rPr>
                <w:sz w:val="20"/>
                <w:szCs w:val="20"/>
                <w:color w:val="auto"/>
              </w:rPr>
            </w:pPr>
            <w:r>
              <w:rPr>
                <w:rFonts w:ascii="Arial" w:cs="Arial" w:eastAsia="Arial" w:hAnsi="Arial"/>
                <w:sz w:val="13"/>
                <w:szCs w:val="13"/>
                <w:color w:val="auto"/>
              </w:rPr>
              <w:t>common stock</w:t>
            </w: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(1,852 )</w:t>
            </w:r>
          </w:p>
        </w:tc>
        <w:tc>
          <w:tcPr>
            <w:tcW w:w="8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(1,852 )</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120" w:type="dxa"/>
            <w:vAlign w:val="bottom"/>
          </w:tcPr>
          <w:p>
            <w:pPr>
              <w:spacing w:after="0"/>
              <w:rPr>
                <w:sz w:val="17"/>
                <w:szCs w:val="17"/>
                <w:color w:val="auto"/>
              </w:rPr>
            </w:pPr>
          </w:p>
        </w:tc>
        <w:tc>
          <w:tcPr>
            <w:tcW w:w="2820" w:type="dxa"/>
            <w:vAlign w:val="bottom"/>
            <w:gridSpan w:val="2"/>
            <w:shd w:val="clear" w:color="auto" w:fill="CFF0FC"/>
          </w:tcPr>
          <w:p>
            <w:pPr>
              <w:ind w:left="160"/>
              <w:spacing w:after="0"/>
              <w:rPr>
                <w:sz w:val="20"/>
                <w:szCs w:val="20"/>
                <w:color w:val="auto"/>
              </w:rPr>
            </w:pPr>
            <w:r>
              <w:rPr>
                <w:rFonts w:ascii="Arial" w:cs="Arial" w:eastAsia="Arial" w:hAnsi="Arial"/>
                <w:sz w:val="13"/>
                <w:szCs w:val="13"/>
                <w:color w:val="auto"/>
              </w:rPr>
              <w:t>Exercise of common stock options</w:t>
            </w: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18,571</w:t>
            </w:r>
          </w:p>
        </w:tc>
        <w:tc>
          <w:tcPr>
            <w:tcW w:w="300" w:type="dxa"/>
            <w:vAlign w:val="bottom"/>
            <w:tcBorders>
              <w:left w:val="single" w:sz="8" w:color="CFF0FC"/>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w:t>
            </w:r>
          </w:p>
        </w:tc>
        <w:tc>
          <w:tcPr>
            <w:tcW w:w="260" w:type="dxa"/>
            <w:vAlign w:val="bottom"/>
            <w:tcBorders>
              <w:left w:val="single" w:sz="8" w:color="CFF0FC"/>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20" w:type="dxa"/>
            <w:vAlign w:val="bottom"/>
            <w:gridSpan w:val="3"/>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w:t>
            </w:r>
          </w:p>
        </w:tc>
        <w:tc>
          <w:tcPr>
            <w:tcW w:w="12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120" w:type="dxa"/>
            <w:vAlign w:val="bottom"/>
          </w:tcPr>
          <w:p>
            <w:pPr>
              <w:spacing w:after="0"/>
              <w:rPr>
                <w:sz w:val="15"/>
                <w:szCs w:val="15"/>
                <w:color w:val="auto"/>
              </w:rPr>
            </w:pPr>
          </w:p>
        </w:tc>
        <w:tc>
          <w:tcPr>
            <w:tcW w:w="2820" w:type="dxa"/>
            <w:vAlign w:val="bottom"/>
            <w:gridSpan w:val="2"/>
          </w:tcPr>
          <w:p>
            <w:pPr>
              <w:ind w:left="160"/>
              <w:spacing w:after="0"/>
              <w:rPr>
                <w:sz w:val="20"/>
                <w:szCs w:val="20"/>
                <w:color w:val="auto"/>
              </w:rPr>
            </w:pPr>
            <w:r>
              <w:rPr>
                <w:rFonts w:ascii="Arial" w:cs="Arial" w:eastAsia="Arial" w:hAnsi="Arial"/>
                <w:sz w:val="13"/>
                <w:szCs w:val="13"/>
                <w:color w:val="auto"/>
              </w:rPr>
              <w:t>Stock-based compensation expense</w:t>
            </w: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3,397</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3,397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20" w:type="dxa"/>
            <w:vAlign w:val="bottom"/>
          </w:tcPr>
          <w:p>
            <w:pPr>
              <w:spacing w:after="0"/>
              <w:rPr>
                <w:sz w:val="17"/>
                <w:szCs w:val="17"/>
                <w:color w:val="auto"/>
              </w:rPr>
            </w:pPr>
          </w:p>
        </w:tc>
        <w:tc>
          <w:tcPr>
            <w:tcW w:w="2820" w:type="dxa"/>
            <w:vAlign w:val="bottom"/>
            <w:gridSpan w:val="2"/>
            <w:shd w:val="clear" w:color="auto" w:fill="CFF0FC"/>
          </w:tcPr>
          <w:p>
            <w:pPr>
              <w:ind w:left="160"/>
              <w:spacing w:after="0"/>
              <w:rPr>
                <w:sz w:val="20"/>
                <w:szCs w:val="20"/>
                <w:color w:val="auto"/>
              </w:rPr>
            </w:pPr>
            <w:r>
              <w:rPr>
                <w:rFonts w:ascii="Arial" w:cs="Arial" w:eastAsia="Arial" w:hAnsi="Arial"/>
                <w:sz w:val="13"/>
                <w:szCs w:val="13"/>
                <w:color w:val="auto"/>
                <w:w w:val="93"/>
              </w:rPr>
              <w:t>Unrealized loss on available-for-sale investments</w:t>
            </w: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00" w:type="dxa"/>
            <w:vAlign w:val="bottom"/>
            <w:tcBorders>
              <w:left w:val="single" w:sz="8" w:color="CFF0FC"/>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(5 )</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(5 )</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120" w:type="dxa"/>
            <w:vAlign w:val="bottom"/>
          </w:tcPr>
          <w:p>
            <w:pPr>
              <w:spacing w:after="0"/>
              <w:rPr>
                <w:sz w:val="15"/>
                <w:szCs w:val="15"/>
                <w:color w:val="auto"/>
              </w:rPr>
            </w:pPr>
          </w:p>
        </w:tc>
        <w:tc>
          <w:tcPr>
            <w:tcW w:w="2820" w:type="dxa"/>
            <w:vAlign w:val="bottom"/>
            <w:gridSpan w:val="2"/>
          </w:tcPr>
          <w:p>
            <w:pPr>
              <w:ind w:left="160"/>
              <w:spacing w:after="0"/>
              <w:rPr>
                <w:sz w:val="20"/>
                <w:szCs w:val="20"/>
                <w:color w:val="auto"/>
              </w:rPr>
            </w:pPr>
            <w:r>
              <w:rPr>
                <w:rFonts w:ascii="Arial" w:cs="Arial" w:eastAsia="Arial" w:hAnsi="Arial"/>
                <w:sz w:val="13"/>
                <w:szCs w:val="13"/>
                <w:color w:val="auto"/>
              </w:rPr>
              <w:t>Net loss</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(18,426 )</w:t>
            </w: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(18,426 )</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0" w:type="dxa"/>
            <w:vAlign w:val="bottom"/>
          </w:tcPr>
          <w:p>
            <w:pPr>
              <w:spacing w:after="0"/>
              <w:rPr>
                <w:sz w:val="17"/>
                <w:szCs w:val="17"/>
                <w:color w:val="auto"/>
              </w:rPr>
            </w:pPr>
          </w:p>
        </w:tc>
        <w:tc>
          <w:tcPr>
            <w:tcW w:w="2820" w:type="dxa"/>
            <w:vAlign w:val="bottom"/>
            <w:gridSpan w:val="2"/>
            <w:shd w:val="clear" w:color="auto" w:fill="CFF0FC"/>
          </w:tcPr>
          <w:p>
            <w:pPr>
              <w:ind w:left="20"/>
              <w:spacing w:after="0"/>
              <w:rPr>
                <w:sz w:val="20"/>
                <w:szCs w:val="20"/>
                <w:color w:val="auto"/>
              </w:rPr>
            </w:pPr>
            <w:r>
              <w:rPr>
                <w:rFonts w:ascii="Arial" w:cs="Arial" w:eastAsia="Arial" w:hAnsi="Arial"/>
                <w:sz w:val="13"/>
                <w:szCs w:val="13"/>
                <w:b w:val="1"/>
                <w:bCs w:val="1"/>
                <w:color w:val="auto"/>
              </w:rPr>
              <w:t>Balance at September 30, 2021</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left w:val="single" w:sz="8" w:color="CFF0FC"/>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left w:val="single" w:sz="8" w:color="CFF0FC"/>
              <w:right w:val="single" w:sz="8" w:color="CFF0FC"/>
            </w:tcBorders>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39,331,585</w:t>
            </w:r>
          </w:p>
        </w:tc>
        <w:tc>
          <w:tcPr>
            <w:tcW w:w="300" w:type="dxa"/>
            <w:vAlign w:val="bottom"/>
            <w:tcBorders>
              <w:left w:val="single" w:sz="8" w:color="CFF0FC"/>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513,871</w:t>
            </w:r>
          </w:p>
        </w:tc>
        <w:tc>
          <w:tcPr>
            <w:tcW w:w="260" w:type="dxa"/>
            <w:vAlign w:val="bottom"/>
            <w:tcBorders>
              <w:left w:val="single" w:sz="8" w:color="CFF0FC"/>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(222,337 )</w:t>
            </w:r>
          </w:p>
        </w:tc>
        <w:tc>
          <w:tcPr>
            <w:tcW w:w="260" w:type="dxa"/>
            <w:vAlign w:val="bottom"/>
            <w:tcBorders>
              <w:left w:val="single" w:sz="8" w:color="CFF0FC"/>
            </w:tcBorders>
            <w:shd w:val="clear" w:color="auto" w:fill="CFF0FC"/>
          </w:tcPr>
          <w:p>
            <w:pPr>
              <w:spacing w:after="0"/>
              <w:rPr>
                <w:sz w:val="17"/>
                <w:szCs w:val="17"/>
                <w:color w:val="auto"/>
              </w:rPr>
            </w:pPr>
          </w:p>
        </w:tc>
        <w:tc>
          <w:tcPr>
            <w:tcW w:w="1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(2 )</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291,536</w:t>
            </w:r>
          </w:p>
        </w:tc>
        <w:tc>
          <w:tcPr>
            <w:tcW w:w="12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7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left w:val="single" w:sz="8" w:color="auto"/>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left w:val="single" w:sz="8" w:color="auto"/>
              <w:right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left w:val="single" w:sz="8" w:color="auto"/>
              <w:righ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7"/>
        </w:trPr>
        <w:tc>
          <w:tcPr>
            <w:tcW w:w="1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20" w:type="dxa"/>
            <w:vAlign w:val="bottom"/>
            <w:gridSpan w:val="6"/>
            <w:vMerge w:val="restart"/>
          </w:tcPr>
          <w:p>
            <w:pPr>
              <w:jc w:val="right"/>
              <w:ind w:right="800"/>
              <w:spacing w:after="0"/>
              <w:rPr>
                <w:sz w:val="20"/>
                <w:szCs w:val="20"/>
                <w:color w:val="auto"/>
              </w:rPr>
            </w:pPr>
            <w:r>
              <w:rPr>
                <w:rFonts w:ascii="Arial" w:cs="Arial" w:eastAsia="Arial" w:hAnsi="Arial"/>
                <w:sz w:val="13"/>
                <w:szCs w:val="13"/>
                <w:b w:val="1"/>
                <w:bCs w:val="1"/>
                <w:color w:val="auto"/>
              </w:rPr>
              <w:t>Convertible</w:t>
            </w: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3"/>
          </w:tcPr>
          <w:p>
            <w:pPr>
              <w:jc w:val="right"/>
              <w:ind w:right="280"/>
              <w:spacing w:after="0"/>
              <w:rPr>
                <w:sz w:val="20"/>
                <w:szCs w:val="20"/>
                <w:color w:val="auto"/>
              </w:rPr>
            </w:pPr>
            <w:r>
              <w:rPr>
                <w:rFonts w:ascii="Arial" w:cs="Arial" w:eastAsia="Arial" w:hAnsi="Arial"/>
                <w:sz w:val="13"/>
                <w:szCs w:val="13"/>
                <w:b w:val="1"/>
                <w:bCs w:val="1"/>
                <w:color w:val="auto"/>
                <w:w w:val="88"/>
              </w:rPr>
              <w:t>Accumulated</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gridSpan w:val="6"/>
            <w:vMerge w:val="continue"/>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97"/>
              </w:rPr>
              <w:t>Additional</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right"/>
              <w:ind w:right="480"/>
              <w:spacing w:after="0"/>
              <w:rPr>
                <w:sz w:val="20"/>
                <w:szCs w:val="20"/>
                <w:color w:val="auto"/>
              </w:rPr>
            </w:pPr>
            <w:r>
              <w:rPr>
                <w:rFonts w:ascii="Arial" w:cs="Arial" w:eastAsia="Arial" w:hAnsi="Arial"/>
                <w:sz w:val="13"/>
                <w:szCs w:val="13"/>
                <w:b w:val="1"/>
                <w:bCs w:val="1"/>
                <w:color w:val="auto"/>
              </w:rPr>
              <w:t>Other</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79"/>
        </w:trPr>
        <w:tc>
          <w:tcPr>
            <w:tcW w:w="1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5"/>
          </w:tcPr>
          <w:p>
            <w:pPr>
              <w:jc w:val="right"/>
              <w:ind w:right="397"/>
              <w:spacing w:after="0"/>
              <w:rPr>
                <w:sz w:val="20"/>
                <w:szCs w:val="20"/>
                <w:color w:val="auto"/>
              </w:rPr>
            </w:pPr>
            <w:r>
              <w:rPr>
                <w:rFonts w:ascii="Arial" w:cs="Arial" w:eastAsia="Arial" w:hAnsi="Arial"/>
                <w:sz w:val="13"/>
                <w:szCs w:val="13"/>
                <w:b w:val="1"/>
                <w:bCs w:val="1"/>
                <w:color w:val="auto"/>
              </w:rPr>
              <w:t>Preferred Stock</w:t>
            </w:r>
          </w:p>
        </w:tc>
        <w:tc>
          <w:tcPr>
            <w:tcW w:w="220" w:type="dxa"/>
            <w:vAlign w:val="bottom"/>
          </w:tcPr>
          <w:p>
            <w:pPr>
              <w:spacing w:after="0"/>
              <w:rPr>
                <w:sz w:val="15"/>
                <w:szCs w:val="15"/>
                <w:color w:val="auto"/>
              </w:rPr>
            </w:pPr>
          </w:p>
        </w:tc>
        <w:tc>
          <w:tcPr>
            <w:tcW w:w="1680" w:type="dxa"/>
            <w:vAlign w:val="bottom"/>
            <w:tcBorders>
              <w:bottom w:val="single" w:sz="8" w:color="auto"/>
            </w:tcBorders>
            <w:gridSpan w:val="4"/>
          </w:tcPr>
          <w:p>
            <w:pPr>
              <w:jc w:val="right"/>
              <w:ind w:right="377"/>
              <w:spacing w:after="0"/>
              <w:rPr>
                <w:sz w:val="20"/>
                <w:szCs w:val="20"/>
                <w:color w:val="auto"/>
              </w:rPr>
            </w:pPr>
            <w:r>
              <w:rPr>
                <w:rFonts w:ascii="Arial" w:cs="Arial" w:eastAsia="Arial" w:hAnsi="Arial"/>
                <w:sz w:val="13"/>
                <w:szCs w:val="13"/>
                <w:b w:val="1"/>
                <w:bCs w:val="1"/>
                <w:color w:val="auto"/>
              </w:rPr>
              <w:t>Common Stock</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Paid-in</w:t>
            </w:r>
          </w:p>
        </w:tc>
        <w:tc>
          <w:tcPr>
            <w:tcW w:w="80" w:type="dxa"/>
            <w:vAlign w:val="bottom"/>
          </w:tcPr>
          <w:p>
            <w:pPr>
              <w:spacing w:after="0"/>
              <w:rPr>
                <w:sz w:val="15"/>
                <w:szCs w:val="15"/>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85"/>
              </w:rPr>
              <w:t>Accumulated</w:t>
            </w:r>
          </w:p>
        </w:tc>
        <w:tc>
          <w:tcPr>
            <w:tcW w:w="40" w:type="dxa"/>
            <w:vAlign w:val="bottom"/>
          </w:tcPr>
          <w:p>
            <w:pPr>
              <w:spacing w:after="0"/>
              <w:rPr>
                <w:sz w:val="15"/>
                <w:szCs w:val="15"/>
                <w:color w:val="auto"/>
              </w:rPr>
            </w:pPr>
          </w:p>
        </w:tc>
        <w:tc>
          <w:tcPr>
            <w:tcW w:w="1100" w:type="dxa"/>
            <w:vAlign w:val="bottom"/>
            <w:gridSpan w:val="4"/>
          </w:tcPr>
          <w:p>
            <w:pPr>
              <w:ind w:left="40"/>
              <w:spacing w:after="0"/>
              <w:rPr>
                <w:sz w:val="20"/>
                <w:szCs w:val="20"/>
                <w:color w:val="auto"/>
              </w:rPr>
            </w:pPr>
            <w:r>
              <w:rPr>
                <w:rFonts w:ascii="Arial" w:cs="Arial" w:eastAsia="Arial" w:hAnsi="Arial"/>
                <w:sz w:val="13"/>
                <w:szCs w:val="13"/>
                <w:b w:val="1"/>
                <w:bCs w:val="1"/>
                <w:color w:val="auto"/>
              </w:rPr>
              <w:t>Comprehensive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77"/>
        </w:trPr>
        <w:tc>
          <w:tcPr>
            <w:tcW w:w="1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Shares</w:t>
            </w:r>
          </w:p>
        </w:tc>
        <w:tc>
          <w:tcPr>
            <w:tcW w:w="26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9"/>
              </w:rPr>
              <w:t>Amount</w:t>
            </w:r>
          </w:p>
        </w:tc>
        <w:tc>
          <w:tcPr>
            <w:tcW w:w="220" w:type="dxa"/>
            <w:vAlign w:val="bottom"/>
          </w:tcPr>
          <w:p>
            <w:pPr>
              <w:spacing w:after="0"/>
              <w:rPr>
                <w:sz w:val="15"/>
                <w:szCs w:val="15"/>
                <w:color w:val="auto"/>
              </w:rPr>
            </w:pPr>
          </w:p>
        </w:tc>
        <w:tc>
          <w:tcPr>
            <w:tcW w:w="7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Shares</w:t>
            </w:r>
          </w:p>
        </w:tc>
        <w:tc>
          <w:tcPr>
            <w:tcW w:w="3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3"/>
              </w:rPr>
              <w:t>Amount</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Capital</w:t>
            </w:r>
          </w:p>
        </w:tc>
        <w:tc>
          <w:tcPr>
            <w:tcW w:w="2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Deficit</w:t>
            </w: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b w:val="1"/>
                <w:bCs w:val="1"/>
                <w:color w:val="auto"/>
                <w:w w:val="97"/>
              </w:rPr>
              <w:t>Gain (Loss)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3"/>
                <w:szCs w:val="13"/>
                <w:b w:val="1"/>
                <w:bCs w:val="1"/>
                <w:color w:val="auto"/>
                <w:w w:val="91"/>
              </w:rPr>
              <w:t>Equity (Deficit)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940" w:type="dxa"/>
            <w:vAlign w:val="bottom"/>
            <w:gridSpan w:val="3"/>
            <w:shd w:val="clear" w:color="auto" w:fill="CFF0FC"/>
          </w:tcPr>
          <w:p>
            <w:pPr>
              <w:ind w:left="20"/>
              <w:spacing w:after="0"/>
              <w:rPr>
                <w:sz w:val="20"/>
                <w:szCs w:val="20"/>
                <w:color w:val="auto"/>
              </w:rPr>
            </w:pPr>
            <w:r>
              <w:rPr>
                <w:rFonts w:ascii="Arial" w:cs="Arial" w:eastAsia="Arial" w:hAnsi="Arial"/>
                <w:sz w:val="13"/>
                <w:szCs w:val="13"/>
                <w:b w:val="1"/>
                <w:bCs w:val="1"/>
                <w:color w:val="auto"/>
              </w:rPr>
              <w:t>Balance at December 31, 2019</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19,278,606</w:t>
            </w:r>
          </w:p>
        </w:tc>
        <w:tc>
          <w:tcPr>
            <w:tcW w:w="260" w:type="dxa"/>
            <w:vAlign w:val="bottom"/>
            <w:tcBorders>
              <w:left w:val="single" w:sz="8" w:color="CFF0FC"/>
            </w:tcBorders>
            <w:shd w:val="clear" w:color="auto" w:fill="CFF0FC"/>
          </w:tcPr>
          <w:p>
            <w:pPr>
              <w:spacing w:after="0"/>
              <w:rPr>
                <w:sz w:val="16"/>
                <w:szCs w:val="16"/>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178,058</w:t>
            </w:r>
          </w:p>
        </w:tc>
        <w:tc>
          <w:tcPr>
            <w:tcW w:w="220" w:type="dxa"/>
            <w:vAlign w:val="bottom"/>
            <w:tcBorders>
              <w:left w:val="single" w:sz="8" w:color="CFF0FC"/>
              <w:right w:val="single" w:sz="8" w:color="CFF0FC"/>
            </w:tcBorders>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1,984,222</w:t>
            </w:r>
          </w:p>
        </w:tc>
        <w:tc>
          <w:tcPr>
            <w:tcW w:w="380" w:type="dxa"/>
            <w:vAlign w:val="bottom"/>
            <w:tcBorders>
              <w:left w:val="single" w:sz="8" w:color="CFF0FC"/>
            </w:tcBorders>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2,606</w:t>
            </w:r>
          </w:p>
        </w:tc>
        <w:tc>
          <w:tcPr>
            <w:tcW w:w="260" w:type="dxa"/>
            <w:vAlign w:val="bottom"/>
            <w:tcBorders>
              <w:left w:val="single" w:sz="8" w:color="CFF0FC"/>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(92,690 )</w:t>
            </w:r>
          </w:p>
        </w:tc>
        <w:tc>
          <w:tcPr>
            <w:tcW w:w="120" w:type="dxa"/>
            <w:vAlign w:val="bottom"/>
            <w:gridSpan w:val="2"/>
            <w:shd w:val="clear" w:color="auto" w:fill="CFF0FC"/>
          </w:tcPr>
          <w:p>
            <w:pPr>
              <w:ind w:left="60"/>
              <w:spacing w:after="0"/>
              <w:rPr>
                <w:sz w:val="20"/>
                <w:szCs w:val="20"/>
                <w:color w:val="auto"/>
              </w:rPr>
            </w:pPr>
            <w:r>
              <w:rPr>
                <w:rFonts w:ascii="Arial" w:cs="Arial" w:eastAsia="Arial" w:hAnsi="Arial"/>
                <w:sz w:val="10"/>
                <w:szCs w:val="10"/>
                <w:color w:val="auto"/>
                <w:w w:val="71"/>
              </w:rPr>
              <w:t>$</w:t>
            </w:r>
          </w:p>
        </w:tc>
        <w:tc>
          <w:tcPr>
            <w:tcW w:w="1020" w:type="dxa"/>
            <w:vAlign w:val="bottom"/>
            <w:gridSpan w:val="3"/>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ind w:left="20"/>
              <w:spacing w:after="0"/>
              <w:rPr>
                <w:sz w:val="20"/>
                <w:szCs w:val="20"/>
                <w:color w:val="auto"/>
              </w:rPr>
            </w:pPr>
            <w:r>
              <w:rPr>
                <w:rFonts w:ascii="Arial" w:cs="Arial" w:eastAsia="Arial" w:hAnsi="Arial"/>
                <w:sz w:val="10"/>
                <w:szCs w:val="10"/>
                <w:color w:val="auto"/>
                <w:w w:val="71"/>
              </w:rPr>
              <w:t>$</w:t>
            </w:r>
          </w:p>
        </w:tc>
        <w:tc>
          <w:tcPr>
            <w:tcW w:w="960" w:type="dxa"/>
            <w:vAlign w:val="bottom"/>
            <w:gridSpan w:val="3"/>
            <w:shd w:val="clear" w:color="auto" w:fill="CFF0FC"/>
          </w:tcPr>
          <w:p>
            <w:pPr>
              <w:jc w:val="right"/>
              <w:ind w:right="60"/>
              <w:spacing w:after="0"/>
              <w:rPr>
                <w:sz w:val="20"/>
                <w:szCs w:val="20"/>
                <w:color w:val="auto"/>
              </w:rPr>
            </w:pPr>
            <w:r>
              <w:rPr>
                <w:rFonts w:ascii="Arial" w:cs="Arial" w:eastAsia="Arial" w:hAnsi="Arial"/>
                <w:sz w:val="13"/>
                <w:szCs w:val="13"/>
                <w:color w:val="auto"/>
              </w:rPr>
              <w:t>(90,084 )</w:t>
            </w:r>
          </w:p>
        </w:tc>
        <w:tc>
          <w:tcPr>
            <w:tcW w:w="0" w:type="dxa"/>
            <w:vAlign w:val="bottom"/>
          </w:tcPr>
          <w:p>
            <w:pPr>
              <w:spacing w:after="0"/>
              <w:rPr>
                <w:sz w:val="1"/>
                <w:szCs w:val="1"/>
                <w:color w:val="auto"/>
              </w:rPr>
            </w:pPr>
          </w:p>
        </w:tc>
      </w:tr>
      <w:tr>
        <w:trPr>
          <w:trHeight w:val="181"/>
        </w:trPr>
        <w:tc>
          <w:tcPr>
            <w:tcW w:w="120" w:type="dxa"/>
            <w:vAlign w:val="bottom"/>
          </w:tcPr>
          <w:p>
            <w:pPr>
              <w:spacing w:after="0"/>
              <w:rPr>
                <w:sz w:val="15"/>
                <w:szCs w:val="15"/>
                <w:color w:val="auto"/>
              </w:rPr>
            </w:pPr>
          </w:p>
        </w:tc>
        <w:tc>
          <w:tcPr>
            <w:tcW w:w="2820" w:type="dxa"/>
            <w:vAlign w:val="bottom"/>
            <w:gridSpan w:val="2"/>
          </w:tcPr>
          <w:p>
            <w:pPr>
              <w:ind w:left="40"/>
              <w:spacing w:after="0"/>
              <w:rPr>
                <w:sz w:val="20"/>
                <w:szCs w:val="20"/>
                <w:color w:val="auto"/>
              </w:rPr>
            </w:pPr>
            <w:r>
              <w:rPr>
                <w:rFonts w:ascii="Arial" w:cs="Arial" w:eastAsia="Arial" w:hAnsi="Arial"/>
                <w:sz w:val="13"/>
                <w:szCs w:val="13"/>
                <w:color w:val="auto"/>
              </w:rPr>
              <w:t>Exercise of common stock options</w:t>
            </w:r>
          </w:p>
        </w:tc>
        <w:tc>
          <w:tcPr>
            <w:tcW w:w="9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13,433</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20" w:type="dxa"/>
            <w:vAlign w:val="bottom"/>
            <w:shd w:val="clear" w:color="auto" w:fill="CFF0FC"/>
          </w:tcPr>
          <w:p>
            <w:pPr>
              <w:spacing w:after="0"/>
              <w:rPr>
                <w:sz w:val="17"/>
                <w:szCs w:val="17"/>
                <w:color w:val="auto"/>
              </w:rPr>
            </w:pPr>
          </w:p>
        </w:tc>
        <w:tc>
          <w:tcPr>
            <w:tcW w:w="282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rPr>
              <w:t>Stock-based compensation expense</w:t>
            </w:r>
          </w:p>
        </w:tc>
        <w:tc>
          <w:tcPr>
            <w:tcW w:w="96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00" w:type="dxa"/>
            <w:vAlign w:val="bottom"/>
            <w:tcBorders>
              <w:left w:val="single" w:sz="8" w:color="CFF0FC"/>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527</w:t>
            </w:r>
          </w:p>
        </w:tc>
        <w:tc>
          <w:tcPr>
            <w:tcW w:w="260" w:type="dxa"/>
            <w:vAlign w:val="bottom"/>
            <w:tcBorders>
              <w:left w:val="single" w:sz="8" w:color="CFF0FC"/>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20" w:type="dxa"/>
            <w:vAlign w:val="bottom"/>
            <w:gridSpan w:val="3"/>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527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120" w:type="dxa"/>
            <w:vAlign w:val="bottom"/>
          </w:tcPr>
          <w:p>
            <w:pPr>
              <w:spacing w:after="0"/>
              <w:rPr>
                <w:sz w:val="15"/>
                <w:szCs w:val="15"/>
                <w:color w:val="auto"/>
              </w:rPr>
            </w:pPr>
          </w:p>
        </w:tc>
        <w:tc>
          <w:tcPr>
            <w:tcW w:w="2740" w:type="dxa"/>
            <w:vAlign w:val="bottom"/>
          </w:tcPr>
          <w:p>
            <w:pPr>
              <w:ind w:left="40"/>
              <w:spacing w:after="0"/>
              <w:rPr>
                <w:sz w:val="20"/>
                <w:szCs w:val="20"/>
                <w:color w:val="auto"/>
              </w:rPr>
            </w:pPr>
            <w:r>
              <w:rPr>
                <w:rFonts w:ascii="Arial" w:cs="Arial" w:eastAsia="Arial" w:hAnsi="Arial"/>
                <w:sz w:val="13"/>
                <w:szCs w:val="13"/>
                <w:color w:val="auto"/>
              </w:rPr>
              <w:t>Net loss</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(8,872 )</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3"/>
                <w:szCs w:val="13"/>
                <w:color w:val="auto"/>
              </w:rPr>
              <w:t>(8,872 )</w:t>
            </w:r>
          </w:p>
        </w:tc>
        <w:tc>
          <w:tcPr>
            <w:tcW w:w="0" w:type="dxa"/>
            <w:vAlign w:val="bottom"/>
          </w:tcPr>
          <w:p>
            <w:pPr>
              <w:spacing w:after="0"/>
              <w:rPr>
                <w:sz w:val="1"/>
                <w:szCs w:val="1"/>
                <w:color w:val="auto"/>
              </w:rPr>
            </w:pPr>
          </w:p>
        </w:tc>
      </w:tr>
      <w:tr>
        <w:trPr>
          <w:trHeight w:val="21"/>
        </w:trPr>
        <w:tc>
          <w:tcPr>
            <w:tcW w:w="286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60" w:type="dxa"/>
            <w:vAlign w:val="bottom"/>
            <w:gridSpan w:val="2"/>
            <w:shd w:val="clear" w:color="auto" w:fill="CFF0FC"/>
          </w:tcPr>
          <w:p>
            <w:pPr>
              <w:ind w:left="20"/>
              <w:spacing w:after="0"/>
              <w:rPr>
                <w:sz w:val="20"/>
                <w:szCs w:val="20"/>
                <w:color w:val="auto"/>
              </w:rPr>
            </w:pPr>
            <w:r>
              <w:rPr>
                <w:rFonts w:ascii="Arial" w:cs="Arial" w:eastAsia="Arial" w:hAnsi="Arial"/>
                <w:sz w:val="13"/>
                <w:szCs w:val="13"/>
                <w:b w:val="1"/>
                <w:bCs w:val="1"/>
                <w:color w:val="auto"/>
              </w:rPr>
              <w:t>Balance at March 31, 2020</w:t>
            </w: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19,278,606</w:t>
            </w:r>
          </w:p>
        </w:tc>
        <w:tc>
          <w:tcPr>
            <w:tcW w:w="260" w:type="dxa"/>
            <w:vAlign w:val="bottom"/>
            <w:tcBorders>
              <w:left w:val="single" w:sz="8" w:color="CFF0FC"/>
            </w:tcBorders>
            <w:shd w:val="clear" w:color="auto" w:fill="CFF0FC"/>
          </w:tcPr>
          <w:p>
            <w:pPr>
              <w:spacing w:after="0"/>
              <w:rPr>
                <w:sz w:val="15"/>
                <w:szCs w:val="15"/>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178,058</w:t>
            </w:r>
          </w:p>
        </w:tc>
        <w:tc>
          <w:tcPr>
            <w:tcW w:w="220" w:type="dxa"/>
            <w:vAlign w:val="bottom"/>
            <w:tcBorders>
              <w:left w:val="single" w:sz="8" w:color="CFF0FC"/>
              <w:right w:val="single" w:sz="8" w:color="CFF0FC"/>
            </w:tcBorders>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1,997,655</w:t>
            </w:r>
          </w:p>
        </w:tc>
        <w:tc>
          <w:tcPr>
            <w:tcW w:w="300" w:type="dxa"/>
            <w:vAlign w:val="bottom"/>
            <w:tcBorders>
              <w:left w:val="single" w:sz="8" w:color="CFF0FC"/>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3,145</w:t>
            </w:r>
          </w:p>
        </w:tc>
        <w:tc>
          <w:tcPr>
            <w:tcW w:w="260" w:type="dxa"/>
            <w:vAlign w:val="bottom"/>
            <w:tcBorders>
              <w:left w:val="single" w:sz="8" w:color="CFF0FC"/>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(101,562 )</w:t>
            </w:r>
          </w:p>
        </w:tc>
        <w:tc>
          <w:tcPr>
            <w:tcW w:w="120" w:type="dxa"/>
            <w:vAlign w:val="bottom"/>
            <w:gridSpan w:val="2"/>
            <w:shd w:val="clear" w:color="auto" w:fill="CFF0FC"/>
          </w:tcPr>
          <w:p>
            <w:pPr>
              <w:ind w:left="60"/>
              <w:spacing w:after="0"/>
              <w:rPr>
                <w:sz w:val="20"/>
                <w:szCs w:val="20"/>
                <w:color w:val="auto"/>
              </w:rPr>
            </w:pPr>
            <w:r>
              <w:rPr>
                <w:rFonts w:ascii="Arial" w:cs="Arial" w:eastAsia="Arial" w:hAnsi="Arial"/>
                <w:sz w:val="10"/>
                <w:szCs w:val="10"/>
                <w:color w:val="auto"/>
                <w:w w:val="71"/>
              </w:rPr>
              <w:t>$</w:t>
            </w:r>
          </w:p>
        </w:tc>
        <w:tc>
          <w:tcPr>
            <w:tcW w:w="1020" w:type="dxa"/>
            <w:vAlign w:val="bottom"/>
            <w:gridSpan w:val="3"/>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ind w:left="20"/>
              <w:spacing w:after="0"/>
              <w:rPr>
                <w:sz w:val="20"/>
                <w:szCs w:val="20"/>
                <w:color w:val="auto"/>
              </w:rPr>
            </w:pPr>
            <w:r>
              <w:rPr>
                <w:rFonts w:ascii="Arial" w:cs="Arial" w:eastAsia="Arial" w:hAnsi="Arial"/>
                <w:sz w:val="10"/>
                <w:szCs w:val="10"/>
                <w:color w:val="auto"/>
                <w:w w:val="71"/>
              </w:rPr>
              <w:t>$</w:t>
            </w:r>
          </w:p>
        </w:tc>
        <w:tc>
          <w:tcPr>
            <w:tcW w:w="960" w:type="dxa"/>
            <w:vAlign w:val="bottom"/>
            <w:gridSpan w:val="3"/>
            <w:shd w:val="clear" w:color="auto" w:fill="CFF0FC"/>
          </w:tcPr>
          <w:p>
            <w:pPr>
              <w:jc w:val="right"/>
              <w:ind w:right="60"/>
              <w:spacing w:after="0"/>
              <w:rPr>
                <w:sz w:val="20"/>
                <w:szCs w:val="20"/>
                <w:color w:val="auto"/>
              </w:rPr>
            </w:pPr>
            <w:r>
              <w:rPr>
                <w:rFonts w:ascii="Arial" w:cs="Arial" w:eastAsia="Arial" w:hAnsi="Arial"/>
                <w:sz w:val="13"/>
                <w:szCs w:val="13"/>
                <w:color w:val="auto"/>
              </w:rPr>
              <w:t>(98,417 )</w:t>
            </w:r>
          </w:p>
        </w:tc>
        <w:tc>
          <w:tcPr>
            <w:tcW w:w="0" w:type="dxa"/>
            <w:vAlign w:val="bottom"/>
          </w:tcPr>
          <w:p>
            <w:pPr>
              <w:spacing w:after="0"/>
              <w:rPr>
                <w:sz w:val="1"/>
                <w:szCs w:val="1"/>
                <w:color w:val="auto"/>
              </w:rPr>
            </w:pPr>
          </w:p>
        </w:tc>
      </w:tr>
      <w:tr>
        <w:trPr>
          <w:trHeight w:val="181"/>
        </w:trPr>
        <w:tc>
          <w:tcPr>
            <w:tcW w:w="120" w:type="dxa"/>
            <w:vAlign w:val="bottom"/>
            <w:tcBorders>
              <w:top w:val="single" w:sz="8" w:color="CFF0FC"/>
            </w:tcBorders>
          </w:tcPr>
          <w:p>
            <w:pPr>
              <w:spacing w:after="0"/>
              <w:rPr>
                <w:sz w:val="15"/>
                <w:szCs w:val="15"/>
                <w:color w:val="auto"/>
              </w:rPr>
            </w:pPr>
          </w:p>
        </w:tc>
        <w:tc>
          <w:tcPr>
            <w:tcW w:w="2740" w:type="dxa"/>
            <w:vAlign w:val="bottom"/>
            <w:tcBorders>
              <w:top w:val="single" w:sz="8" w:color="CFF0FC"/>
            </w:tcBorders>
          </w:tcPr>
          <w:p>
            <w:pPr>
              <w:ind w:left="40"/>
              <w:spacing w:after="0"/>
              <w:rPr>
                <w:sz w:val="20"/>
                <w:szCs w:val="20"/>
                <w:color w:val="auto"/>
              </w:rPr>
            </w:pPr>
            <w:r>
              <w:rPr>
                <w:rFonts w:ascii="Arial" w:cs="Arial" w:eastAsia="Arial" w:hAnsi="Arial"/>
                <w:sz w:val="13"/>
                <w:szCs w:val="13"/>
                <w:color w:val="auto"/>
              </w:rPr>
              <w:t>Exercise of common stock options</w:t>
            </w:r>
          </w:p>
        </w:tc>
        <w:tc>
          <w:tcPr>
            <w:tcW w:w="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top w:val="single" w:sz="8" w:color="CFF0FC"/>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top w:val="single" w:sz="8" w:color="CFF0FC"/>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23,200</w:t>
            </w:r>
          </w:p>
        </w:tc>
        <w:tc>
          <w:tcPr>
            <w:tcW w:w="300" w:type="dxa"/>
            <w:vAlign w:val="bottom"/>
            <w:tcBorders>
              <w:top w:val="single" w:sz="8" w:color="CFF0FC"/>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39</w:t>
            </w:r>
          </w:p>
        </w:tc>
        <w:tc>
          <w:tcPr>
            <w:tcW w:w="260" w:type="dxa"/>
            <w:vAlign w:val="bottom"/>
            <w:tcBorders>
              <w:top w:val="single" w:sz="8" w:color="CFF0FC"/>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top w:val="single" w:sz="8" w:color="CFF0FC"/>
            </w:tcBorders>
          </w:tcPr>
          <w:p>
            <w:pPr>
              <w:spacing w:after="0"/>
              <w:rPr>
                <w:sz w:val="15"/>
                <w:szCs w:val="15"/>
                <w:color w:val="auto"/>
              </w:rPr>
            </w:pPr>
          </w:p>
        </w:tc>
        <w:tc>
          <w:tcPr>
            <w:tcW w:w="40" w:type="dxa"/>
            <w:vAlign w:val="bottom"/>
            <w:tcBorders>
              <w:top w:val="single" w:sz="8" w:color="CFF0FC"/>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w:t>
            </w:r>
          </w:p>
        </w:tc>
        <w:tc>
          <w:tcPr>
            <w:tcW w:w="16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39</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20" w:type="dxa"/>
            <w:vAlign w:val="bottom"/>
            <w:shd w:val="clear" w:color="auto" w:fill="CFF0FC"/>
          </w:tcPr>
          <w:p>
            <w:pPr>
              <w:spacing w:after="0"/>
              <w:rPr>
                <w:sz w:val="17"/>
                <w:szCs w:val="17"/>
                <w:color w:val="auto"/>
              </w:rPr>
            </w:pPr>
          </w:p>
        </w:tc>
        <w:tc>
          <w:tcPr>
            <w:tcW w:w="282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rPr>
              <w:t>Stock-based compensation expense</w:t>
            </w:r>
          </w:p>
        </w:tc>
        <w:tc>
          <w:tcPr>
            <w:tcW w:w="96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00" w:type="dxa"/>
            <w:vAlign w:val="bottom"/>
            <w:tcBorders>
              <w:left w:val="single" w:sz="8" w:color="CFF0FC"/>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1,381</w:t>
            </w:r>
          </w:p>
        </w:tc>
        <w:tc>
          <w:tcPr>
            <w:tcW w:w="260" w:type="dxa"/>
            <w:vAlign w:val="bottom"/>
            <w:tcBorders>
              <w:left w:val="single" w:sz="8" w:color="CFF0FC"/>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20" w:type="dxa"/>
            <w:vAlign w:val="bottom"/>
            <w:gridSpan w:val="3"/>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1,381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120" w:type="dxa"/>
            <w:vAlign w:val="bottom"/>
          </w:tcPr>
          <w:p>
            <w:pPr>
              <w:spacing w:after="0"/>
              <w:rPr>
                <w:sz w:val="15"/>
                <w:szCs w:val="15"/>
                <w:color w:val="auto"/>
              </w:rPr>
            </w:pPr>
          </w:p>
        </w:tc>
        <w:tc>
          <w:tcPr>
            <w:tcW w:w="2820" w:type="dxa"/>
            <w:vAlign w:val="bottom"/>
            <w:gridSpan w:val="2"/>
          </w:tcPr>
          <w:p>
            <w:pPr>
              <w:ind w:left="40"/>
              <w:spacing w:after="0"/>
              <w:rPr>
                <w:sz w:val="20"/>
                <w:szCs w:val="20"/>
                <w:color w:val="auto"/>
              </w:rPr>
            </w:pPr>
            <w:r>
              <w:rPr>
                <w:rFonts w:ascii="Arial" w:cs="Arial" w:eastAsia="Arial" w:hAnsi="Arial"/>
                <w:sz w:val="13"/>
                <w:szCs w:val="13"/>
                <w:color w:val="auto"/>
              </w:rPr>
              <w:t>Initial public offering of common stock</w:t>
            </w:r>
          </w:p>
        </w:tc>
        <w:tc>
          <w:tcPr>
            <w:tcW w:w="9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8,625,000</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137,999</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3"/>
                <w:szCs w:val="13"/>
                <w:color w:val="auto"/>
              </w:rPr>
              <w:t>138,000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20" w:type="dxa"/>
            <w:vAlign w:val="bottom"/>
            <w:shd w:val="clear" w:color="auto" w:fill="CFF0FC"/>
          </w:tcPr>
          <w:p>
            <w:pPr>
              <w:spacing w:after="0"/>
              <w:rPr>
                <w:sz w:val="15"/>
                <w:szCs w:val="15"/>
                <w:color w:val="auto"/>
              </w:rPr>
            </w:pPr>
          </w:p>
        </w:tc>
        <w:tc>
          <w:tcPr>
            <w:tcW w:w="282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rPr>
              <w:t>Issuance costs associated with initial public</w:t>
            </w:r>
          </w:p>
        </w:tc>
        <w:tc>
          <w:tcPr>
            <w:tcW w:w="700" w:type="dxa"/>
            <w:vAlign w:val="bottom"/>
            <w:shd w:val="clear" w:color="auto" w:fill="CFF0FC"/>
          </w:tcPr>
          <w:p>
            <w:pPr>
              <w:spacing w:after="0"/>
              <w:rPr>
                <w:sz w:val="15"/>
                <w:szCs w:val="15"/>
                <w:color w:val="auto"/>
              </w:rPr>
            </w:pPr>
          </w:p>
        </w:tc>
        <w:tc>
          <w:tcPr>
            <w:tcW w:w="260" w:type="dxa"/>
            <w:vAlign w:val="bottom"/>
            <w:tcBorders>
              <w:left w:val="single" w:sz="8" w:color="CFF0FC"/>
            </w:tcBorders>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20" w:type="dxa"/>
            <w:vAlign w:val="bottom"/>
            <w:tcBorders>
              <w:left w:val="single" w:sz="8" w:color="CFF0FC"/>
              <w:right w:val="single" w:sz="8" w:color="CFF0FC"/>
            </w:tcBorders>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300" w:type="dxa"/>
            <w:vAlign w:val="bottom"/>
            <w:tcBorders>
              <w:left w:val="single" w:sz="8" w:color="CFF0FC"/>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60" w:type="dxa"/>
            <w:vAlign w:val="bottom"/>
            <w:tcBorders>
              <w:left w:val="single" w:sz="8" w:color="CFF0FC"/>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60" w:type="dxa"/>
            <w:vAlign w:val="bottom"/>
            <w:tcBorders>
              <w:left w:val="single" w:sz="8" w:color="CFF0FC"/>
            </w:tcBorders>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20" w:type="dxa"/>
            <w:vAlign w:val="bottom"/>
            <w:shd w:val="clear" w:color="auto" w:fill="CFF0FC"/>
          </w:tcPr>
          <w:p>
            <w:pPr>
              <w:spacing w:after="0"/>
              <w:rPr>
                <w:sz w:val="15"/>
                <w:szCs w:val="15"/>
                <w:color w:val="auto"/>
              </w:rPr>
            </w:pPr>
          </w:p>
        </w:tc>
        <w:tc>
          <w:tcPr>
            <w:tcW w:w="282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rPr>
              <w:t>offering</w:t>
            </w:r>
          </w:p>
        </w:tc>
        <w:tc>
          <w:tcPr>
            <w:tcW w:w="96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00" w:type="dxa"/>
            <w:vAlign w:val="bottom"/>
            <w:tcBorders>
              <w:left w:val="single" w:sz="8" w:color="CFF0FC"/>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(12,790 )</w:t>
            </w:r>
          </w:p>
        </w:tc>
        <w:tc>
          <w:tcPr>
            <w:tcW w:w="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20" w:type="dxa"/>
            <w:vAlign w:val="bottom"/>
            <w:gridSpan w:val="3"/>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60" w:type="dxa"/>
            <w:vAlign w:val="bottom"/>
            <w:gridSpan w:val="3"/>
            <w:shd w:val="clear" w:color="auto" w:fill="CFF0FC"/>
          </w:tcPr>
          <w:p>
            <w:pPr>
              <w:jc w:val="right"/>
              <w:ind w:right="60"/>
              <w:spacing w:after="0"/>
              <w:rPr>
                <w:sz w:val="20"/>
                <w:szCs w:val="20"/>
                <w:color w:val="auto"/>
              </w:rPr>
            </w:pPr>
            <w:r>
              <w:rPr>
                <w:rFonts w:ascii="Arial" w:cs="Arial" w:eastAsia="Arial" w:hAnsi="Arial"/>
                <w:sz w:val="13"/>
                <w:szCs w:val="13"/>
                <w:color w:val="auto"/>
              </w:rPr>
              <w:t>(12,790 )</w:t>
            </w:r>
          </w:p>
        </w:tc>
        <w:tc>
          <w:tcPr>
            <w:tcW w:w="0" w:type="dxa"/>
            <w:vAlign w:val="bottom"/>
          </w:tcPr>
          <w:p>
            <w:pPr>
              <w:spacing w:after="0"/>
              <w:rPr>
                <w:sz w:val="1"/>
                <w:szCs w:val="1"/>
                <w:color w:val="auto"/>
              </w:rPr>
            </w:pPr>
          </w:p>
        </w:tc>
      </w:tr>
      <w:tr>
        <w:trPr>
          <w:trHeight w:val="181"/>
        </w:trPr>
        <w:tc>
          <w:tcPr>
            <w:tcW w:w="120" w:type="dxa"/>
            <w:vAlign w:val="bottom"/>
          </w:tcPr>
          <w:p>
            <w:pPr>
              <w:spacing w:after="0"/>
              <w:rPr>
                <w:sz w:val="15"/>
                <w:szCs w:val="15"/>
                <w:color w:val="auto"/>
              </w:rPr>
            </w:pPr>
          </w:p>
        </w:tc>
        <w:tc>
          <w:tcPr>
            <w:tcW w:w="2820" w:type="dxa"/>
            <w:vAlign w:val="bottom"/>
            <w:gridSpan w:val="2"/>
          </w:tcPr>
          <w:p>
            <w:pPr>
              <w:ind w:left="40"/>
              <w:spacing w:after="0"/>
              <w:rPr>
                <w:sz w:val="20"/>
                <w:szCs w:val="20"/>
                <w:color w:val="auto"/>
              </w:rPr>
            </w:pPr>
            <w:r>
              <w:rPr>
                <w:rFonts w:ascii="Arial" w:cs="Arial" w:eastAsia="Arial" w:hAnsi="Arial"/>
                <w:sz w:val="13"/>
                <w:szCs w:val="13"/>
                <w:color w:val="auto"/>
              </w:rPr>
              <w:t>Conversion to common stock</w:t>
            </w: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w w:val="95"/>
              </w:rPr>
              <w:t>(19,278,606 )</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(178,058 )</w:t>
            </w:r>
          </w:p>
        </w:tc>
        <w:tc>
          <w:tcPr>
            <w:tcW w:w="700" w:type="dxa"/>
            <w:vAlign w:val="bottom"/>
          </w:tcPr>
          <w:p>
            <w:pPr>
              <w:jc w:val="right"/>
              <w:spacing w:after="0"/>
              <w:rPr>
                <w:sz w:val="20"/>
                <w:szCs w:val="20"/>
                <w:color w:val="auto"/>
              </w:rPr>
            </w:pPr>
            <w:r>
              <w:rPr>
                <w:rFonts w:ascii="Arial" w:cs="Arial" w:eastAsia="Arial" w:hAnsi="Arial"/>
                <w:sz w:val="13"/>
                <w:szCs w:val="13"/>
                <w:color w:val="auto"/>
              </w:rPr>
              <w:t>19,278,606</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178,056</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3"/>
                <w:szCs w:val="13"/>
                <w:color w:val="auto"/>
              </w:rPr>
              <w:t>178,058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CFF0FC"/>
          </w:tcPr>
          <w:p>
            <w:pPr>
              <w:spacing w:after="0"/>
              <w:rPr>
                <w:sz w:val="16"/>
                <w:szCs w:val="16"/>
                <w:color w:val="auto"/>
              </w:rPr>
            </w:pPr>
          </w:p>
        </w:tc>
        <w:tc>
          <w:tcPr>
            <w:tcW w:w="2740" w:type="dxa"/>
            <w:vAlign w:val="bottom"/>
            <w:shd w:val="clear" w:color="auto" w:fill="CFF0FC"/>
          </w:tcPr>
          <w:p>
            <w:pPr>
              <w:ind w:left="40"/>
              <w:spacing w:after="0"/>
              <w:rPr>
                <w:sz w:val="20"/>
                <w:szCs w:val="20"/>
                <w:color w:val="auto"/>
              </w:rPr>
            </w:pPr>
            <w:r>
              <w:rPr>
                <w:rFonts w:ascii="Arial" w:cs="Arial" w:eastAsia="Arial" w:hAnsi="Arial"/>
                <w:sz w:val="13"/>
                <w:szCs w:val="13"/>
                <w:color w:val="auto"/>
              </w:rPr>
              <w:t>Net loss</w:t>
            </w:r>
          </w:p>
        </w:tc>
        <w:tc>
          <w:tcPr>
            <w:tcW w:w="8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left w:val="single" w:sz="8" w:color="CFF0FC"/>
            </w:tcBorders>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left w:val="single" w:sz="8" w:color="CFF0FC"/>
              <w:right w:val="single" w:sz="8" w:color="CFF0FC"/>
            </w:tcBorders>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00" w:type="dxa"/>
            <w:vAlign w:val="bottom"/>
            <w:tcBorders>
              <w:left w:val="single" w:sz="8" w:color="CFF0FC"/>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left w:val="single" w:sz="8" w:color="CFF0FC"/>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(11,024 )</w:t>
            </w: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20" w:type="dxa"/>
            <w:vAlign w:val="bottom"/>
            <w:gridSpan w:val="3"/>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60" w:type="dxa"/>
            <w:vAlign w:val="bottom"/>
            <w:gridSpan w:val="3"/>
            <w:shd w:val="clear" w:color="auto" w:fill="CFF0FC"/>
          </w:tcPr>
          <w:p>
            <w:pPr>
              <w:jc w:val="right"/>
              <w:ind w:right="60"/>
              <w:spacing w:after="0"/>
              <w:rPr>
                <w:sz w:val="20"/>
                <w:szCs w:val="20"/>
                <w:color w:val="auto"/>
              </w:rPr>
            </w:pPr>
            <w:r>
              <w:rPr>
                <w:rFonts w:ascii="Arial" w:cs="Arial" w:eastAsia="Arial" w:hAnsi="Arial"/>
                <w:sz w:val="13"/>
                <w:szCs w:val="13"/>
                <w:color w:val="auto"/>
              </w:rPr>
              <w:t>(11,024 )</w:t>
            </w:r>
          </w:p>
        </w:tc>
        <w:tc>
          <w:tcPr>
            <w:tcW w:w="0" w:type="dxa"/>
            <w:vAlign w:val="bottom"/>
          </w:tcPr>
          <w:p>
            <w:pPr>
              <w:spacing w:after="0"/>
              <w:rPr>
                <w:sz w:val="1"/>
                <w:szCs w:val="1"/>
                <w:color w:val="auto"/>
              </w:rPr>
            </w:pPr>
          </w:p>
        </w:tc>
      </w:tr>
      <w:tr>
        <w:trPr>
          <w:trHeight w:val="22"/>
        </w:trPr>
        <w:tc>
          <w:tcPr>
            <w:tcW w:w="120" w:type="dxa"/>
            <w:vAlign w:val="bottom"/>
            <w:shd w:val="clear" w:color="auto" w:fill="CFF0FC"/>
          </w:tcPr>
          <w:p>
            <w:pPr>
              <w:spacing w:after="0" w:line="20" w:lineRule="exact"/>
              <w:rPr>
                <w:sz w:val="1"/>
                <w:szCs w:val="1"/>
                <w:color w:val="auto"/>
              </w:rPr>
            </w:pPr>
          </w:p>
        </w:tc>
        <w:tc>
          <w:tcPr>
            <w:tcW w:w="27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Borders>
              <w:left w:val="single" w:sz="8" w:color="CFF0FC"/>
            </w:tcBorders>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60" w:type="dxa"/>
            <w:vAlign w:val="bottom"/>
            <w:gridSpan w:val="2"/>
          </w:tcPr>
          <w:p>
            <w:pPr>
              <w:ind w:left="20"/>
              <w:spacing w:after="0"/>
              <w:rPr>
                <w:sz w:val="20"/>
                <w:szCs w:val="20"/>
                <w:color w:val="auto"/>
              </w:rPr>
            </w:pPr>
            <w:r>
              <w:rPr>
                <w:rFonts w:ascii="Arial" w:cs="Arial" w:eastAsia="Arial" w:hAnsi="Arial"/>
                <w:sz w:val="13"/>
                <w:szCs w:val="13"/>
                <w:b w:val="1"/>
                <w:bCs w:val="1"/>
                <w:color w:val="auto"/>
              </w:rPr>
              <w:t>Balance at June 30, 2020</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14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29,924,461</w:t>
            </w:r>
          </w:p>
        </w:tc>
        <w:tc>
          <w:tcPr>
            <w:tcW w:w="3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w:t>
            </w:r>
          </w:p>
        </w:tc>
        <w:tc>
          <w:tcPr>
            <w:tcW w:w="2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307,830</w:t>
            </w:r>
          </w:p>
        </w:tc>
        <w:tc>
          <w:tcPr>
            <w:tcW w:w="2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(112,586 )</w:t>
            </w:r>
          </w:p>
        </w:tc>
        <w:tc>
          <w:tcPr>
            <w:tcW w:w="120" w:type="dxa"/>
            <w:vAlign w:val="bottom"/>
            <w:gridSpan w:val="2"/>
          </w:tcPr>
          <w:p>
            <w:pPr>
              <w:ind w:left="60"/>
              <w:spacing w:after="0"/>
              <w:rPr>
                <w:sz w:val="20"/>
                <w:szCs w:val="20"/>
                <w:color w:val="auto"/>
              </w:rPr>
            </w:pPr>
            <w:r>
              <w:rPr>
                <w:rFonts w:ascii="Arial" w:cs="Arial" w:eastAsia="Arial" w:hAnsi="Arial"/>
                <w:sz w:val="10"/>
                <w:szCs w:val="10"/>
                <w:color w:val="auto"/>
                <w:w w:val="71"/>
              </w:rPr>
              <w:t>$</w:t>
            </w:r>
          </w:p>
        </w:tc>
        <w:tc>
          <w:tcPr>
            <w:tcW w:w="102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20"/>
              <w:spacing w:after="0"/>
              <w:rPr>
                <w:sz w:val="20"/>
                <w:szCs w:val="20"/>
                <w:color w:val="auto"/>
              </w:rPr>
            </w:pPr>
            <w:r>
              <w:rPr>
                <w:rFonts w:ascii="Arial" w:cs="Arial" w:eastAsia="Arial" w:hAnsi="Arial"/>
                <w:sz w:val="13"/>
                <w:szCs w:val="13"/>
                <w:color w:val="auto"/>
              </w:rPr>
              <w:t>195,247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CFF0FC"/>
          </w:tcPr>
          <w:p>
            <w:pPr>
              <w:spacing w:after="0"/>
              <w:rPr>
                <w:sz w:val="16"/>
                <w:szCs w:val="16"/>
                <w:color w:val="auto"/>
              </w:rPr>
            </w:pPr>
          </w:p>
        </w:tc>
        <w:tc>
          <w:tcPr>
            <w:tcW w:w="2740" w:type="dxa"/>
            <w:vAlign w:val="bottom"/>
            <w:shd w:val="clear" w:color="auto" w:fill="CFF0FC"/>
          </w:tcPr>
          <w:p>
            <w:pPr>
              <w:ind w:left="40"/>
              <w:spacing w:after="0"/>
              <w:rPr>
                <w:sz w:val="20"/>
                <w:szCs w:val="20"/>
                <w:color w:val="auto"/>
              </w:rPr>
            </w:pPr>
            <w:r>
              <w:rPr>
                <w:rFonts w:ascii="Arial" w:cs="Arial" w:eastAsia="Arial" w:hAnsi="Arial"/>
                <w:sz w:val="13"/>
                <w:szCs w:val="13"/>
                <w:color w:val="auto"/>
              </w:rPr>
              <w:t>Exercise of common stock options</w:t>
            </w:r>
          </w:p>
        </w:tc>
        <w:tc>
          <w:tcPr>
            <w:tcW w:w="8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left w:val="single" w:sz="8" w:color="CFF0FC"/>
            </w:tcBorders>
            <w:shd w:val="clear" w:color="auto" w:fill="CFF0FC"/>
          </w:tcPr>
          <w:p>
            <w:pPr>
              <w:spacing w:after="0"/>
              <w:rPr>
                <w:sz w:val="16"/>
                <w:szCs w:val="16"/>
                <w:color w:val="auto"/>
              </w:rPr>
            </w:pPr>
          </w:p>
        </w:tc>
        <w:tc>
          <w:tcPr>
            <w:tcW w:w="6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left w:val="single" w:sz="8" w:color="CFF0FC"/>
              <w:right w:val="single" w:sz="8" w:color="CFF0FC"/>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32,469</w:t>
            </w:r>
          </w:p>
        </w:tc>
        <w:tc>
          <w:tcPr>
            <w:tcW w:w="300" w:type="dxa"/>
            <w:vAlign w:val="bottom"/>
            <w:tcBorders>
              <w:left w:val="single" w:sz="8" w:color="CFF0FC"/>
              <w:right w:val="single" w:sz="8" w:color="CFF0FC"/>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53</w:t>
            </w:r>
          </w:p>
        </w:tc>
        <w:tc>
          <w:tcPr>
            <w:tcW w:w="260" w:type="dxa"/>
            <w:vAlign w:val="bottom"/>
            <w:tcBorders>
              <w:left w:val="single" w:sz="8" w:color="CFF0FC"/>
              <w:right w:val="single" w:sz="8" w:color="CFF0FC"/>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left w:val="single" w:sz="8" w:color="CFF0FC"/>
            </w:tcBorders>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8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8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53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20" w:type="dxa"/>
            <w:vAlign w:val="bottom"/>
          </w:tcPr>
          <w:p>
            <w:pPr>
              <w:spacing w:after="0"/>
              <w:rPr>
                <w:sz w:val="15"/>
                <w:szCs w:val="15"/>
                <w:color w:val="auto"/>
              </w:rPr>
            </w:pPr>
          </w:p>
        </w:tc>
        <w:tc>
          <w:tcPr>
            <w:tcW w:w="2820" w:type="dxa"/>
            <w:vAlign w:val="bottom"/>
            <w:gridSpan w:val="2"/>
          </w:tcPr>
          <w:p>
            <w:pPr>
              <w:ind w:left="40"/>
              <w:spacing w:after="0"/>
              <w:rPr>
                <w:sz w:val="20"/>
                <w:szCs w:val="20"/>
                <w:color w:val="auto"/>
              </w:rPr>
            </w:pPr>
            <w:r>
              <w:rPr>
                <w:rFonts w:ascii="Arial" w:cs="Arial" w:eastAsia="Arial" w:hAnsi="Arial"/>
                <w:sz w:val="13"/>
                <w:szCs w:val="13"/>
                <w:color w:val="auto"/>
              </w:rPr>
              <w:t>Stock-based compensation expense</w:t>
            </w:r>
          </w:p>
        </w:tc>
        <w:tc>
          <w:tcPr>
            <w:tcW w:w="9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1,681</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3"/>
                <w:szCs w:val="13"/>
                <w:color w:val="auto"/>
              </w:rPr>
              <w:t>1,681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20" w:type="dxa"/>
            <w:vAlign w:val="bottom"/>
            <w:shd w:val="clear" w:color="auto" w:fill="CFF0FC"/>
          </w:tcPr>
          <w:p>
            <w:pPr>
              <w:spacing w:after="0"/>
              <w:rPr>
                <w:sz w:val="17"/>
                <w:szCs w:val="17"/>
                <w:color w:val="auto"/>
              </w:rPr>
            </w:pPr>
          </w:p>
        </w:tc>
        <w:tc>
          <w:tcPr>
            <w:tcW w:w="282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w w:val="99"/>
              </w:rPr>
              <w:t>Issuance of common stock related to acquisition</w:t>
            </w:r>
          </w:p>
        </w:tc>
        <w:tc>
          <w:tcPr>
            <w:tcW w:w="96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588,235</w:t>
            </w:r>
          </w:p>
        </w:tc>
        <w:tc>
          <w:tcPr>
            <w:tcW w:w="300" w:type="dxa"/>
            <w:vAlign w:val="bottom"/>
            <w:tcBorders>
              <w:left w:val="single" w:sz="8" w:color="CFF0FC"/>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12,971</w:t>
            </w:r>
          </w:p>
        </w:tc>
        <w:tc>
          <w:tcPr>
            <w:tcW w:w="260" w:type="dxa"/>
            <w:vAlign w:val="bottom"/>
            <w:tcBorders>
              <w:left w:val="single" w:sz="8" w:color="CFF0FC"/>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20" w:type="dxa"/>
            <w:vAlign w:val="bottom"/>
            <w:gridSpan w:val="3"/>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12,971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120" w:type="dxa"/>
            <w:vAlign w:val="bottom"/>
          </w:tcPr>
          <w:p>
            <w:pPr>
              <w:spacing w:after="0"/>
              <w:rPr>
                <w:sz w:val="15"/>
                <w:szCs w:val="15"/>
                <w:color w:val="auto"/>
              </w:rPr>
            </w:pPr>
          </w:p>
        </w:tc>
        <w:tc>
          <w:tcPr>
            <w:tcW w:w="2820" w:type="dxa"/>
            <w:vAlign w:val="bottom"/>
            <w:gridSpan w:val="2"/>
          </w:tcPr>
          <w:p>
            <w:pPr>
              <w:ind w:left="40"/>
              <w:spacing w:after="0"/>
              <w:rPr>
                <w:sz w:val="20"/>
                <w:szCs w:val="20"/>
                <w:color w:val="auto"/>
              </w:rPr>
            </w:pPr>
            <w:r>
              <w:rPr>
                <w:rFonts w:ascii="Arial" w:cs="Arial" w:eastAsia="Arial" w:hAnsi="Arial"/>
                <w:sz w:val="13"/>
                <w:szCs w:val="13"/>
                <w:color w:val="auto"/>
                <w:w w:val="97"/>
              </w:rPr>
              <w:t>Unrealized loss on available-for-sale investments</w:t>
            </w:r>
          </w:p>
        </w:tc>
        <w:tc>
          <w:tcPr>
            <w:tcW w:w="9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3"/>
                <w:szCs w:val="13"/>
                <w:color w:val="auto"/>
              </w:rPr>
              <w:t>(29 )</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3"/>
                <w:szCs w:val="13"/>
                <w:color w:val="auto"/>
              </w:rPr>
              <w:t>(29 )</w:t>
            </w:r>
          </w:p>
        </w:tc>
        <w:tc>
          <w:tcPr>
            <w:tcW w:w="0" w:type="dxa"/>
            <w:vAlign w:val="bottom"/>
          </w:tcPr>
          <w:p>
            <w:pPr>
              <w:spacing w:after="0"/>
              <w:rPr>
                <w:sz w:val="1"/>
                <w:szCs w:val="1"/>
                <w:color w:val="auto"/>
              </w:rPr>
            </w:pPr>
          </w:p>
        </w:tc>
      </w:tr>
      <w:tr>
        <w:trPr>
          <w:trHeight w:val="189"/>
        </w:trPr>
        <w:tc>
          <w:tcPr>
            <w:tcW w:w="120" w:type="dxa"/>
            <w:vAlign w:val="bottom"/>
            <w:shd w:val="clear" w:color="auto" w:fill="CFF0FC"/>
          </w:tcPr>
          <w:p>
            <w:pPr>
              <w:spacing w:after="0"/>
              <w:rPr>
                <w:sz w:val="16"/>
                <w:szCs w:val="16"/>
                <w:color w:val="auto"/>
              </w:rPr>
            </w:pPr>
          </w:p>
        </w:tc>
        <w:tc>
          <w:tcPr>
            <w:tcW w:w="2740" w:type="dxa"/>
            <w:vAlign w:val="bottom"/>
            <w:shd w:val="clear" w:color="auto" w:fill="CFF0FC"/>
          </w:tcPr>
          <w:p>
            <w:pPr>
              <w:ind w:left="40"/>
              <w:spacing w:after="0"/>
              <w:rPr>
                <w:sz w:val="20"/>
                <w:szCs w:val="20"/>
                <w:color w:val="auto"/>
              </w:rPr>
            </w:pPr>
            <w:r>
              <w:rPr>
                <w:rFonts w:ascii="Arial" w:cs="Arial" w:eastAsia="Arial" w:hAnsi="Arial"/>
                <w:sz w:val="13"/>
                <w:szCs w:val="13"/>
                <w:color w:val="auto"/>
              </w:rPr>
              <w:t>Net loss</w:t>
            </w:r>
          </w:p>
        </w:tc>
        <w:tc>
          <w:tcPr>
            <w:tcW w:w="8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left w:val="single" w:sz="8" w:color="CFF0FC"/>
            </w:tcBorders>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left w:val="single" w:sz="8" w:color="CFF0FC"/>
              <w:right w:val="single" w:sz="8" w:color="CFF0FC"/>
            </w:tcBorders>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00" w:type="dxa"/>
            <w:vAlign w:val="bottom"/>
            <w:tcBorders>
              <w:left w:val="single" w:sz="8" w:color="CFF0FC"/>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left w:val="single" w:sz="8" w:color="CFF0FC"/>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(25,548 )</w:t>
            </w: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20" w:type="dxa"/>
            <w:vAlign w:val="bottom"/>
            <w:gridSpan w:val="3"/>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60" w:type="dxa"/>
            <w:vAlign w:val="bottom"/>
            <w:gridSpan w:val="3"/>
            <w:shd w:val="clear" w:color="auto" w:fill="CFF0FC"/>
          </w:tcPr>
          <w:p>
            <w:pPr>
              <w:jc w:val="right"/>
              <w:ind w:right="60"/>
              <w:spacing w:after="0"/>
              <w:rPr>
                <w:sz w:val="20"/>
                <w:szCs w:val="20"/>
                <w:color w:val="auto"/>
              </w:rPr>
            </w:pPr>
            <w:r>
              <w:rPr>
                <w:rFonts w:ascii="Arial" w:cs="Arial" w:eastAsia="Arial" w:hAnsi="Arial"/>
                <w:sz w:val="13"/>
                <w:szCs w:val="13"/>
                <w:color w:val="auto"/>
              </w:rPr>
              <w:t>(25,548 )</w:t>
            </w:r>
          </w:p>
        </w:tc>
        <w:tc>
          <w:tcPr>
            <w:tcW w:w="0" w:type="dxa"/>
            <w:vAlign w:val="bottom"/>
          </w:tcPr>
          <w:p>
            <w:pPr>
              <w:spacing w:after="0"/>
              <w:rPr>
                <w:sz w:val="1"/>
                <w:szCs w:val="1"/>
                <w:color w:val="auto"/>
              </w:rPr>
            </w:pPr>
          </w:p>
        </w:tc>
      </w:tr>
      <w:tr>
        <w:trPr>
          <w:trHeight w:val="22"/>
        </w:trPr>
        <w:tc>
          <w:tcPr>
            <w:tcW w:w="120" w:type="dxa"/>
            <w:vAlign w:val="bottom"/>
            <w:shd w:val="clear" w:color="auto" w:fill="CFF0FC"/>
          </w:tcPr>
          <w:p>
            <w:pPr>
              <w:spacing w:after="0" w:line="20" w:lineRule="exact"/>
              <w:rPr>
                <w:sz w:val="1"/>
                <w:szCs w:val="1"/>
                <w:color w:val="auto"/>
              </w:rPr>
            </w:pPr>
          </w:p>
        </w:tc>
        <w:tc>
          <w:tcPr>
            <w:tcW w:w="27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Borders>
              <w:left w:val="single" w:sz="8" w:color="CFF0FC"/>
            </w:tcBorders>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60" w:type="dxa"/>
            <w:vAlign w:val="bottom"/>
            <w:gridSpan w:val="2"/>
          </w:tcPr>
          <w:p>
            <w:pPr>
              <w:ind w:left="20"/>
              <w:spacing w:after="0"/>
              <w:rPr>
                <w:sz w:val="20"/>
                <w:szCs w:val="20"/>
                <w:color w:val="auto"/>
              </w:rPr>
            </w:pPr>
            <w:r>
              <w:rPr>
                <w:rFonts w:ascii="Arial" w:cs="Arial" w:eastAsia="Arial" w:hAnsi="Arial"/>
                <w:sz w:val="13"/>
                <w:szCs w:val="13"/>
                <w:b w:val="1"/>
                <w:bCs w:val="1"/>
                <w:color w:val="auto"/>
              </w:rPr>
              <w:t>Balance at September 30, 2020</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14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30,545,165</w:t>
            </w:r>
          </w:p>
        </w:tc>
        <w:tc>
          <w:tcPr>
            <w:tcW w:w="3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w:t>
            </w:r>
          </w:p>
        </w:tc>
        <w:tc>
          <w:tcPr>
            <w:tcW w:w="2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322,535</w:t>
            </w:r>
          </w:p>
        </w:tc>
        <w:tc>
          <w:tcPr>
            <w:tcW w:w="2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(138,134 )</w:t>
            </w:r>
          </w:p>
        </w:tc>
        <w:tc>
          <w:tcPr>
            <w:tcW w:w="120" w:type="dxa"/>
            <w:vAlign w:val="bottom"/>
            <w:gridSpan w:val="2"/>
          </w:tcPr>
          <w:p>
            <w:pPr>
              <w:ind w:left="60"/>
              <w:spacing w:after="0"/>
              <w:rPr>
                <w:sz w:val="20"/>
                <w:szCs w:val="20"/>
                <w:color w:val="auto"/>
              </w:rPr>
            </w:pPr>
            <w:r>
              <w:rPr>
                <w:rFonts w:ascii="Arial" w:cs="Arial" w:eastAsia="Arial" w:hAnsi="Arial"/>
                <w:sz w:val="10"/>
                <w:szCs w:val="10"/>
                <w:color w:val="auto"/>
                <w:w w:val="71"/>
              </w:rPr>
              <w:t>$</w:t>
            </w:r>
          </w:p>
        </w:tc>
        <w:tc>
          <w:tcPr>
            <w:tcW w:w="1020" w:type="dxa"/>
            <w:vAlign w:val="bottom"/>
            <w:gridSpan w:val="3"/>
          </w:tcPr>
          <w:p>
            <w:pPr>
              <w:jc w:val="right"/>
              <w:ind w:right="100"/>
              <w:spacing w:after="0"/>
              <w:rPr>
                <w:sz w:val="20"/>
                <w:szCs w:val="20"/>
                <w:color w:val="auto"/>
              </w:rPr>
            </w:pPr>
            <w:r>
              <w:rPr>
                <w:rFonts w:ascii="Arial" w:cs="Arial" w:eastAsia="Arial" w:hAnsi="Arial"/>
                <w:sz w:val="13"/>
                <w:szCs w:val="13"/>
                <w:color w:val="auto"/>
              </w:rPr>
              <w:t>(29 )</w:t>
            </w:r>
          </w:p>
        </w:tc>
        <w:tc>
          <w:tcPr>
            <w:tcW w:w="80" w:type="dxa"/>
            <w:vAlign w:val="bottom"/>
          </w:tcPr>
          <w:p>
            <w:pPr>
              <w:spacing w:after="0"/>
              <w:rPr>
                <w:sz w:val="15"/>
                <w:szCs w:val="15"/>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20"/>
              <w:spacing w:after="0"/>
              <w:rPr>
                <w:sz w:val="20"/>
                <w:szCs w:val="20"/>
                <w:color w:val="auto"/>
              </w:rPr>
            </w:pPr>
            <w:r>
              <w:rPr>
                <w:rFonts w:ascii="Arial" w:cs="Arial" w:eastAsia="Arial" w:hAnsi="Arial"/>
                <w:sz w:val="13"/>
                <w:szCs w:val="13"/>
                <w:color w:val="auto"/>
              </w:rPr>
              <w:t>184,375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2345055</wp:posOffset>
            </wp:positionH>
            <wp:positionV relativeFrom="paragraph">
              <wp:posOffset>-4676775</wp:posOffset>
            </wp:positionV>
            <wp:extent cx="17145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-4676775</wp:posOffset>
            </wp:positionV>
            <wp:extent cx="120015"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-4676775</wp:posOffset>
            </wp:positionV>
            <wp:extent cx="162560"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-4676775</wp:posOffset>
            </wp:positionV>
            <wp:extent cx="154305"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-4676775</wp:posOffset>
            </wp:positionV>
            <wp:extent cx="154305"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-4676775</wp:posOffset>
            </wp:positionV>
            <wp:extent cx="154305"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-4676775</wp:posOffset>
            </wp:positionV>
            <wp:extent cx="154305"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-4676775</wp:posOffset>
            </wp:positionV>
            <wp:extent cx="68580"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-4188460</wp:posOffset>
            </wp:positionV>
            <wp:extent cx="171450"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-4188460</wp:posOffset>
            </wp:positionV>
            <wp:extent cx="120015"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-4188460</wp:posOffset>
            </wp:positionV>
            <wp:extent cx="162560"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-4188460</wp:posOffset>
            </wp:positionV>
            <wp:extent cx="154305"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-4188460</wp:posOffset>
            </wp:positionV>
            <wp:extent cx="154305"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-4188460</wp:posOffset>
            </wp:positionV>
            <wp:extent cx="154305"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-4188460</wp:posOffset>
            </wp:positionV>
            <wp:extent cx="154305"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-4188460</wp:posOffset>
            </wp:positionV>
            <wp:extent cx="68580"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-3102610</wp:posOffset>
            </wp:positionV>
            <wp:extent cx="17145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-3085465</wp:posOffset>
            </wp:positionV>
            <wp:extent cx="17145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-3102610</wp:posOffset>
            </wp:positionV>
            <wp:extent cx="1200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-3085465</wp:posOffset>
            </wp:positionV>
            <wp:extent cx="1200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-3102610</wp:posOffset>
            </wp:positionV>
            <wp:extent cx="1625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-3085465</wp:posOffset>
            </wp:positionV>
            <wp:extent cx="1625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-3102610</wp:posOffset>
            </wp:positionV>
            <wp:extent cx="15430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-3085465</wp:posOffset>
            </wp:positionV>
            <wp:extent cx="15430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-3102610</wp:posOffset>
            </wp:positionV>
            <wp:extent cx="15430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-3085465</wp:posOffset>
            </wp:positionV>
            <wp:extent cx="15430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-3102610</wp:posOffset>
            </wp:positionV>
            <wp:extent cx="15430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-3085465</wp:posOffset>
            </wp:positionV>
            <wp:extent cx="15430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-3102610</wp:posOffset>
            </wp:positionV>
            <wp:extent cx="15430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-3085465</wp:posOffset>
            </wp:positionV>
            <wp:extent cx="15430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-3102610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-3085465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-1719580</wp:posOffset>
            </wp:positionV>
            <wp:extent cx="171450"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-1719580</wp:posOffset>
            </wp:positionV>
            <wp:extent cx="120015"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-1719580</wp:posOffset>
            </wp:positionV>
            <wp:extent cx="171450"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-1719580</wp:posOffset>
            </wp:positionV>
            <wp:extent cx="154305"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-1719580</wp:posOffset>
            </wp:positionV>
            <wp:extent cx="154305"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-1719580</wp:posOffset>
            </wp:positionV>
            <wp:extent cx="154305"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-1719580</wp:posOffset>
            </wp:positionV>
            <wp:extent cx="154305"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-1719580</wp:posOffset>
            </wp:positionV>
            <wp:extent cx="68580"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-887730</wp:posOffset>
            </wp:positionV>
            <wp:extent cx="171450"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-887730</wp:posOffset>
            </wp:positionV>
            <wp:extent cx="120015"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-887730</wp:posOffset>
            </wp:positionV>
            <wp:extent cx="171450"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-887730</wp:posOffset>
            </wp:positionV>
            <wp:extent cx="154305"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-887730</wp:posOffset>
            </wp:positionV>
            <wp:extent cx="154305"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-887730</wp:posOffset>
            </wp:positionV>
            <wp:extent cx="154305"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-887730</wp:posOffset>
            </wp:positionV>
            <wp:extent cx="154305"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-887730</wp:posOffset>
            </wp:positionV>
            <wp:extent cx="68580"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-150495</wp:posOffset>
            </wp:positionV>
            <wp:extent cx="171450"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-150495</wp:posOffset>
            </wp:positionV>
            <wp:extent cx="120015"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-150495</wp:posOffset>
            </wp:positionV>
            <wp:extent cx="171450"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-150495</wp:posOffset>
            </wp:positionV>
            <wp:extent cx="154305"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-150495</wp:posOffset>
            </wp:positionV>
            <wp:extent cx="154305"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-150495</wp:posOffset>
            </wp:positionV>
            <wp:extent cx="154305"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-150495</wp:posOffset>
            </wp:positionV>
            <wp:extent cx="154305"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-150495</wp:posOffset>
            </wp:positionV>
            <wp:extent cx="68580"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ORIC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7" w:lineRule="exact"/>
        <w:rPr>
          <w:sz w:val="20"/>
          <w:szCs w:val="20"/>
          <w:color w:val="auto"/>
        </w:rPr>
      </w:pPr>
    </w:p>
    <w:p>
      <w:pPr>
        <w:jc w:val="center"/>
        <w:ind w:left="7540"/>
        <w:spacing w:after="0"/>
        <w:rPr>
          <w:sz w:val="20"/>
          <w:szCs w:val="20"/>
          <w:color w:val="auto"/>
        </w:rPr>
      </w:pPr>
      <w:r>
        <w:rPr>
          <w:rFonts w:ascii="Arial" w:cs="Arial" w:eastAsia="Arial" w:hAnsi="Arial"/>
          <w:sz w:val="14"/>
          <w:szCs w:val="14"/>
          <w:b w:val="1"/>
          <w:bCs w:val="1"/>
          <w:color w:val="auto"/>
        </w:rPr>
        <w:t>Nine Months Ended</w:t>
      </w:r>
    </w:p>
    <w:p>
      <w:pPr>
        <w:spacing w:after="0" w:line="25" w:lineRule="exact"/>
        <w:rPr>
          <w:sz w:val="20"/>
          <w:szCs w:val="20"/>
          <w:color w:val="auto"/>
        </w:rPr>
      </w:pPr>
    </w:p>
    <w:p>
      <w:pPr>
        <w:jc w:val="center"/>
        <w:ind w:left="754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17145</wp:posOffset>
            </wp:positionV>
            <wp:extent cx="220281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202815" cy="26035"/>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r>
      <w:tr>
        <w:trPr>
          <w:trHeight w:val="256"/>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from operating activities:</w:t>
            </w:r>
          </w:p>
        </w:tc>
        <w:tc>
          <w:tcPr>
            <w:tcW w:w="98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60" w:type="dxa"/>
            <w:vAlign w:val="bottom"/>
          </w:tcPr>
          <w:p>
            <w:pPr>
              <w:ind w:left="200"/>
              <w:spacing w:after="0"/>
              <w:rPr>
                <w:sz w:val="20"/>
                <w:szCs w:val="20"/>
                <w:color w:val="auto"/>
              </w:rPr>
            </w:pPr>
            <w:r>
              <w:rPr>
                <w:rFonts w:ascii="Arial" w:cs="Arial" w:eastAsia="Arial" w:hAnsi="Arial"/>
                <w:sz w:val="18"/>
                <w:szCs w:val="18"/>
                <w:color w:val="auto"/>
              </w:rPr>
              <w:t>Net loss</w:t>
            </w:r>
          </w:p>
        </w:tc>
        <w:tc>
          <w:tcPr>
            <w:tcW w:w="980" w:type="dxa"/>
            <w:vAlign w:val="bottom"/>
          </w:tcPr>
          <w:p>
            <w:pPr>
              <w:jc w:val="right"/>
              <w:ind w:right="794"/>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(55,944 )</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(45,444 )</w:t>
            </w:r>
          </w:p>
        </w:tc>
      </w:tr>
      <w:tr>
        <w:trPr>
          <w:trHeight w:val="263"/>
        </w:trPr>
        <w:tc>
          <w:tcPr>
            <w:tcW w:w="7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8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6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668</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21"/>
                <w:szCs w:val="21"/>
                <w:color w:val="auto"/>
              </w:rPr>
            </w:pPr>
          </w:p>
        </w:tc>
      </w:tr>
      <w:tr>
        <w:trPr>
          <w:trHeight w:val="263"/>
        </w:trPr>
        <w:tc>
          <w:tcPr>
            <w:tcW w:w="7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Stock-based compensation expense</w:t>
            </w:r>
          </w:p>
        </w:tc>
        <w:tc>
          <w:tcPr>
            <w:tcW w:w="98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9,354</w:t>
            </w:r>
          </w:p>
        </w:tc>
        <w:tc>
          <w:tcPr>
            <w:tcW w:w="2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3,589</w:t>
            </w:r>
          </w:p>
        </w:tc>
        <w:tc>
          <w:tcPr>
            <w:tcW w:w="100" w:type="dxa"/>
            <w:vAlign w:val="bottom"/>
            <w:shd w:val="clear" w:color="auto" w:fill="CFF0FC"/>
          </w:tcPr>
          <w:p>
            <w:pPr>
              <w:spacing w:after="0"/>
              <w:rPr>
                <w:sz w:val="22"/>
                <w:szCs w:val="22"/>
                <w:color w:val="auto"/>
              </w:rPr>
            </w:pPr>
          </w:p>
        </w:tc>
      </w:tr>
      <w:tr>
        <w:trPr>
          <w:trHeight w:val="250"/>
        </w:trPr>
        <w:tc>
          <w:tcPr>
            <w:tcW w:w="7660" w:type="dxa"/>
            <w:vAlign w:val="bottom"/>
          </w:tcPr>
          <w:p>
            <w:pPr>
              <w:ind w:left="380"/>
              <w:spacing w:after="0"/>
              <w:rPr>
                <w:sz w:val="20"/>
                <w:szCs w:val="20"/>
                <w:color w:val="auto"/>
              </w:rPr>
            </w:pPr>
            <w:r>
              <w:rPr>
                <w:rFonts w:ascii="Arial" w:cs="Arial" w:eastAsia="Arial" w:hAnsi="Arial"/>
                <w:sz w:val="18"/>
                <w:szCs w:val="18"/>
                <w:color w:val="auto"/>
              </w:rPr>
              <w:t>Non-cash stock consideration, acquisition</w:t>
            </w:r>
          </w:p>
        </w:tc>
        <w:tc>
          <w:tcPr>
            <w:tcW w:w="980" w:type="dxa"/>
            <w:vAlign w:val="bottom"/>
          </w:tcPr>
          <w:p>
            <w:pPr>
              <w:spacing w:after="0"/>
              <w:rPr>
                <w:sz w:val="21"/>
                <w:szCs w:val="21"/>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12,971</w:t>
            </w:r>
          </w:p>
        </w:tc>
        <w:tc>
          <w:tcPr>
            <w:tcW w:w="100" w:type="dxa"/>
            <w:vAlign w:val="bottom"/>
          </w:tcPr>
          <w:p>
            <w:pPr>
              <w:spacing w:after="0"/>
              <w:rPr>
                <w:sz w:val="21"/>
                <w:szCs w:val="21"/>
                <w:color w:val="auto"/>
              </w:rPr>
            </w:pPr>
          </w:p>
        </w:tc>
      </w:tr>
      <w:tr>
        <w:trPr>
          <w:trHeight w:val="263"/>
        </w:trPr>
        <w:tc>
          <w:tcPr>
            <w:tcW w:w="7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Loss on fixed asset disposals</w:t>
            </w:r>
          </w:p>
        </w:tc>
        <w:tc>
          <w:tcPr>
            <w:tcW w:w="98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50"/>
        </w:trPr>
        <w:tc>
          <w:tcPr>
            <w:tcW w:w="7660" w:type="dxa"/>
            <w:vAlign w:val="bottom"/>
          </w:tcPr>
          <w:p>
            <w:pPr>
              <w:ind w:left="380"/>
              <w:spacing w:after="0"/>
              <w:rPr>
                <w:sz w:val="20"/>
                <w:szCs w:val="20"/>
                <w:color w:val="auto"/>
              </w:rPr>
            </w:pPr>
            <w:r>
              <w:rPr>
                <w:rFonts w:ascii="Arial" w:cs="Arial" w:eastAsia="Arial" w:hAnsi="Arial"/>
                <w:sz w:val="18"/>
                <w:szCs w:val="18"/>
                <w:color w:val="auto"/>
              </w:rPr>
              <w:t>Amortization of premium on investments, net</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1,201</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r>
      <w:tr>
        <w:trPr>
          <w:trHeight w:val="263"/>
        </w:trPr>
        <w:tc>
          <w:tcPr>
            <w:tcW w:w="7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98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60" w:type="dxa"/>
            <w:vAlign w:val="bottom"/>
          </w:tcPr>
          <w:p>
            <w:pPr>
              <w:ind w:left="380"/>
              <w:spacing w:after="0"/>
              <w:rPr>
                <w:sz w:val="20"/>
                <w:szCs w:val="20"/>
                <w:color w:val="auto"/>
              </w:rPr>
            </w:pPr>
            <w:r>
              <w:rPr>
                <w:rFonts w:ascii="Arial" w:cs="Arial" w:eastAsia="Arial" w:hAnsi="Arial"/>
                <w:sz w:val="18"/>
                <w:szCs w:val="18"/>
                <w:color w:val="auto"/>
              </w:rPr>
              <w:t>Prepaid expenses and other assets</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1,010</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(1,599 )</w:t>
            </w:r>
          </w:p>
        </w:tc>
      </w:tr>
      <w:tr>
        <w:trPr>
          <w:trHeight w:val="257"/>
        </w:trPr>
        <w:tc>
          <w:tcPr>
            <w:tcW w:w="76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Accounts payable and accrued other liabilities</w:t>
            </w:r>
          </w:p>
        </w:tc>
        <w:tc>
          <w:tcPr>
            <w:tcW w:w="980" w:type="dxa"/>
            <w:vAlign w:val="bottom"/>
            <w:tcBorders>
              <w:bottom w:val="single" w:sz="8" w:color="auto"/>
            </w:tcBorders>
            <w:shd w:val="clear" w:color="auto" w:fill="CFF0FC"/>
          </w:tcPr>
          <w:p>
            <w:pPr>
              <w:spacing w:after="0"/>
              <w:rPr>
                <w:sz w:val="22"/>
                <w:szCs w:val="2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w:t>
            </w:r>
          </w:p>
        </w:tc>
        <w:tc>
          <w:tcPr>
            <w:tcW w:w="28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2,271</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7660" w:type="dxa"/>
            <w:vAlign w:val="bottom"/>
          </w:tcPr>
          <w:p>
            <w:pPr>
              <w:ind w:left="740"/>
              <w:spacing w:after="0"/>
              <w:rPr>
                <w:sz w:val="20"/>
                <w:szCs w:val="20"/>
                <w:color w:val="auto"/>
              </w:rPr>
            </w:pPr>
            <w:r>
              <w:rPr>
                <w:rFonts w:ascii="Arial" w:cs="Arial" w:eastAsia="Arial" w:hAnsi="Arial"/>
                <w:sz w:val="18"/>
                <w:szCs w:val="18"/>
                <w:color w:val="auto"/>
              </w:rPr>
              <w:t>Net cash used in operating activities</w:t>
            </w:r>
          </w:p>
        </w:tc>
        <w:tc>
          <w:tcPr>
            <w:tcW w:w="98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(43,257 )</w:t>
            </w:r>
          </w:p>
        </w:tc>
        <w:tc>
          <w:tcPr>
            <w:tcW w:w="380" w:type="dxa"/>
            <w:vAlign w:val="bottom"/>
          </w:tcPr>
          <w:p>
            <w:pPr>
              <w:spacing w:after="0"/>
              <w:rPr>
                <w:sz w:val="21"/>
                <w:szCs w:val="21"/>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(27,443 )</w:t>
            </w:r>
          </w:p>
        </w:tc>
      </w:tr>
      <w:tr>
        <w:trPr>
          <w:trHeight w:val="257"/>
        </w:trPr>
        <w:tc>
          <w:tcPr>
            <w:tcW w:w="7660" w:type="dxa"/>
            <w:vAlign w:val="bottom"/>
            <w:shd w:val="clear" w:color="auto" w:fill="CFF0FC"/>
          </w:tcPr>
          <w:p>
            <w:pPr>
              <w:spacing w:after="0"/>
              <w:rPr>
                <w:sz w:val="22"/>
                <w:szCs w:val="22"/>
                <w:color w:val="auto"/>
              </w:rPr>
            </w:pPr>
          </w:p>
        </w:tc>
        <w:tc>
          <w:tcPr>
            <w:tcW w:w="980" w:type="dxa"/>
            <w:vAlign w:val="bottom"/>
            <w:tcBorders>
              <w:top w:val="single" w:sz="8" w:color="auto"/>
            </w:tcBorders>
            <w:shd w:val="clear" w:color="auto" w:fill="CFF0FC"/>
          </w:tcPr>
          <w:p>
            <w:pPr>
              <w:spacing w:after="0"/>
              <w:rPr>
                <w:sz w:val="22"/>
                <w:szCs w:val="22"/>
                <w:color w:val="auto"/>
              </w:rPr>
            </w:pPr>
          </w:p>
        </w:tc>
        <w:tc>
          <w:tcPr>
            <w:tcW w:w="620" w:type="dxa"/>
            <w:vAlign w:val="bottom"/>
            <w:tcBorders>
              <w:top w:val="single" w:sz="8" w:color="auto"/>
            </w:tcBorders>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80" w:type="dxa"/>
            <w:vAlign w:val="bottom"/>
            <w:tcBorders>
              <w:top w:val="single" w:sz="8" w:color="auto"/>
            </w:tcBorders>
            <w:shd w:val="clear" w:color="auto" w:fill="CFF0FC"/>
          </w:tcPr>
          <w:p>
            <w:pPr>
              <w:spacing w:after="0"/>
              <w:rPr>
                <w:sz w:val="22"/>
                <w:szCs w:val="22"/>
                <w:color w:val="auto"/>
              </w:rPr>
            </w:pPr>
          </w:p>
        </w:tc>
        <w:tc>
          <w:tcPr>
            <w:tcW w:w="1220" w:type="dxa"/>
            <w:vAlign w:val="bottom"/>
            <w:tcBorders>
              <w:top w:val="single" w:sz="8" w:color="auto"/>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6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Acquisitions of property and equipment</w:t>
            </w:r>
          </w:p>
        </w:tc>
        <w:tc>
          <w:tcPr>
            <w:tcW w:w="980" w:type="dxa"/>
            <w:vAlign w:val="bottom"/>
            <w:shd w:val="clear" w:color="auto" w:fill="CFF0FC"/>
          </w:tcPr>
          <w:p>
            <w:pPr>
              <w:spacing w:after="0"/>
              <w:rPr>
                <w:sz w:val="22"/>
                <w:szCs w:val="22"/>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(550 )</w:t>
            </w:r>
          </w:p>
        </w:tc>
        <w:tc>
          <w:tcPr>
            <w:tcW w:w="38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(256 )</w:t>
            </w:r>
          </w:p>
        </w:tc>
      </w:tr>
      <w:tr>
        <w:trPr>
          <w:trHeight w:val="250"/>
        </w:trPr>
        <w:tc>
          <w:tcPr>
            <w:tcW w:w="7660" w:type="dxa"/>
            <w:vAlign w:val="bottom"/>
          </w:tcPr>
          <w:p>
            <w:pPr>
              <w:ind w:left="200"/>
              <w:spacing w:after="0"/>
              <w:rPr>
                <w:sz w:val="20"/>
                <w:szCs w:val="20"/>
                <w:color w:val="auto"/>
              </w:rPr>
            </w:pPr>
            <w:r>
              <w:rPr>
                <w:rFonts w:ascii="Arial" w:cs="Arial" w:eastAsia="Arial" w:hAnsi="Arial"/>
                <w:sz w:val="18"/>
                <w:szCs w:val="18"/>
                <w:color w:val="auto"/>
              </w:rPr>
              <w:t>Purchases of investments</w:t>
            </w:r>
          </w:p>
        </w:tc>
        <w:tc>
          <w:tcPr>
            <w:tcW w:w="98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(32,866 )</w:t>
            </w:r>
          </w:p>
        </w:tc>
        <w:tc>
          <w:tcPr>
            <w:tcW w:w="380" w:type="dxa"/>
            <w:vAlign w:val="bottom"/>
          </w:tcPr>
          <w:p>
            <w:pPr>
              <w:spacing w:after="0"/>
              <w:rPr>
                <w:sz w:val="21"/>
                <w:szCs w:val="21"/>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(124,640 )</w:t>
            </w:r>
          </w:p>
        </w:tc>
      </w:tr>
      <w:tr>
        <w:trPr>
          <w:trHeight w:val="263"/>
        </w:trPr>
        <w:tc>
          <w:tcPr>
            <w:tcW w:w="7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Sales and maturities of investments</w:t>
            </w:r>
          </w:p>
        </w:tc>
        <w:tc>
          <w:tcPr>
            <w:tcW w:w="98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191,500</w:t>
            </w:r>
          </w:p>
        </w:tc>
        <w:tc>
          <w:tcPr>
            <w:tcW w:w="2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50"/>
        </w:trPr>
        <w:tc>
          <w:tcPr>
            <w:tcW w:w="7660" w:type="dxa"/>
            <w:vAlign w:val="bottom"/>
          </w:tcPr>
          <w:p>
            <w:pPr>
              <w:ind w:left="200"/>
              <w:spacing w:after="0"/>
              <w:rPr>
                <w:sz w:val="20"/>
                <w:szCs w:val="20"/>
                <w:color w:val="auto"/>
              </w:rPr>
            </w:pPr>
            <w:r>
              <w:rPr>
                <w:rFonts w:ascii="Arial" w:cs="Arial" w:eastAsia="Arial" w:hAnsi="Arial"/>
                <w:sz w:val="18"/>
                <w:szCs w:val="18"/>
                <w:color w:val="auto"/>
              </w:rPr>
              <w:t>Proceeds from notes receivable</w:t>
            </w:r>
          </w:p>
        </w:tc>
        <w:tc>
          <w:tcPr>
            <w:tcW w:w="9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r>
      <w:tr>
        <w:trPr>
          <w:trHeight w:val="250"/>
        </w:trPr>
        <w:tc>
          <w:tcPr>
            <w:tcW w:w="7660" w:type="dxa"/>
            <w:vAlign w:val="bottom"/>
            <w:shd w:val="clear" w:color="auto" w:fill="CFF0FC"/>
          </w:tcPr>
          <w:p>
            <w:pPr>
              <w:ind w:left="740"/>
              <w:spacing w:after="0"/>
              <w:rPr>
                <w:sz w:val="20"/>
                <w:szCs w:val="20"/>
                <w:color w:val="auto"/>
              </w:rPr>
            </w:pPr>
            <w:r>
              <w:rPr>
                <w:rFonts w:ascii="Arial" w:cs="Arial" w:eastAsia="Arial" w:hAnsi="Arial"/>
                <w:sz w:val="18"/>
                <w:szCs w:val="18"/>
                <w:color w:val="auto"/>
              </w:rPr>
              <w:t>Net cash provided by (used in) investing activities</w:t>
            </w:r>
          </w:p>
        </w:tc>
        <w:tc>
          <w:tcPr>
            <w:tcW w:w="98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158,084</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(124,703 )</w:t>
            </w:r>
          </w:p>
        </w:tc>
      </w:tr>
      <w:tr>
        <w:trPr>
          <w:trHeight w:val="256"/>
        </w:trPr>
        <w:tc>
          <w:tcPr>
            <w:tcW w:w="7660" w:type="dxa"/>
            <w:vAlign w:val="bottom"/>
            <w:tcBorders>
              <w:top w:val="single" w:sz="8" w:color="CFF0FC"/>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280" w:type="dxa"/>
            <w:vAlign w:val="bottom"/>
            <w:tcBorders>
              <w:top w:val="single" w:sz="8" w:color="CFF0FC"/>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Borders>
              <w:top w:val="single" w:sz="8" w:color="CFF0FC"/>
            </w:tcBorders>
          </w:tcPr>
          <w:p>
            <w:pPr>
              <w:spacing w:after="0"/>
              <w:rPr>
                <w:sz w:val="22"/>
                <w:szCs w:val="22"/>
                <w:color w:val="auto"/>
              </w:rPr>
            </w:pPr>
          </w:p>
        </w:tc>
      </w:tr>
      <w:tr>
        <w:trPr>
          <w:trHeight w:val="257"/>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from financing activities:</w:t>
            </w:r>
          </w:p>
        </w:tc>
        <w:tc>
          <w:tcPr>
            <w:tcW w:w="98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60" w:type="dxa"/>
            <w:vAlign w:val="bottom"/>
          </w:tcPr>
          <w:p>
            <w:pPr>
              <w:ind w:left="200"/>
              <w:spacing w:after="0"/>
              <w:rPr>
                <w:sz w:val="20"/>
                <w:szCs w:val="20"/>
                <w:color w:val="auto"/>
              </w:rPr>
            </w:pPr>
            <w:r>
              <w:rPr>
                <w:rFonts w:ascii="Arial" w:cs="Arial" w:eastAsia="Arial" w:hAnsi="Arial"/>
                <w:sz w:val="18"/>
                <w:szCs w:val="18"/>
                <w:color w:val="auto"/>
              </w:rPr>
              <w:t>Proceeds from issuance of common stock</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50,000</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138,000</w:t>
            </w:r>
          </w:p>
        </w:tc>
        <w:tc>
          <w:tcPr>
            <w:tcW w:w="100" w:type="dxa"/>
            <w:vAlign w:val="bottom"/>
          </w:tcPr>
          <w:p>
            <w:pPr>
              <w:spacing w:after="0"/>
              <w:rPr>
                <w:sz w:val="21"/>
                <w:szCs w:val="21"/>
                <w:color w:val="auto"/>
              </w:rPr>
            </w:pPr>
          </w:p>
        </w:tc>
      </w:tr>
      <w:tr>
        <w:trPr>
          <w:trHeight w:val="263"/>
        </w:trPr>
        <w:tc>
          <w:tcPr>
            <w:tcW w:w="7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Issuance costs associated with financings</w:t>
            </w:r>
          </w:p>
        </w:tc>
        <w:tc>
          <w:tcPr>
            <w:tcW w:w="980" w:type="dxa"/>
            <w:vAlign w:val="bottom"/>
            <w:shd w:val="clear" w:color="auto" w:fill="CFF0FC"/>
          </w:tcPr>
          <w:p>
            <w:pPr>
              <w:spacing w:after="0"/>
              <w:rPr>
                <w:sz w:val="22"/>
                <w:szCs w:val="22"/>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(1,852 )</w:t>
            </w:r>
          </w:p>
        </w:tc>
        <w:tc>
          <w:tcPr>
            <w:tcW w:w="38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(12,692 )</w:t>
            </w:r>
          </w:p>
        </w:tc>
      </w:tr>
      <w:tr>
        <w:trPr>
          <w:trHeight w:val="250"/>
        </w:trPr>
        <w:tc>
          <w:tcPr>
            <w:tcW w:w="7660" w:type="dxa"/>
            <w:vAlign w:val="bottom"/>
          </w:tcPr>
          <w:p>
            <w:pPr>
              <w:ind w:left="200"/>
              <w:spacing w:after="0"/>
              <w:rPr>
                <w:sz w:val="20"/>
                <w:szCs w:val="20"/>
                <w:color w:val="auto"/>
              </w:rPr>
            </w:pPr>
            <w:r>
              <w:rPr>
                <w:rFonts w:ascii="Arial" w:cs="Arial" w:eastAsia="Arial" w:hAnsi="Arial"/>
                <w:sz w:val="18"/>
                <w:szCs w:val="18"/>
                <w:color w:val="auto"/>
              </w:rPr>
              <w:t>Payment of deferred offering costs</w:t>
            </w:r>
          </w:p>
        </w:tc>
        <w:tc>
          <w:tcPr>
            <w:tcW w:w="980" w:type="dxa"/>
            <w:vAlign w:val="bottom"/>
          </w:tcPr>
          <w:p>
            <w:pPr>
              <w:spacing w:after="0"/>
              <w:rPr>
                <w:sz w:val="21"/>
                <w:szCs w:val="21"/>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(394 )</w:t>
            </w:r>
          </w:p>
        </w:tc>
      </w:tr>
      <w:tr>
        <w:trPr>
          <w:trHeight w:val="283"/>
        </w:trPr>
        <w:tc>
          <w:tcPr>
            <w:tcW w:w="76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Proceeds from stock option exercises</w:t>
            </w:r>
          </w:p>
        </w:tc>
        <w:tc>
          <w:tcPr>
            <w:tcW w:w="980" w:type="dxa"/>
            <w:vAlign w:val="bottom"/>
            <w:tcBorders>
              <w:bottom w:val="single" w:sz="8" w:color="auto"/>
            </w:tcBorders>
            <w:shd w:val="clear" w:color="auto" w:fill="CFF0FC"/>
          </w:tcPr>
          <w:p>
            <w:pPr>
              <w:spacing w:after="0"/>
              <w:rPr>
                <w:sz w:val="24"/>
                <w:szCs w:val="2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28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CFF0FC"/>
            </w:tcBorders>
            <w:shd w:val="clear" w:color="auto" w:fill="CFF0FC"/>
          </w:tcPr>
          <w:p>
            <w:pPr>
              <w:spacing w:after="0"/>
              <w:rPr>
                <w:sz w:val="24"/>
                <w:szCs w:val="24"/>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30"/>
        </w:trPr>
        <w:tc>
          <w:tcPr>
            <w:tcW w:w="7660" w:type="dxa"/>
            <w:vAlign w:val="bottom"/>
          </w:tcPr>
          <w:p>
            <w:pPr>
              <w:ind w:left="740"/>
              <w:spacing w:after="0"/>
              <w:rPr>
                <w:sz w:val="20"/>
                <w:szCs w:val="20"/>
                <w:color w:val="auto"/>
              </w:rPr>
            </w:pPr>
            <w:r>
              <w:rPr>
                <w:rFonts w:ascii="Arial" w:cs="Arial" w:eastAsia="Arial" w:hAnsi="Arial"/>
                <w:sz w:val="18"/>
                <w:szCs w:val="18"/>
                <w:color w:val="auto"/>
              </w:rPr>
              <w:t>Net cash provided by financing activities</w:t>
            </w:r>
          </w:p>
        </w:tc>
        <w:tc>
          <w:tcPr>
            <w:tcW w:w="9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48,321</w:t>
            </w:r>
          </w:p>
        </w:tc>
        <w:tc>
          <w:tcPr>
            <w:tcW w:w="28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125,018</w:t>
            </w:r>
          </w:p>
        </w:tc>
        <w:tc>
          <w:tcPr>
            <w:tcW w:w="100" w:type="dxa"/>
            <w:vAlign w:val="bottom"/>
          </w:tcPr>
          <w:p>
            <w:pPr>
              <w:spacing w:after="0"/>
              <w:rPr>
                <w:sz w:val="20"/>
                <w:szCs w:val="20"/>
                <w:color w:val="auto"/>
              </w:rPr>
            </w:pPr>
          </w:p>
        </w:tc>
      </w:tr>
      <w:tr>
        <w:trPr>
          <w:trHeight w:val="250"/>
        </w:trPr>
        <w:tc>
          <w:tcPr>
            <w:tcW w:w="76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spacing w:after="0"/>
              <w:rPr>
                <w:sz w:val="21"/>
                <w:szCs w:val="21"/>
                <w:color w:val="auto"/>
              </w:rPr>
            </w:pPr>
          </w:p>
        </w:tc>
      </w:tr>
      <w:tr>
        <w:trPr>
          <w:trHeight w:val="250"/>
        </w:trPr>
        <w:tc>
          <w:tcPr>
            <w:tcW w:w="7660" w:type="dxa"/>
            <w:vAlign w:val="bottom"/>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163,148</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(27,128 )</w:t>
            </w:r>
          </w:p>
        </w:tc>
      </w:tr>
      <w:tr>
        <w:trPr>
          <w:trHeight w:val="263"/>
        </w:trPr>
        <w:tc>
          <w:tcPr>
            <w:tcW w:w="766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6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9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78,446</w:t>
            </w:r>
          </w:p>
        </w:tc>
        <w:tc>
          <w:tcPr>
            <w:tcW w:w="2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89,159</w:t>
            </w:r>
          </w:p>
        </w:tc>
        <w:tc>
          <w:tcPr>
            <w:tcW w:w="100" w:type="dxa"/>
            <w:vAlign w:val="bottom"/>
          </w:tcPr>
          <w:p>
            <w:pPr>
              <w:spacing w:after="0"/>
              <w:rPr>
                <w:sz w:val="21"/>
                <w:szCs w:val="21"/>
                <w:color w:val="auto"/>
              </w:rPr>
            </w:pPr>
          </w:p>
        </w:tc>
      </w:tr>
      <w:tr>
        <w:trPr>
          <w:trHeight w:val="290"/>
        </w:trPr>
        <w:tc>
          <w:tcPr>
            <w:tcW w:w="7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980" w:type="dxa"/>
            <w:vAlign w:val="bottom"/>
            <w:tcBorders>
              <w:bottom w:val="single" w:sz="8" w:color="auto"/>
            </w:tcBorders>
            <w:shd w:val="clear" w:color="auto" w:fill="CFF0FC"/>
          </w:tcPr>
          <w:p>
            <w:pPr>
              <w:jc w:val="right"/>
              <w:ind w:right="794"/>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241,594</w:t>
            </w:r>
          </w:p>
        </w:tc>
        <w:tc>
          <w:tcPr>
            <w:tcW w:w="28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62,031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43"/>
        </w:trPr>
        <w:tc>
          <w:tcPr>
            <w:tcW w:w="76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7"/>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98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60" w:type="dxa"/>
            <w:vAlign w:val="bottom"/>
          </w:tcPr>
          <w:p>
            <w:pPr>
              <w:ind w:left="200"/>
              <w:spacing w:after="0"/>
              <w:rPr>
                <w:sz w:val="20"/>
                <w:szCs w:val="20"/>
                <w:color w:val="auto"/>
              </w:rPr>
            </w:pPr>
            <w:r>
              <w:rPr>
                <w:rFonts w:ascii="Arial" w:cs="Arial" w:eastAsia="Arial" w:hAnsi="Arial"/>
                <w:sz w:val="18"/>
                <w:szCs w:val="18"/>
                <w:color w:val="auto"/>
              </w:rPr>
              <w:t>Amounts accrued for purchase of property and equipment</w:t>
            </w:r>
          </w:p>
        </w:tc>
        <w:tc>
          <w:tcPr>
            <w:tcW w:w="980" w:type="dxa"/>
            <w:vAlign w:val="bottom"/>
          </w:tcPr>
          <w:p>
            <w:pPr>
              <w:jc w:val="right"/>
              <w:ind w:right="794"/>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r>
      <w:tr>
        <w:trPr>
          <w:trHeight w:val="263"/>
        </w:trPr>
        <w:tc>
          <w:tcPr>
            <w:tcW w:w="7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Conversion of preferred stock to common stock</w:t>
            </w:r>
          </w:p>
        </w:tc>
        <w:tc>
          <w:tcPr>
            <w:tcW w:w="980" w:type="dxa"/>
            <w:vAlign w:val="bottom"/>
            <w:shd w:val="clear" w:color="auto" w:fill="CFF0FC"/>
          </w:tcPr>
          <w:p>
            <w:pPr>
              <w:jc w:val="right"/>
              <w:ind w:right="794"/>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178,058</w:t>
            </w:r>
          </w:p>
        </w:tc>
        <w:tc>
          <w:tcPr>
            <w:tcW w:w="100" w:type="dxa"/>
            <w:vAlign w:val="bottom"/>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-3990975</wp:posOffset>
            </wp:positionV>
            <wp:extent cx="171450"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-3990975</wp:posOffset>
            </wp:positionV>
            <wp:extent cx="68580"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-2662555</wp:posOffset>
            </wp:positionV>
            <wp:extent cx="171450"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-2662555</wp:posOffset>
            </wp:positionV>
            <wp:extent cx="68580"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-1676400</wp:posOffset>
            </wp:positionV>
            <wp:extent cx="171450"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-1684020</wp:posOffset>
            </wp:positionV>
            <wp:extent cx="93980" cy="1968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-676910</wp:posOffset>
            </wp:positionV>
            <wp:extent cx="17145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-659765</wp:posOffset>
            </wp:positionV>
            <wp:extent cx="17145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-676910</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-659765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t>ORIC PHARMACEUTICALS,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UNAUDITED FINANCIAL STATEMENTS</w:t>
      </w:r>
    </w:p>
    <w:p>
      <w:pPr>
        <w:spacing w:after="0" w:line="126"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Description of the Business</w:t>
      </w:r>
    </w:p>
    <w:p>
      <w:pPr>
        <w:spacing w:after="0" w:line="135" w:lineRule="exact"/>
        <w:rPr>
          <w:sz w:val="20"/>
          <w:szCs w:val="20"/>
          <w:color w:val="auto"/>
        </w:rPr>
      </w:pPr>
    </w:p>
    <w:p>
      <w:pPr>
        <w:jc w:val="both"/>
        <w:ind w:right="280" w:firstLine="749"/>
        <w:spacing w:after="0" w:line="303" w:lineRule="auto"/>
        <w:rPr>
          <w:sz w:val="20"/>
          <w:szCs w:val="20"/>
          <w:color w:val="auto"/>
        </w:rPr>
      </w:pPr>
      <w:r>
        <w:rPr>
          <w:rFonts w:ascii="Arial" w:cs="Arial" w:eastAsia="Arial" w:hAnsi="Arial"/>
          <w:sz w:val="17"/>
          <w:szCs w:val="17"/>
          <w:color w:val="auto"/>
        </w:rPr>
        <w:t xml:space="preserve">ORIC Pharmaceuticals, Inc. (ORIC or the Company) is a clinical-stage biopharmaceutical company dedicated to improving patients’ lives by </w:t>
      </w:r>
      <w:r>
        <w:rPr>
          <w:rFonts w:ascii="Arial" w:cs="Arial" w:eastAsia="Arial" w:hAnsi="Arial"/>
          <w:sz w:val="17"/>
          <w:szCs w:val="17"/>
          <w:i w:val="1"/>
          <w:iCs w:val="1"/>
          <w:u w:val="single" w:color="auto"/>
          <w:color w:val="auto"/>
        </w:rPr>
        <w:t>O</w:t>
      </w:r>
      <w:r>
        <w:rPr>
          <w:rFonts w:ascii="Arial" w:cs="Arial" w:eastAsia="Arial" w:hAnsi="Arial"/>
          <w:sz w:val="17"/>
          <w:szCs w:val="17"/>
          <w:i w:val="1"/>
          <w:iCs w:val="1"/>
          <w:color w:val="auto"/>
        </w:rPr>
        <w:t xml:space="preserve">vercoming </w:t>
      </w:r>
      <w:r>
        <w:rPr>
          <w:rFonts w:ascii="Arial" w:cs="Arial" w:eastAsia="Arial" w:hAnsi="Arial"/>
          <w:sz w:val="17"/>
          <w:szCs w:val="17"/>
          <w:i w:val="1"/>
          <w:iCs w:val="1"/>
          <w:u w:val="single" w:color="auto"/>
          <w:color w:val="auto"/>
        </w:rPr>
        <w:t>R</w:t>
      </w:r>
      <w:r>
        <w:rPr>
          <w:rFonts w:ascii="Arial" w:cs="Arial" w:eastAsia="Arial" w:hAnsi="Arial"/>
          <w:sz w:val="17"/>
          <w:szCs w:val="17"/>
          <w:i w:val="1"/>
          <w:iCs w:val="1"/>
          <w:color w:val="auto"/>
        </w:rPr>
        <w:t xml:space="preserve">esistance </w:t>
      </w:r>
      <w:r>
        <w:rPr>
          <w:rFonts w:ascii="Arial" w:cs="Arial" w:eastAsia="Arial" w:hAnsi="Arial"/>
          <w:sz w:val="17"/>
          <w:szCs w:val="17"/>
          <w:i w:val="1"/>
          <w:iCs w:val="1"/>
          <w:u w:val="single" w:color="auto"/>
          <w:color w:val="auto"/>
        </w:rPr>
        <w:t>I</w:t>
      </w:r>
      <w:r>
        <w:rPr>
          <w:rFonts w:ascii="Arial" w:cs="Arial" w:eastAsia="Arial" w:hAnsi="Arial"/>
          <w:sz w:val="17"/>
          <w:szCs w:val="17"/>
          <w:i w:val="1"/>
          <w:iCs w:val="1"/>
          <w:color w:val="auto"/>
        </w:rPr>
        <w:t xml:space="preserve">n </w:t>
      </w:r>
      <w:r>
        <w:rPr>
          <w:rFonts w:ascii="Arial" w:cs="Arial" w:eastAsia="Arial" w:hAnsi="Arial"/>
          <w:sz w:val="17"/>
          <w:szCs w:val="17"/>
          <w:i w:val="1"/>
          <w:iCs w:val="1"/>
          <w:u w:val="single" w:color="auto"/>
          <w:color w:val="auto"/>
        </w:rPr>
        <w:t>C</w:t>
      </w:r>
      <w:r>
        <w:rPr>
          <w:rFonts w:ascii="Arial" w:cs="Arial" w:eastAsia="Arial" w:hAnsi="Arial"/>
          <w:sz w:val="17"/>
          <w:szCs w:val="17"/>
          <w:i w:val="1"/>
          <w:iCs w:val="1"/>
          <w:color w:val="auto"/>
        </w:rPr>
        <w:t>ancer</w:t>
      </w:r>
      <w:r>
        <w:rPr>
          <w:rFonts w:ascii="Arial" w:cs="Arial" w:eastAsia="Arial" w:hAnsi="Arial"/>
          <w:sz w:val="17"/>
          <w:szCs w:val="17"/>
          <w:color w:val="auto"/>
        </w:rPr>
        <w:t>. The Company was incorporated in Delaware in August 2014 and has offices in South San Francisco and San Diego,</w:t>
      </w:r>
      <w:r>
        <w:rPr>
          <w:rFonts w:ascii="Arial" w:cs="Arial" w:eastAsia="Arial" w:hAnsi="Arial"/>
          <w:sz w:val="17"/>
          <w:szCs w:val="17"/>
          <w:i w:val="1"/>
          <w:iCs w:val="1"/>
          <w:color w:val="auto"/>
        </w:rPr>
        <w:t xml:space="preserve"> </w:t>
      </w:r>
      <w:r>
        <w:rPr>
          <w:rFonts w:ascii="Arial" w:cs="Arial" w:eastAsia="Arial" w:hAnsi="Arial"/>
          <w:sz w:val="17"/>
          <w:szCs w:val="17"/>
          <w:color w:val="auto"/>
        </w:rPr>
        <w:t>California. The Company’s principal operations are in the United States and the Company operates in one segment.</w:t>
      </w:r>
    </w:p>
    <w:p>
      <w:pPr>
        <w:spacing w:after="0" w:line="56" w:lineRule="exact"/>
        <w:rPr>
          <w:sz w:val="20"/>
          <w:szCs w:val="20"/>
          <w:color w:val="auto"/>
        </w:rPr>
      </w:pPr>
    </w:p>
    <w:p>
      <w:pPr>
        <w:ind w:right="40" w:firstLine="749"/>
        <w:spacing w:after="0" w:line="271" w:lineRule="auto"/>
        <w:rPr>
          <w:sz w:val="20"/>
          <w:szCs w:val="20"/>
          <w:color w:val="auto"/>
        </w:rPr>
      </w:pPr>
      <w:r>
        <w:rPr>
          <w:rFonts w:ascii="Arial" w:cs="Arial" w:eastAsia="Arial" w:hAnsi="Arial"/>
          <w:sz w:val="18"/>
          <w:szCs w:val="18"/>
          <w:color w:val="auto"/>
        </w:rPr>
        <w:t>Since inception, the Company has devoted its primary efforts to raising capital, internal research and development activities and business development efforts, and has incurred significant operating losses and negative cash flows from operations. In August 2020, the Company licensed from Mirati Therapeutics, Inc. development and commercialization rights to an allosteric inhibitor program directed towards the polycomb repressive complex 2 (PRC2) and in October 2020, the Company licensed from Voronoi Inc. development and commercialization rights to a brain penetrant, orally bioavailable, irreversible inhibitor designed to selectively target epidermal growth factor receptor (EGFR) and human epidermal growth factor receptor 2 (HER2) with high potency against exon 20 insertion mutations.</w:t>
      </w:r>
    </w:p>
    <w:p>
      <w:pPr>
        <w:spacing w:after="0" w:line="83" w:lineRule="exact"/>
        <w:rPr>
          <w:sz w:val="20"/>
          <w:szCs w:val="20"/>
          <w:color w:val="auto"/>
        </w:rPr>
      </w:pPr>
    </w:p>
    <w:p>
      <w:pPr>
        <w:ind w:right="460" w:firstLine="749"/>
        <w:spacing w:after="0" w:line="359" w:lineRule="auto"/>
        <w:rPr>
          <w:sz w:val="20"/>
          <w:szCs w:val="20"/>
          <w:color w:val="auto"/>
        </w:rPr>
      </w:pPr>
      <w:r>
        <w:rPr>
          <w:rFonts w:ascii="Arial" w:cs="Arial" w:eastAsia="Arial" w:hAnsi="Arial"/>
          <w:sz w:val="16"/>
          <w:szCs w:val="16"/>
          <w:color w:val="auto"/>
        </w:rPr>
        <w:t>As of September 30, 2021, the Company had an accumulated deficit of $222.3 million. Through September 30, 2021, all of the Company’s financial support has been provided by proceeds from the issuance of common stock and from the sale of convertible preferred stock.</w:t>
      </w:r>
    </w:p>
    <w:p>
      <w:pPr>
        <w:spacing w:after="0" w:line="17" w:lineRule="exact"/>
        <w:rPr>
          <w:sz w:val="20"/>
          <w:szCs w:val="20"/>
          <w:color w:val="auto"/>
        </w:rPr>
      </w:pPr>
    </w:p>
    <w:p>
      <w:pPr>
        <w:ind w:right="60" w:firstLine="749"/>
        <w:spacing w:after="0" w:line="311" w:lineRule="auto"/>
        <w:rPr>
          <w:sz w:val="20"/>
          <w:szCs w:val="20"/>
          <w:color w:val="auto"/>
        </w:rPr>
      </w:pPr>
      <w:r>
        <w:rPr>
          <w:rFonts w:ascii="Arial" w:cs="Arial" w:eastAsia="Arial" w:hAnsi="Arial"/>
          <w:sz w:val="16"/>
          <w:szCs w:val="16"/>
          <w:color w:val="auto"/>
        </w:rPr>
        <w:t>As the Company continues its expansion, it may seek additional financing and/or strategic investments, however, there can be no assurance that any additional financing or strategic investments will be available to the Company on acceptable terms, if at all. If events or circumstances occur such that the Company does not obtain additional funding, it will most likely be required to reduce its plans and/or certain discretionary spending, which could have a material adverse effect on the Company’s ability to achieve its intended business objectives. The accompanying financial statements do not include any adjustments that might be necessary if it were unable to continue as a going concern. Management believes that it has sufficient working capital on hand to fund operations through at least the next twelve months from the date of the issuance of these financial statements.</w:t>
      </w:r>
    </w:p>
    <w:p>
      <w:pPr>
        <w:spacing w:after="0" w:line="55"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At-The-Market Sales Agreement and Offering</w:t>
      </w:r>
    </w:p>
    <w:p>
      <w:pPr>
        <w:spacing w:after="0" w:line="131" w:lineRule="exact"/>
        <w:rPr>
          <w:sz w:val="20"/>
          <w:szCs w:val="20"/>
          <w:color w:val="auto"/>
        </w:rPr>
      </w:pPr>
    </w:p>
    <w:p>
      <w:pPr>
        <w:ind w:right="180" w:firstLine="749"/>
        <w:spacing w:after="0" w:line="311" w:lineRule="auto"/>
        <w:rPr>
          <w:sz w:val="20"/>
          <w:szCs w:val="20"/>
          <w:color w:val="auto"/>
        </w:rPr>
      </w:pPr>
      <w:r>
        <w:rPr>
          <w:rFonts w:ascii="Arial" w:cs="Arial" w:eastAsia="Arial" w:hAnsi="Arial"/>
          <w:sz w:val="16"/>
          <w:szCs w:val="16"/>
          <w:color w:val="auto"/>
        </w:rPr>
        <w:t>On May 6, 2021, the Company entered into an "at the market" (ATM) sales agreement with Jefferies LLC as the Company's sales agent, under which the Company may offer and sell from time to time up to $150 million of shares of the Company's common stock in negotiated transactions or transactions that are deemed to be an ATM offering. On July 8, 2021, the Company raised gross proceeds of $50.0 million through the sale of 2,597,402 shares in an ATM offering, with participation based on unsolicited interest received from a healthcare specialist fund. The Company sold such shares at a purchase price per share of $19.25, a premium to the market price at the time of sale. After deducting commissions and other offering expenses related to the ATM offering of $1.9 million, the net proceeds to the Company from the transaction were $48.1 million.</w:t>
      </w:r>
    </w:p>
    <w:p>
      <w:pPr>
        <w:spacing w:after="0" w:line="55"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Secondary Public Offering</w:t>
      </w:r>
    </w:p>
    <w:p>
      <w:pPr>
        <w:spacing w:after="0" w:line="131" w:lineRule="exact"/>
        <w:rPr>
          <w:sz w:val="20"/>
          <w:szCs w:val="20"/>
          <w:color w:val="auto"/>
        </w:rPr>
      </w:pPr>
    </w:p>
    <w:p>
      <w:pPr>
        <w:ind w:firstLine="749"/>
        <w:spacing w:after="0" w:line="275" w:lineRule="auto"/>
        <w:rPr>
          <w:sz w:val="20"/>
          <w:szCs w:val="20"/>
          <w:color w:val="auto"/>
        </w:rPr>
      </w:pPr>
      <w:r>
        <w:rPr>
          <w:rFonts w:ascii="Arial" w:cs="Arial" w:eastAsia="Arial" w:hAnsi="Arial"/>
          <w:sz w:val="18"/>
          <w:szCs w:val="18"/>
          <w:color w:val="auto"/>
        </w:rPr>
        <w:t>On November 17, 2020, the Company completed a secondary public offering selling 5,796,000 shares of common stock, which included the full exercise by the underwriters of their option to purchase up to 756,000 additional shares, at a price of $23.00 per share, resulting in gross proceeds of $133.3 million. After deducting underwriting discounts and commissions and other offering expenses related to the secondary public offering of approximately $8.5 million, the net proceeds to the Company from the transaction were $124.8 million.</w:t>
      </w:r>
    </w:p>
    <w:p>
      <w:pPr>
        <w:spacing w:after="0" w:line="77"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Initial Public Offering and Related Transaction</w:t>
      </w:r>
    </w:p>
    <w:p>
      <w:pPr>
        <w:spacing w:after="0" w:line="13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On April 28, 2020, the Company completed an initial public offering (IPO) selling 8,625,000 shares of common stock, which included the full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exercise by the underwriters of their option to purchase up to 1,125,000 additional shares, at a price of $16.00 per share resulting in gross proceeds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$138.0 million. After deducting underwriting discounts and commissions and other offering expenses related to the IPO of $12.8 million, the net proceeds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to the Company from the transaction were $125.2 million. In connection with the IPO, all shares of convertible preferred stock outstanding at the time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IPO converted into 19,278,606 shares of common stock. On April 21, 2020, the Company amended its certificate of incorporation to effect a one-for-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four reverse stock split of its issued and outstanding common and convertible preferred stock. The accompanying financial statements and related notes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give retroactive effect, where applicable, to the reverse stock split.</w:t>
      </w:r>
    </w:p>
    <w:p>
      <w:pPr>
        <w:spacing w:after="0" w:line="126" w:lineRule="exact"/>
        <w:rPr>
          <w:sz w:val="20"/>
          <w:szCs w:val="20"/>
          <w:color w:val="auto"/>
        </w:rPr>
      </w:pPr>
    </w:p>
    <w:p>
      <w:pPr>
        <w:ind w:left="760" w:right="5660" w:hanging="752"/>
        <w:spacing w:after="0" w:line="393" w:lineRule="auto"/>
        <w:tabs>
          <w:tab w:leader="none" w:pos="191"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Basis of Presentation and Summary of Significant Accounting Policies </w:t>
      </w:r>
      <w:r>
        <w:rPr>
          <w:rFonts w:ascii="Arial" w:cs="Arial" w:eastAsia="Arial" w:hAnsi="Arial"/>
          <w:sz w:val="18"/>
          <w:szCs w:val="18"/>
          <w:b w:val="1"/>
          <w:bCs w:val="1"/>
          <w:i w:val="1"/>
          <w:iCs w:val="1"/>
          <w:color w:val="auto"/>
        </w:rPr>
        <w:t>Basis of Presentation</w:t>
      </w:r>
    </w:p>
    <w:p>
      <w:pPr>
        <w:spacing w:after="0" w:line="1" w:lineRule="exact"/>
        <w:rPr>
          <w:sz w:val="20"/>
          <w:szCs w:val="20"/>
          <w:color w:val="auto"/>
        </w:rPr>
      </w:pPr>
    </w:p>
    <w:p>
      <w:pPr>
        <w:ind w:right="40" w:firstLine="749"/>
        <w:spacing w:after="0" w:line="279" w:lineRule="auto"/>
        <w:rPr>
          <w:sz w:val="20"/>
          <w:szCs w:val="20"/>
          <w:color w:val="auto"/>
        </w:rPr>
      </w:pPr>
      <w:r>
        <w:rPr>
          <w:rFonts w:ascii="Arial" w:cs="Arial" w:eastAsia="Arial" w:hAnsi="Arial"/>
          <w:sz w:val="18"/>
          <w:szCs w:val="18"/>
          <w:color w:val="auto"/>
        </w:rPr>
        <w:t>The accompanying unaudited financial statements have been prepared in accordance with accounting principles generally accepted in the United States (GAAP) for interim financial information and with the instructions of the Securities and Exchange Commission (SEC) on Form 10-Q and Rule 10-01 of Regulation S-X. Certain information and note disclosures normally included in</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9" w:name="page10"/>
    <w:bookmarkEnd w:id="9"/>
    <w:p>
      <w:pPr>
        <w:ind w:right="240"/>
        <w:spacing w:after="0" w:line="329" w:lineRule="auto"/>
        <w:rPr>
          <w:sz w:val="20"/>
          <w:szCs w:val="20"/>
          <w:color w:val="auto"/>
        </w:rPr>
      </w:pPr>
      <w:r>
        <w:rPr>
          <w:rFonts w:ascii="Arial" w:cs="Arial" w:eastAsia="Arial" w:hAnsi="Arial"/>
          <w:sz w:val="16"/>
          <w:szCs w:val="16"/>
          <w:color w:val="auto"/>
        </w:rPr>
        <w:t>annual financial statements prepared in accordance with GAAP, have been omitted. The accompanying unaudited financial statements include all known adjustments necessary for a fair presentation of the results as required by GAAP. These adjustments consist primarily of normal recurring accruals and estimates that impact the carrying value of assets and liabilities. Operating results for the interim period are not necessarily indicative of future results.</w:t>
      </w:r>
    </w:p>
    <w:p>
      <w:pPr>
        <w:spacing w:after="0" w:line="40" w:lineRule="exact"/>
        <w:rPr>
          <w:sz w:val="20"/>
          <w:szCs w:val="20"/>
          <w:color w:val="auto"/>
        </w:rPr>
      </w:pPr>
    </w:p>
    <w:p>
      <w:pPr>
        <w:ind w:right="100" w:firstLine="749"/>
        <w:spacing w:after="0" w:line="306" w:lineRule="auto"/>
        <w:rPr>
          <w:sz w:val="20"/>
          <w:szCs w:val="20"/>
          <w:color w:val="auto"/>
        </w:rPr>
      </w:pPr>
      <w:r>
        <w:rPr>
          <w:rFonts w:ascii="Arial" w:cs="Arial" w:eastAsia="Arial" w:hAnsi="Arial"/>
          <w:sz w:val="16"/>
          <w:szCs w:val="16"/>
          <w:color w:val="auto"/>
        </w:rPr>
        <w:t>In March 2020, the World Health Organization declared the novel coronavirus disease, or COVID-19, outbreak a global pandemic. To limit the spread of COVID-19, governments have taken various actions including the issuance of stay-at-home orders and physical distancing guidelines. Accordingly, businesses have adjusted, reduced or suspended operating activities. A portion of the Company’s workforce continues to work from home. Disruptions caused by the COVID-19 pandemic, including the effects of the stay-at-home orders and work-from-home policies, have impacted productivity, have resulted in increased operational expenses, certain adjustments to the operations of the Company’s clinical trials, the temporary suspension of enrollment of new patients at certain of the Company’s clinical trial sites, and delays in certain supply chain activities and collecting and analyzing data from patients in the Company’s clinical trials, and may further disrupt the business and delay the development programs and regulatory timelines, the magnitude of which will depend, in part, on the length and severity of the restrictions and other limitations on the Company’s ability to conduct business in the ordinary course. As a result, research and development expenses and general and administrative expenses may vary significantly if there is an increased impact from COVID-19 on the costs and timing associated with the conduct of the clinical trials and other related business activities.</w:t>
      </w:r>
    </w:p>
    <w:p>
      <w:pPr>
        <w:spacing w:after="0" w:line="57" w:lineRule="exact"/>
        <w:rPr>
          <w:sz w:val="20"/>
          <w:szCs w:val="20"/>
          <w:color w:val="auto"/>
        </w:rPr>
      </w:pPr>
    </w:p>
    <w:p>
      <w:pPr>
        <w:ind w:firstLine="749"/>
        <w:spacing w:after="0" w:line="272" w:lineRule="auto"/>
        <w:rPr>
          <w:sz w:val="20"/>
          <w:szCs w:val="20"/>
          <w:color w:val="auto"/>
        </w:rPr>
      </w:pPr>
      <w:r>
        <w:rPr>
          <w:rFonts w:ascii="Arial" w:cs="Arial" w:eastAsia="Arial" w:hAnsi="Arial"/>
          <w:sz w:val="18"/>
          <w:szCs w:val="18"/>
          <w:color w:val="auto"/>
        </w:rPr>
        <w:t>The accompanying unaudited financial statements should be read in conjunction with the audited financial statements and the related notes thereto for the year ended December 31, 2020, which are included in the Company’s Annual Report on Form 10-K filed with the SEC. Furthermore, the Company’s significant accounting policies are disclosed in the audited financial statements for the periods ended December 31, 2020 and 2019, included in the Company’s Annual Report on Form 10-K. Since the date of those financial statements, there have been no changes to its significant accounting policies, except as noted below.</w:t>
      </w:r>
    </w:p>
    <w:p>
      <w:pPr>
        <w:spacing w:after="0" w:line="83"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31" w:lineRule="exact"/>
        <w:rPr>
          <w:sz w:val="20"/>
          <w:szCs w:val="20"/>
          <w:color w:val="auto"/>
        </w:rPr>
      </w:pPr>
    </w:p>
    <w:p>
      <w:pPr>
        <w:jc w:val="both"/>
        <w:ind w:right="220" w:firstLine="749"/>
        <w:spacing w:after="0" w:line="279" w:lineRule="auto"/>
        <w:rPr>
          <w:sz w:val="20"/>
          <w:szCs w:val="20"/>
          <w:color w:val="auto"/>
        </w:rPr>
      </w:pPr>
      <w:r>
        <w:rPr>
          <w:rFonts w:ascii="Arial" w:cs="Arial" w:eastAsia="Arial" w:hAnsi="Arial"/>
          <w:sz w:val="18"/>
          <w:szCs w:val="18"/>
          <w:color w:val="auto"/>
        </w:rPr>
        <w:t>The Company considers all highly liquid investments with maturities of 90 days or less at the time of purchase that are readily convertible into cash as cash equivalents. These investments may include money market funds, securities issued by U.S. Government agencies, corporate debt securities and commercial paper.</w:t>
      </w:r>
    </w:p>
    <w:p>
      <w:pPr>
        <w:spacing w:after="0" w:line="75" w:lineRule="exact"/>
        <w:rPr>
          <w:sz w:val="20"/>
          <w:szCs w:val="20"/>
          <w:color w:val="auto"/>
        </w:rPr>
      </w:pPr>
    </w:p>
    <w:p>
      <w:pPr>
        <w:ind w:right="300" w:firstLine="749"/>
        <w:spacing w:after="0" w:line="293" w:lineRule="auto"/>
        <w:rPr>
          <w:sz w:val="20"/>
          <w:szCs w:val="20"/>
          <w:color w:val="auto"/>
        </w:rPr>
      </w:pPr>
      <w:r>
        <w:rPr>
          <w:rFonts w:ascii="Arial" w:cs="Arial" w:eastAsia="Arial" w:hAnsi="Arial"/>
          <w:sz w:val="18"/>
          <w:szCs w:val="18"/>
          <w:color w:val="auto"/>
        </w:rPr>
        <w:t>Cash that is restricted and not available for general operations is considered restricted cash. The Company's restricted cash is in connection to property leases and restrictions will be removed at the respective lease expiration.</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840" w:type="dxa"/>
            <w:vAlign w:val="bottom"/>
            <w:gridSpan w:val="5"/>
          </w:tcPr>
          <w:p>
            <w:pPr>
              <w:ind w:left="760"/>
              <w:spacing w:after="0"/>
              <w:rPr>
                <w:sz w:val="20"/>
                <w:szCs w:val="20"/>
                <w:color w:val="auto"/>
              </w:rPr>
            </w:pPr>
            <w:r>
              <w:rPr>
                <w:rFonts w:ascii="Arial" w:cs="Arial" w:eastAsia="Arial" w:hAnsi="Arial"/>
                <w:sz w:val="18"/>
                <w:szCs w:val="18"/>
                <w:color w:val="auto"/>
                <w:w w:val="90"/>
              </w:rPr>
              <w:t>The following table provides a reconciliation of cash, cash equivalents and restricted cash reported in the balance sheet to the</w:t>
            </w:r>
          </w:p>
        </w:tc>
        <w:tc>
          <w:tcPr>
            <w:tcW w:w="1300" w:type="dxa"/>
            <w:vAlign w:val="bottom"/>
          </w:tcPr>
          <w:p>
            <w:pPr>
              <w:jc w:val="right"/>
              <w:ind w:right="374"/>
              <w:spacing w:after="0"/>
              <w:rPr>
                <w:sz w:val="20"/>
                <w:szCs w:val="20"/>
                <w:color w:val="auto"/>
              </w:rPr>
            </w:pPr>
            <w:r>
              <w:rPr>
                <w:rFonts w:ascii="Arial" w:cs="Arial" w:eastAsia="Arial" w:hAnsi="Arial"/>
                <w:sz w:val="18"/>
                <w:szCs w:val="18"/>
                <w:color w:val="auto"/>
                <w:w w:val="97"/>
              </w:rPr>
              <w:t>total of the</w:t>
            </w:r>
          </w:p>
        </w:tc>
        <w:tc>
          <w:tcPr>
            <w:tcW w:w="100" w:type="dxa"/>
            <w:vAlign w:val="bottom"/>
          </w:tcPr>
          <w:p>
            <w:pPr>
              <w:spacing w:after="0"/>
              <w:rPr>
                <w:sz w:val="19"/>
                <w:szCs w:val="19"/>
                <w:color w:val="auto"/>
              </w:rPr>
            </w:pPr>
          </w:p>
        </w:tc>
      </w:t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amount presented in the statement of cash flows, in thousands:</w:t>
            </w: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63"/>
        </w:trPr>
        <w:tc>
          <w:tcPr>
            <w:tcW w:w="76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310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Pr>
          <w:p>
            <w:pPr>
              <w:spacing w:after="0"/>
              <w:rPr>
                <w:sz w:val="22"/>
                <w:szCs w:val="22"/>
                <w:color w:val="auto"/>
              </w:rPr>
            </w:pPr>
          </w:p>
        </w:tc>
      </w:tr>
      <w:tr>
        <w:trPr>
          <w:trHeight w:val="278"/>
        </w:trPr>
        <w:tc>
          <w:tcPr>
            <w:tcW w:w="76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4"/>
                <w:szCs w:val="24"/>
                <w:color w:val="auto"/>
              </w:rPr>
            </w:pPr>
          </w:p>
        </w:tc>
      </w:tr>
      <w:tr>
        <w:trPr>
          <w:trHeight w:val="256"/>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241,126</w:t>
            </w:r>
          </w:p>
        </w:tc>
        <w:tc>
          <w:tcPr>
            <w:tcW w:w="5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62,031</w:t>
            </w:r>
          </w:p>
        </w:tc>
        <w:tc>
          <w:tcPr>
            <w:tcW w:w="100" w:type="dxa"/>
            <w:vAlign w:val="bottom"/>
            <w:shd w:val="clear" w:color="auto" w:fill="CFF0FC"/>
          </w:tcPr>
          <w:p>
            <w:pPr>
              <w:spacing w:after="0"/>
              <w:rPr>
                <w:sz w:val="22"/>
                <w:szCs w:val="22"/>
                <w:color w:val="auto"/>
              </w:rPr>
            </w:pPr>
          </w:p>
        </w:tc>
      </w:tr>
      <w:tr>
        <w:trPr>
          <w:trHeight w:val="256"/>
        </w:trPr>
        <w:tc>
          <w:tcPr>
            <w:tcW w:w="7660" w:type="dxa"/>
            <w:vAlign w:val="bottom"/>
          </w:tcPr>
          <w:p>
            <w:pPr>
              <w:ind w:left="20"/>
              <w:spacing w:after="0"/>
              <w:rPr>
                <w:sz w:val="20"/>
                <w:szCs w:val="20"/>
                <w:color w:val="auto"/>
              </w:rPr>
            </w:pPr>
            <w:r>
              <w:rPr>
                <w:rFonts w:ascii="Arial" w:cs="Arial" w:eastAsia="Arial" w:hAnsi="Arial"/>
                <w:sz w:val="18"/>
                <w:szCs w:val="18"/>
                <w:color w:val="auto"/>
              </w:rPr>
              <w:t>Restricted cash included in other assets</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2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r>
      <w:tr>
        <w:trPr>
          <w:trHeight w:val="290"/>
        </w:trPr>
        <w:tc>
          <w:tcPr>
            <w:tcW w:w="76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cash, cash equivalents and restricted cash presented in the statement of cash flows</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241,594</w:t>
            </w:r>
          </w:p>
        </w:tc>
        <w:tc>
          <w:tcPr>
            <w:tcW w:w="2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62,031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-24765</wp:posOffset>
            </wp:positionV>
            <wp:extent cx="17145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17145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7"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31" w:lineRule="exact"/>
        <w:rPr>
          <w:sz w:val="20"/>
          <w:szCs w:val="20"/>
          <w:color w:val="auto"/>
        </w:rPr>
      </w:pPr>
    </w:p>
    <w:p>
      <w:pPr>
        <w:ind w:right="300" w:firstLine="749"/>
        <w:spacing w:after="0" w:line="279"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under its accounting standards codification (ASC) or other standard setting bodies and adopted by the Company as of the specified effective date, unless otherwise discussed below.</w:t>
      </w:r>
    </w:p>
    <w:p>
      <w:pPr>
        <w:spacing w:after="0" w:line="75" w:lineRule="exact"/>
        <w:rPr>
          <w:sz w:val="20"/>
          <w:szCs w:val="20"/>
          <w:color w:val="auto"/>
        </w:rPr>
      </w:pPr>
    </w:p>
    <w:p>
      <w:pPr>
        <w:ind w:right="20" w:firstLine="749"/>
        <w:spacing w:after="0" w:line="304" w:lineRule="auto"/>
        <w:rPr>
          <w:sz w:val="20"/>
          <w:szCs w:val="20"/>
          <w:color w:val="auto"/>
        </w:rPr>
      </w:pPr>
      <w:r>
        <w:rPr>
          <w:rFonts w:ascii="Arial" w:cs="Arial" w:eastAsia="Arial" w:hAnsi="Arial"/>
          <w:sz w:val="16"/>
          <w:szCs w:val="16"/>
          <w:color w:val="auto"/>
        </w:rPr>
        <w:t xml:space="preserve">In February 2016, the FASB issued Accounting Standards Update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(ASC 842), which sets out the principles for the recognition, measurement, presentation and disclosure of leases for both parties to a contract (i.e., lessees and lessors). The standard requires lessees to apply a dual approach, classifying leases as either finance or operating leases based on the principle of whether the lease is effectively a financed purchase by the lessee. A lessee is also required to record a right-of-use asset and a lease liability for all leases with a term greater than 12 months regardless of their classification. ASC 842 provides a lessee with an option to not account for leases with a term of 12 months or less as leases in the scope of the new standard. ASC 842 supersedes the previous leases standard, ASC 840 Leases. ASC 842 requires a modified retrospective transition approach for leases existing at, or entered into after, the beginning of the earliest comparative period presented in the financial statements. In July 2018, the FASB issued supplemental adoption guidance and clarification to ASC 842 within ASU No. 2018-10, </w:t>
      </w:r>
      <w:r>
        <w:rPr>
          <w:rFonts w:ascii="Arial" w:cs="Arial" w:eastAsia="Arial" w:hAnsi="Arial"/>
          <w:sz w:val="16"/>
          <w:szCs w:val="16"/>
          <w:i w:val="1"/>
          <w:iCs w:val="1"/>
          <w:color w:val="auto"/>
        </w:rPr>
        <w:t>Codification Improvements to Topic 842, Leases</w:t>
      </w:r>
      <w:r>
        <w:rPr>
          <w:rFonts w:ascii="Arial" w:cs="Arial" w:eastAsia="Arial" w:hAnsi="Arial"/>
          <w:sz w:val="16"/>
          <w:szCs w:val="16"/>
          <w:color w:val="auto"/>
        </w:rPr>
        <w:t xml:space="preserve"> and ASU No. 2018-11, </w:t>
      </w:r>
      <w:r>
        <w:rPr>
          <w:rFonts w:ascii="Arial" w:cs="Arial" w:eastAsia="Arial" w:hAnsi="Arial"/>
          <w:sz w:val="16"/>
          <w:szCs w:val="16"/>
          <w:i w:val="1"/>
          <w:iCs w:val="1"/>
          <w:color w:val="auto"/>
        </w:rPr>
        <w:t>Leases (Topic 842): Targeted Improvements</w:t>
      </w:r>
      <w:r>
        <w:rPr>
          <w:rFonts w:ascii="Arial" w:cs="Arial" w:eastAsia="Arial" w:hAnsi="Arial"/>
          <w:sz w:val="16"/>
          <w:szCs w:val="16"/>
          <w:color w:val="auto"/>
        </w:rPr>
        <w:t>. ASU No. 2018-11 provides another transition method in addition to the existing modified retrospective transition method by allowing entities to initially apply the new leasing standard at the adoption date and recognize a cumulative-effect adjustment to the opening balance of accumulated deficit in the period of adoption. On January 1, 2021, the Company early adopted ASC 842 using the modified retrospective approach. Accordingly, prior period financial information and disclosures have not been adjusted and continue to be reported in accordance with the Company’s historical accounting under the previous lease standard. In addition, the Company elected the package of practical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0" w:name="page11"/>
    <w:bookmarkEnd w:id="10"/>
    <w:p>
      <w:pPr>
        <w:ind w:right="200"/>
        <w:spacing w:after="0" w:line="272" w:lineRule="auto"/>
        <w:rPr>
          <w:sz w:val="20"/>
          <w:szCs w:val="20"/>
          <w:color w:val="auto"/>
        </w:rPr>
      </w:pPr>
      <w:r>
        <w:rPr>
          <w:rFonts w:ascii="Arial" w:cs="Arial" w:eastAsia="Arial" w:hAnsi="Arial"/>
          <w:sz w:val="18"/>
          <w:szCs w:val="18"/>
          <w:color w:val="auto"/>
        </w:rPr>
        <w:t>expedients available for existing contracts, which allowed it to carry forward historical assessments of lease identification, lease classification, and initial direct costs. As a result of adopting ASC 842, the Company recognized right-of-use assets and lease liabilities of $1.7 million and $2.5 million, respectively, on January 1, 2021, which are related to our facility operating leases (Note 9). The difference between the right-of-use assets and lease liabilities is primarily attributed to the elimination of deferred rent and unamortized lease incentives. There was no adjustment to the opening balance of accumulated deficit as a result of the adoption of ASC 842.</w:t>
      </w:r>
    </w:p>
    <w:p>
      <w:pPr>
        <w:spacing w:after="0" w:line="83" w:lineRule="exact"/>
        <w:rPr>
          <w:sz w:val="20"/>
          <w:szCs w:val="20"/>
          <w:color w:val="auto"/>
        </w:rPr>
      </w:pPr>
    </w:p>
    <w:p>
      <w:pPr>
        <w:ind w:right="40" w:firstLine="749"/>
        <w:spacing w:after="0" w:line="309" w:lineRule="auto"/>
        <w:rPr>
          <w:sz w:val="20"/>
          <w:szCs w:val="20"/>
          <w:color w:val="auto"/>
        </w:rPr>
      </w:pPr>
      <w:r>
        <w:rPr>
          <w:rFonts w:ascii="Arial" w:cs="Arial" w:eastAsia="Arial" w:hAnsi="Arial"/>
          <w:sz w:val="16"/>
          <w:szCs w:val="16"/>
          <w:color w:val="auto"/>
        </w:rPr>
        <w:t>The Company determines if an arrangement is or contains a lease at inception. The Company’s operating leases with an initial term greater than one year are accounted for with operating lease right-of-use assets, operating lease liabilities and operating lease liabilities, less current portion, which are included in other assets, accrued liabilities and other long-term liabilities, respectively, on the balance sheet as of September 30, 2021. Right-of-use assets represent the right to use an underlying asset during the lease term and lease liabilities represent an obligation to make lease payments arising from the lease. Operating lease right-of-use assets and liabilities are recognized at the lease commencement date, based on the present value of lease payments over the lease term. In determining the net present value of lease payments, the Company uses its incremental borrowing rate which represents an estimated rate of interest that the Company would have to pay to borrow equivalent funds on a collateralized basis at the lease commencement date.</w:t>
      </w:r>
    </w:p>
    <w:p>
      <w:pPr>
        <w:spacing w:after="0" w:line="56" w:lineRule="exact"/>
        <w:rPr>
          <w:sz w:val="20"/>
          <w:szCs w:val="20"/>
          <w:color w:val="auto"/>
        </w:rPr>
      </w:pPr>
    </w:p>
    <w:p>
      <w:pPr>
        <w:ind w:right="180" w:firstLine="749"/>
        <w:spacing w:after="0" w:line="324" w:lineRule="auto"/>
        <w:rPr>
          <w:sz w:val="20"/>
          <w:szCs w:val="20"/>
          <w:color w:val="auto"/>
        </w:rPr>
      </w:pPr>
      <w:r>
        <w:rPr>
          <w:rFonts w:ascii="Arial" w:cs="Arial" w:eastAsia="Arial" w:hAnsi="Arial"/>
          <w:sz w:val="17"/>
          <w:szCs w:val="17"/>
          <w:color w:val="auto"/>
        </w:rPr>
        <w:t>The Company’s operating leases may include options to extend the lease which are included in the lease term when it is reasonably certain that we will exercise a renewal option. Operating lease expense is recognized on a straight-line basis over the expected lease term.</w:t>
      </w:r>
    </w:p>
    <w:p>
      <w:pPr>
        <w:spacing w:after="0" w:line="39" w:lineRule="exact"/>
        <w:rPr>
          <w:sz w:val="20"/>
          <w:szCs w:val="20"/>
          <w:color w:val="auto"/>
        </w:rPr>
      </w:pPr>
    </w:p>
    <w:p>
      <w:pPr>
        <w:ind w:right="60" w:firstLine="749"/>
        <w:spacing w:after="0" w:line="306" w:lineRule="auto"/>
        <w:rPr>
          <w:sz w:val="20"/>
          <w:szCs w:val="20"/>
          <w:color w:val="auto"/>
        </w:rPr>
      </w:pPr>
      <w:r>
        <w:rPr>
          <w:rFonts w:ascii="Arial" w:cs="Arial" w:eastAsia="Arial" w:hAnsi="Arial"/>
          <w:sz w:val="16"/>
          <w:szCs w:val="16"/>
          <w:color w:val="auto"/>
        </w:rPr>
        <w:t>In June 2016, the FASB issued ASU No. 2016-13, Financial Instruments—Credit Losses (Topic 326) (ASC 326): Measurement of Credit Losses on Financial Instruments, which introduced the expected credit losses methodology for the measurement of credit losses on financial assets measured at amortized cost basis, replacing the previous incurred loss methodology. The amendments in Update 2016-13 added Topic 326, Financial Instruments— Credit Losses, and made several consequential amendments to the Codification. Update 2016-13 also modified the accounting for available-for-sale debt securities, which must be individually assessed for credit losses when fair value is less than the amortized cost basis, in accordance with Subtopic 326-30, Financial Instruments— Credit Losses—Available-for-Sale Debt Securities. The guidance is effective for public business entities for annual periods beginning after December 15, 2019, including interim periods within those years. For all other entities, the standard is effective for annual periods beginning after December 15, 2022 and interim periods, therein. Early adoption is permitted. The Company early adopted the new standard in the first quarter of 2021, using the modified retrospective approach. The adoption did not have a material impact on its financial statements.</w:t>
      </w:r>
    </w:p>
    <w:p>
      <w:pPr>
        <w:spacing w:after="0" w:line="62" w:lineRule="exact"/>
        <w:rPr>
          <w:sz w:val="20"/>
          <w:szCs w:val="20"/>
          <w:color w:val="auto"/>
        </w:rPr>
      </w:pPr>
    </w:p>
    <w:p>
      <w:pPr>
        <w:ind w:right="40" w:firstLine="749"/>
        <w:spacing w:after="0" w:line="275" w:lineRule="auto"/>
        <w:rPr>
          <w:sz w:val="20"/>
          <w:szCs w:val="20"/>
          <w:color w:val="auto"/>
        </w:rPr>
      </w:pPr>
      <w:r>
        <w:rPr>
          <w:rFonts w:ascii="Arial" w:cs="Arial" w:eastAsia="Arial" w:hAnsi="Arial"/>
          <w:sz w:val="18"/>
          <w:szCs w:val="18"/>
          <w:color w:val="auto"/>
        </w:rPr>
        <w:t>In accordance with ASU 2016-13, the Company will no longer evaluate whether its available-for-sale investments in an unrealized loss position are other than temporarily impaired. Instead, the Company will assess whether such unrealized loss positions are credit-related. The credit-related portion of unrealized losses, and any subsequent improvements, are recorded in interest income through an allowance account. Unrealized gains and losses that are not credit-related are included in accumulated other comprehensive income (loss).</w:t>
      </w:r>
    </w:p>
    <w:p>
      <w:pPr>
        <w:spacing w:after="0" w:line="73"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License Agreements</w:t>
      </w:r>
    </w:p>
    <w:p>
      <w:pPr>
        <w:spacing w:after="0" w:line="135"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Mirati License Agreement</w:t>
      </w:r>
    </w:p>
    <w:p>
      <w:pPr>
        <w:spacing w:after="0" w:line="131" w:lineRule="exact"/>
        <w:rPr>
          <w:sz w:val="20"/>
          <w:szCs w:val="20"/>
          <w:color w:val="auto"/>
        </w:rPr>
      </w:pPr>
    </w:p>
    <w:p>
      <w:pPr>
        <w:ind w:right="40" w:firstLine="749"/>
        <w:spacing w:after="0" w:line="290" w:lineRule="auto"/>
        <w:rPr>
          <w:sz w:val="20"/>
          <w:szCs w:val="20"/>
          <w:color w:val="auto"/>
        </w:rPr>
      </w:pPr>
      <w:r>
        <w:rPr>
          <w:rFonts w:ascii="Arial" w:cs="Arial" w:eastAsia="Arial" w:hAnsi="Arial"/>
          <w:sz w:val="17"/>
          <w:szCs w:val="17"/>
          <w:color w:val="auto"/>
        </w:rPr>
        <w:t>On August 3, 2020, the Company entered into a license agreement (Mirati License Agreement) with Mirati Therapeutics, Inc (Mirati). Under the Mirati License Agreement, Mirati granted the Company a worldwide, exclusive, sublicensable, royalty-free license under Mirati’s rights to certain patents and patent applications directed to certain small molecule compounds that bind to and inhibit PRC2 and certain related know-how, in each case, to develop and commercialize certain licensed compounds and licensed products incorporating any such compounds. Under the Mirati License Agreement, the Company is wholly responsible for development and commercialization of licensed products. In addition, the Company is obligated to use commercially reasonable efforts to develop and commercialize at least one licensed product in certain major markets.</w:t>
      </w:r>
    </w:p>
    <w:p>
      <w:pPr>
        <w:spacing w:after="0" w:line="68" w:lineRule="exact"/>
        <w:rPr>
          <w:sz w:val="20"/>
          <w:szCs w:val="20"/>
          <w:color w:val="auto"/>
        </w:rPr>
      </w:pPr>
    </w:p>
    <w:p>
      <w:pPr>
        <w:ind w:firstLine="749"/>
        <w:spacing w:after="0" w:line="270" w:lineRule="auto"/>
        <w:rPr>
          <w:sz w:val="20"/>
          <w:szCs w:val="20"/>
          <w:color w:val="auto"/>
        </w:rPr>
      </w:pPr>
      <w:r>
        <w:rPr>
          <w:rFonts w:ascii="Arial" w:cs="Arial" w:eastAsia="Arial" w:hAnsi="Arial"/>
          <w:sz w:val="18"/>
          <w:szCs w:val="18"/>
          <w:color w:val="auto"/>
        </w:rPr>
        <w:t>The Company’s financial obligation under the Mirati License Agreement was comprised of an upfront payment of 588,235 shares of ORIC common stock, valued at approximately $13.0 million based upon the closing price of the Company’s common stock on the acquisition date. The number of shares issued was based on a price of $34.00 per share, representing a premium of 10% to the 60-day trailing volume-weighted average trading price of the Company’s common stock. The shares were issued in a private placement in reliance on Section 4(a)(2) of the Securities Act of 1933, as amended, for transactions by an issuer not involving any public offering. During the eighteen-month period following the date of the agreement, Mirati is subject to certain transfer restrictions, and the parties agreed to negotiate and enter into a registration rights agreement, with respect to the shares. The Company is not obligated to pay Mirati milestones or royalties.</w:t>
      </w:r>
    </w:p>
    <w:p>
      <w:pPr>
        <w:spacing w:after="0" w:line="84" w:lineRule="exact"/>
        <w:rPr>
          <w:sz w:val="20"/>
          <w:szCs w:val="20"/>
          <w:color w:val="auto"/>
        </w:rPr>
      </w:pPr>
    </w:p>
    <w:p>
      <w:pPr>
        <w:ind w:right="160" w:firstLine="749"/>
        <w:spacing w:after="0" w:line="279" w:lineRule="auto"/>
        <w:rPr>
          <w:sz w:val="20"/>
          <w:szCs w:val="20"/>
          <w:color w:val="auto"/>
        </w:rPr>
      </w:pPr>
      <w:r>
        <w:rPr>
          <w:rFonts w:ascii="Arial" w:cs="Arial" w:eastAsia="Arial" w:hAnsi="Arial"/>
          <w:sz w:val="18"/>
          <w:szCs w:val="18"/>
          <w:color w:val="auto"/>
        </w:rPr>
        <w:t>Unless earlier terminated, the Mirati License Agreement will continue in effect on a country-by-country and licensed product-by-licensed product basis until the later of (a) the expiration of the last valid claim of a licensed patent covering such licensed product in such country or (b) ten years after the first commercial sale of such licensed product in such country. Following the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11" w:name="page12"/>
    <w:bookmarkEnd w:id="11"/>
    <w:p>
      <w:pPr>
        <w:ind w:right="40"/>
        <w:spacing w:after="0" w:line="292" w:lineRule="auto"/>
        <w:rPr>
          <w:sz w:val="20"/>
          <w:szCs w:val="20"/>
          <w:color w:val="auto"/>
        </w:rPr>
      </w:pPr>
      <w:r>
        <w:rPr>
          <w:rFonts w:ascii="Arial" w:cs="Arial" w:eastAsia="Arial" w:hAnsi="Arial"/>
          <w:sz w:val="17"/>
          <w:szCs w:val="17"/>
          <w:color w:val="auto"/>
        </w:rPr>
        <w:t>expiration of the Mirati License Agreement, the Company will retain its licenses under the intellectual property Mirati licensed to it on a royalty-free basis. ORIC and Mirati may each terminate the Mirati License Agreement if the other party materially breaches the terms of such agreement, subject to specified notice and cure provisions, or enters into bankruptcy or insolvency proceedings. Mirati may terminate the agreement if the Company challenges any of the patent rights licensed to the Company by Mirati or it discontinues development of licensed products for a specified period of time. The Company also has the right to terminate the Mirati License Agreement without cause by providing prior notice to Mirati.</w:t>
      </w:r>
    </w:p>
    <w:p>
      <w:pPr>
        <w:spacing w:after="0" w:line="66" w:lineRule="exact"/>
        <w:rPr>
          <w:sz w:val="20"/>
          <w:szCs w:val="20"/>
          <w:color w:val="auto"/>
        </w:rPr>
      </w:pPr>
    </w:p>
    <w:p>
      <w:pPr>
        <w:ind w:right="80" w:firstLine="749"/>
        <w:spacing w:after="0" w:line="275" w:lineRule="auto"/>
        <w:rPr>
          <w:sz w:val="20"/>
          <w:szCs w:val="20"/>
          <w:color w:val="auto"/>
        </w:rPr>
      </w:pPr>
      <w:r>
        <w:rPr>
          <w:rFonts w:ascii="Arial" w:cs="Arial" w:eastAsia="Arial" w:hAnsi="Arial"/>
          <w:sz w:val="18"/>
          <w:szCs w:val="18"/>
          <w:color w:val="auto"/>
        </w:rPr>
        <w:t>The Company recorded the transaction as an asset purchase as management concluded that all of the value received was related to a single identifiable asset. Further, as the asset was in early development at the time the license was acquired, the Company concluded that there was no alternative future use for the asset and recorded a charge to acquired in-process research and development at the closing of the transaction in August 2020 for the full $13.0 million value assigned to the shares issued in connection with Mirati License Agreement.</w:t>
      </w:r>
    </w:p>
    <w:p>
      <w:pPr>
        <w:spacing w:after="0" w:line="77"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Voronoi License Agreement</w:t>
      </w:r>
    </w:p>
    <w:p>
      <w:pPr>
        <w:spacing w:after="0" w:line="131" w:lineRule="exact"/>
        <w:rPr>
          <w:sz w:val="20"/>
          <w:szCs w:val="20"/>
          <w:color w:val="auto"/>
        </w:rPr>
      </w:pPr>
    </w:p>
    <w:p>
      <w:pPr>
        <w:ind w:firstLine="749"/>
        <w:spacing w:after="0" w:line="286" w:lineRule="auto"/>
        <w:rPr>
          <w:sz w:val="20"/>
          <w:szCs w:val="20"/>
          <w:color w:val="auto"/>
        </w:rPr>
      </w:pPr>
      <w:r>
        <w:rPr>
          <w:rFonts w:ascii="Arial" w:cs="Arial" w:eastAsia="Arial" w:hAnsi="Arial"/>
          <w:sz w:val="17"/>
          <w:szCs w:val="17"/>
          <w:color w:val="auto"/>
        </w:rPr>
        <w:t>On October 19, 2020, the Company entered into a license and collaboration agreement (Voronoi License Agreement) with Voronoi Inc. (Voronoi). The Voronoi License Agreement gives the Company access to Voronoi’s preclinical stage EGFR and HER2 exon 20 insertion mutation program, including a lead product candidate now designated as ORIC-114. Under the Voronoi License Agreement, Voronoi granted the Company an exclusive, sublicensable license under Voronoi’s rights to certain patent applications directed to certain small molecule compounds that bind to EGFR and HER2 with one or more exon 20 insertion mutations and certain related know-how, in each case, to develop and commercialize certain licensed compounds and licensed products incorporating any such compound worldwide (other than in the People’s Republic of China, Hong Kong, Macau and Taiwan) (the ORIC Territory). Under the Voronoi License Agreement, Voronoi has the right to perform certain mutually agreed upon development activities. Except for Voronoi's right to participate in such development activities, the Company is wholly responsible for development and commercialization of licensed products in the ORIC Territory. In addition, the Company is obligated to use commercially reasonable efforts to develop and commercialize at least one licensed product in certain major markets in the ORIC Territory.</w:t>
      </w:r>
    </w:p>
    <w:p>
      <w:pPr>
        <w:spacing w:after="0" w:line="74" w:lineRule="exact"/>
        <w:rPr>
          <w:sz w:val="20"/>
          <w:szCs w:val="20"/>
          <w:color w:val="auto"/>
        </w:rPr>
      </w:pPr>
    </w:p>
    <w:p>
      <w:pPr>
        <w:ind w:right="120" w:firstLine="749"/>
        <w:spacing w:after="0" w:line="271" w:lineRule="auto"/>
        <w:rPr>
          <w:sz w:val="20"/>
          <w:szCs w:val="20"/>
          <w:color w:val="auto"/>
        </w:rPr>
      </w:pPr>
      <w:r>
        <w:rPr>
          <w:rFonts w:ascii="Arial" w:cs="Arial" w:eastAsia="Arial" w:hAnsi="Arial"/>
          <w:sz w:val="18"/>
          <w:szCs w:val="18"/>
          <w:color w:val="auto"/>
        </w:rPr>
        <w:t>The Company’s financial obligations under the Voronoi License Agreement included an upfront payment comprised of a $5.0 million cash payment and the issuance to Voronoi of 283,259 shares of the Company’s common stock, valued at approximately $6.8 million, issued pursuant to a stock issuance agreement (Stock Agreement) entered into between the parties on October 19, 2020. The number of shares issued pursuant to the Stock Agreement was based on a price of $28.24 per share, representing a premium of 25% to the 30-day trailing volume weighted average trading price of the Company’s common stock. The shares were issued in a private placement in reliance on Section 4(a)(2) of the Securities Act of 1933, as amended, for transactions by an issuer not involving any public offering.</w:t>
      </w:r>
    </w:p>
    <w:p>
      <w:pPr>
        <w:spacing w:after="0" w:line="83" w:lineRule="exact"/>
        <w:rPr>
          <w:sz w:val="20"/>
          <w:szCs w:val="20"/>
          <w:color w:val="auto"/>
        </w:rPr>
      </w:pPr>
    </w:p>
    <w:p>
      <w:pPr>
        <w:ind w:right="40" w:firstLine="749"/>
        <w:spacing w:after="0" w:line="308" w:lineRule="auto"/>
        <w:rPr>
          <w:sz w:val="20"/>
          <w:szCs w:val="20"/>
          <w:color w:val="auto"/>
        </w:rPr>
      </w:pPr>
      <w:r>
        <w:rPr>
          <w:rFonts w:ascii="Arial" w:cs="Arial" w:eastAsia="Arial" w:hAnsi="Arial"/>
          <w:sz w:val="16"/>
          <w:szCs w:val="16"/>
          <w:color w:val="auto"/>
        </w:rPr>
        <w:t>Under the Voronoi License Agreement, Voronoi will be responsible for certain research and development costs up to a predetermined threshold. Upon achievement of the predetermined threshold, Voronoi has the option to opt-out of participation in and funding of future development activities. If Voronoi decides not to exercise the opt-out provision, the parties would share certain future research and development costs equally in the Republic of Korea. The Company is also obligated to make milestone payments to Voronoi upon the achievement of certain events. Upon the achievement of certain development and regulatory milestones with respect to the first licensed product, the Company is obligated to pay Voronoi up to a maximum of $111.0 million. Upon the achievement of certain commercial milestones with respect to the first licensed product, the Company is obligated to pay Voronoi up to a maximum of $225.0 million. If the Company pursues a second licensed product, the Company would pay Voronoi up to an additional $272.0 million in success-based milestones. In addition, the Company is obligated to pay royalties on net sales of licensed products in the ORIC Territory.</w:t>
      </w:r>
    </w:p>
    <w:p>
      <w:pPr>
        <w:spacing w:after="0" w:line="55" w:lineRule="exact"/>
        <w:rPr>
          <w:sz w:val="20"/>
          <w:szCs w:val="20"/>
          <w:color w:val="auto"/>
        </w:rPr>
      </w:pPr>
    </w:p>
    <w:p>
      <w:pPr>
        <w:ind w:right="80" w:firstLine="749"/>
        <w:spacing w:after="0" w:line="290" w:lineRule="auto"/>
        <w:rPr>
          <w:sz w:val="20"/>
          <w:szCs w:val="20"/>
          <w:color w:val="auto"/>
        </w:rPr>
      </w:pPr>
      <w:r>
        <w:rPr>
          <w:rFonts w:ascii="Arial" w:cs="Arial" w:eastAsia="Arial" w:hAnsi="Arial"/>
          <w:sz w:val="17"/>
          <w:szCs w:val="17"/>
          <w:color w:val="auto"/>
        </w:rPr>
        <w:t>Unless earlier terminated, the Voronoi License Agreement will continue in effect until the expiration of all royalty payment obligations. Following the expiration of the Voronoi License Agreement, the Company will retain its licenses under the intellectual property Voronoi licensed to it on a royalty-free basis. The Company and Voronoi may each terminate the Voronoi License Agreement if the other party materially breaches the terms of such agreement, subject to specified notice and cure provisions, or enters into bankruptcy or insolvency proceedings. Voronoi may also terminate the agreement if the Company discontinues development of licensed products for a specified period of time. The Company also has the right to terminate the Voronoi License Agreement without cause by providing prior notice to Voronoi.</w:t>
      </w:r>
    </w:p>
    <w:p>
      <w:pPr>
        <w:spacing w:after="0" w:line="68" w:lineRule="exact"/>
        <w:rPr>
          <w:sz w:val="20"/>
          <w:szCs w:val="20"/>
          <w:color w:val="auto"/>
        </w:rPr>
      </w:pPr>
    </w:p>
    <w:p>
      <w:pPr>
        <w:ind w:right="160" w:firstLine="749"/>
        <w:spacing w:after="0" w:line="279" w:lineRule="auto"/>
        <w:rPr>
          <w:sz w:val="20"/>
          <w:szCs w:val="20"/>
          <w:color w:val="auto"/>
        </w:rPr>
      </w:pPr>
      <w:r>
        <w:rPr>
          <w:rFonts w:ascii="Arial" w:cs="Arial" w:eastAsia="Arial" w:hAnsi="Arial"/>
          <w:sz w:val="18"/>
          <w:szCs w:val="18"/>
          <w:color w:val="auto"/>
        </w:rPr>
        <w:t>If Voronoi terminates the Voronoi License Agreement for cause, or if the Company terminates the Voronoi License Agreement without cause, then the Company is obligated to grant a nonexclusive license to Voronoi under certain of the Company’s patents and know-how and to assign to Voronoi certain of its regulatory filings for licensed compounds and licensed products.</w:t>
      </w:r>
    </w:p>
    <w:p>
      <w:pPr>
        <w:spacing w:after="0" w:line="75" w:lineRule="exact"/>
        <w:rPr>
          <w:sz w:val="20"/>
          <w:szCs w:val="20"/>
          <w:color w:val="auto"/>
        </w:rPr>
      </w:pPr>
    </w:p>
    <w:p>
      <w:pPr>
        <w:ind w:right="60" w:firstLine="749"/>
        <w:spacing w:after="0" w:line="272" w:lineRule="auto"/>
        <w:rPr>
          <w:sz w:val="20"/>
          <w:szCs w:val="20"/>
          <w:color w:val="auto"/>
        </w:rPr>
      </w:pPr>
      <w:r>
        <w:rPr>
          <w:rFonts w:ascii="Arial" w:cs="Arial" w:eastAsia="Arial" w:hAnsi="Arial"/>
          <w:sz w:val="18"/>
          <w:szCs w:val="18"/>
          <w:color w:val="auto"/>
        </w:rPr>
        <w:t>The Company recorded the transaction as an asset purchase as management concluded that all of the value received was related to a specific identifiable asset related to EGFR and HER2. Further, as the asset was in early development at the time the license was acquired, the Company concluded that there was no alternative future use for the asset and recorded a charge to acquired in-process research and development expense of $11.8 million at the closing of the transaction in October 2020, which consisted of the $5.0 million cash payment plus the $6.8 million value assigned to the shares issued in connection with Voronoi License Agreement.</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 xml:space="preserve">4. </w:t>
      </w:r>
      <w:r>
        <w:rPr>
          <w:rFonts w:ascii="Arial" w:cs="Arial" w:eastAsia="Arial" w:hAnsi="Arial"/>
          <w:sz w:val="18"/>
          <w:szCs w:val="18"/>
          <w:b w:val="1"/>
          <w:bCs w:val="1"/>
          <w:u w:val="single" w:color="auto"/>
          <w:color w:val="auto"/>
        </w:rPr>
        <w:t>Property and Equipment, net</w:t>
      </w:r>
    </w:p>
    <w:p>
      <w:pPr>
        <w:spacing w:after="0" w:line="13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w w:val="99"/>
              </w:rPr>
              <w:t>September 30, 2021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gridSpan w:val="2"/>
          </w:tcPr>
          <w:p>
            <w:pPr>
              <w:spacing w:after="0"/>
              <w:rPr>
                <w:sz w:val="16"/>
                <w:szCs w:val="16"/>
                <w:color w:val="auto"/>
              </w:rPr>
            </w:pPr>
          </w:p>
        </w:tc>
      </w:tr>
      <w:tr>
        <w:trPr>
          <w:trHeight w:val="256"/>
        </w:trPr>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Lab equipment</w:t>
            </w:r>
          </w:p>
        </w:tc>
        <w:tc>
          <w:tcPr>
            <w:tcW w:w="540" w:type="dxa"/>
            <w:vAlign w:val="bottom"/>
            <w:gridSpan w:val="2"/>
            <w:shd w:val="clear" w:color="auto" w:fill="CFF0FC"/>
          </w:tcPr>
          <w:p>
            <w:pPr>
              <w:jc w:val="right"/>
              <w:ind w:right="19"/>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4,641</w:t>
            </w:r>
          </w:p>
        </w:tc>
        <w:tc>
          <w:tcPr>
            <w:tcW w:w="100" w:type="dxa"/>
            <w:vAlign w:val="bottom"/>
            <w:shd w:val="clear" w:color="auto" w:fill="CFF0FC"/>
          </w:tcPr>
          <w:p>
            <w:pPr>
              <w:spacing w:after="0"/>
              <w:rPr>
                <w:sz w:val="22"/>
                <w:szCs w:val="22"/>
                <w:color w:val="auto"/>
              </w:rPr>
            </w:pP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4,396</w:t>
            </w:r>
          </w:p>
        </w:tc>
        <w:tc>
          <w:tcPr>
            <w:tcW w:w="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1,710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1,710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63"/>
        </w:trPr>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Computer hardware and software</w:t>
            </w:r>
          </w:p>
        </w:tc>
        <w:tc>
          <w:tcPr>
            <w:tcW w:w="3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Furniture and fixtures</w:t>
            </w:r>
          </w:p>
        </w:tc>
        <w:tc>
          <w:tcPr>
            <w:tcW w:w="3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56"/>
        </w:trPr>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64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Total property and equipment, gross</w:t>
            </w:r>
          </w:p>
        </w:tc>
        <w:tc>
          <w:tcPr>
            <w:tcW w:w="3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6,703</w:t>
            </w:r>
          </w:p>
        </w:tc>
        <w:tc>
          <w:tcPr>
            <w:tcW w:w="1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6,466</w:t>
            </w:r>
          </w:p>
        </w:tc>
        <w:tc>
          <w:tcPr>
            <w:tcW w:w="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Less accumulated depreciation</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gridSpan w:val="3"/>
          </w:tcPr>
          <w:p>
            <w:pPr>
              <w:jc w:val="right"/>
              <w:ind w:right="40"/>
              <w:spacing w:after="0"/>
              <w:rPr>
                <w:sz w:val="20"/>
                <w:szCs w:val="20"/>
                <w:color w:val="auto"/>
              </w:rPr>
            </w:pPr>
            <w:r>
              <w:rPr>
                <w:rFonts w:ascii="Arial" w:cs="Arial" w:eastAsia="Arial" w:hAnsi="Arial"/>
                <w:sz w:val="18"/>
                <w:szCs w:val="18"/>
                <w:color w:val="auto"/>
              </w:rPr>
              <w:t>(4,878 )</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gridSpan w:val="3"/>
          </w:tcPr>
          <w:p>
            <w:pPr>
              <w:jc w:val="right"/>
              <w:ind w:right="40"/>
              <w:spacing w:after="0"/>
              <w:rPr>
                <w:sz w:val="20"/>
                <w:szCs w:val="20"/>
                <w:color w:val="auto"/>
              </w:rPr>
            </w:pPr>
            <w:r>
              <w:rPr>
                <w:rFonts w:ascii="Arial" w:cs="Arial" w:eastAsia="Arial" w:hAnsi="Arial"/>
                <w:sz w:val="18"/>
                <w:szCs w:val="18"/>
                <w:color w:val="auto"/>
              </w:rPr>
              <w:t>(4,485 )</w:t>
            </w:r>
          </w:p>
        </w:tc>
      </w:tr>
      <w:tr>
        <w:trPr>
          <w:trHeight w:val="290"/>
        </w:trPr>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40" w:type="dxa"/>
            <w:vAlign w:val="bottom"/>
            <w:tcBorders>
              <w:bottom w:val="single" w:sz="8" w:color="CFF0FC"/>
            </w:tcBorders>
            <w:gridSpan w:val="2"/>
            <w:shd w:val="clear" w:color="auto" w:fill="CFF0FC"/>
          </w:tcPr>
          <w:p>
            <w:pPr>
              <w:ind w:left="180"/>
              <w:spacing w:after="0"/>
              <w:rPr>
                <w:sz w:val="20"/>
                <w:szCs w:val="20"/>
                <w:color w:val="auto"/>
              </w:rPr>
            </w:pPr>
            <w:r>
              <w:rPr>
                <w:rFonts w:ascii="Arial" w:cs="Arial" w:eastAsia="Arial" w:hAnsi="Arial"/>
                <w:sz w:val="18"/>
                <w:szCs w:val="18"/>
                <w:color w:val="auto"/>
              </w:rPr>
              <w:t>Total property and equipment, net</w:t>
            </w:r>
          </w:p>
        </w:tc>
        <w:tc>
          <w:tcPr>
            <w:tcW w:w="3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1,825</w:t>
            </w: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1,981</w:t>
            </w:r>
          </w:p>
        </w:tc>
        <w:tc>
          <w:tcPr>
            <w:tcW w:w="2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bottom w:val="single" w:sz="8" w:color="CFF0FC"/>
            </w:tcBorders>
            <w:shd w:val="clear" w:color="auto" w:fill="CFF0FC"/>
          </w:tcPr>
          <w:p>
            <w:pPr>
              <w:spacing w:after="0"/>
              <w:rPr>
                <w:sz w:val="24"/>
                <w:szCs w:val="24"/>
                <w:color w:val="auto"/>
              </w:rPr>
            </w:pPr>
          </w:p>
        </w:tc>
      </w:tr>
      <w:tr>
        <w:trPr>
          <w:trHeight w:val="513"/>
        </w:trPr>
        <w:tc>
          <w:tcPr>
            <w:tcW w:w="5780" w:type="dxa"/>
            <w:vAlign w:val="bottom"/>
            <w:gridSpan w:val="4"/>
          </w:tcPr>
          <w:p>
            <w:pPr>
              <w:spacing w:after="0"/>
              <w:rPr>
                <w:sz w:val="20"/>
                <w:szCs w:val="20"/>
                <w:color w:val="auto"/>
              </w:rPr>
            </w:pPr>
            <w:r>
              <w:rPr>
                <w:rFonts w:ascii="Arial" w:cs="Arial" w:eastAsia="Arial" w:hAnsi="Arial"/>
                <w:sz w:val="18"/>
                <w:szCs w:val="18"/>
                <w:b w:val="1"/>
                <w:bCs w:val="1"/>
                <w:color w:val="auto"/>
              </w:rPr>
              <w:t>5. Accrued Liabilities</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180" w:type="dxa"/>
            <w:vAlign w:val="bottom"/>
          </w:tcPr>
          <w:p>
            <w:pPr>
              <w:spacing w:after="0" w:line="20" w:lineRule="exact"/>
              <w:rPr>
                <w:sz w:val="1"/>
                <w:szCs w:val="1"/>
                <w:color w:val="auto"/>
              </w:rPr>
            </w:pPr>
          </w:p>
        </w:tc>
        <w:tc>
          <w:tcPr>
            <w:tcW w:w="1480" w:type="dxa"/>
            <w:vAlign w:val="bottom"/>
            <w:gridSpan w:val="2"/>
            <w:shd w:val="clear" w:color="auto" w:fill="000000"/>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8"/>
        </w:trPr>
        <w:tc>
          <w:tcPr>
            <w:tcW w:w="180" w:type="dxa"/>
            <w:vAlign w:val="bottom"/>
          </w:tcPr>
          <w:p>
            <w:pPr>
              <w:spacing w:after="0"/>
              <w:rPr>
                <w:sz w:val="24"/>
                <w:szCs w:val="24"/>
                <w:color w:val="auto"/>
              </w:rPr>
            </w:pPr>
          </w:p>
        </w:tc>
        <w:tc>
          <w:tcPr>
            <w:tcW w:w="5600" w:type="dxa"/>
            <w:vAlign w:val="bottom"/>
            <w:gridSpan w:val="3"/>
          </w:tcPr>
          <w:p>
            <w:pPr>
              <w:ind w:left="580"/>
              <w:spacing w:after="0"/>
              <w:rPr>
                <w:sz w:val="20"/>
                <w:szCs w:val="20"/>
                <w:color w:val="auto"/>
              </w:rPr>
            </w:pPr>
            <w:r>
              <w:rPr>
                <w:rFonts w:ascii="Arial" w:cs="Arial" w:eastAsia="Arial" w:hAnsi="Arial"/>
                <w:sz w:val="18"/>
                <w:szCs w:val="18"/>
                <w:color w:val="auto"/>
              </w:rPr>
              <w:t>Accrued liabilities consisted of the following (in thousands):</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28"/>
        </w:trPr>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4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w w:val="94"/>
              </w:rPr>
              <w:t>September 30, 2021</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6"/>
              </w:rPr>
              <w:t>December 31, 2020</w:t>
            </w:r>
          </w:p>
        </w:tc>
      </w:tr>
      <w:tr>
        <w:trPr>
          <w:trHeight w:val="256"/>
        </w:trPr>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Accrued clinical and manufacturing costs</w:t>
            </w: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FF0FC"/>
          </w:tcPr>
          <w:p>
            <w:pPr>
              <w:spacing w:after="0"/>
              <w:rPr>
                <w:sz w:val="22"/>
                <w:szCs w:val="22"/>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5,748</w:t>
            </w:r>
          </w:p>
        </w:tc>
        <w:tc>
          <w:tcPr>
            <w:tcW w:w="1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shd w:val="clear" w:color="auto" w:fill="CFF0FC"/>
          </w:tcPr>
          <w:p>
            <w:pPr>
              <w:spacing w:after="0"/>
              <w:rPr>
                <w:sz w:val="22"/>
                <w:szCs w:val="22"/>
                <w:color w:val="auto"/>
              </w:rPr>
            </w:pPr>
          </w:p>
        </w:tc>
        <w:tc>
          <w:tcPr>
            <w:tcW w:w="16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3,072</w:t>
            </w:r>
          </w:p>
        </w:tc>
        <w:tc>
          <w:tcPr>
            <w:tcW w:w="80" w:type="dxa"/>
            <w:vAlign w:val="bottom"/>
            <w:shd w:val="clear" w:color="auto" w:fill="CFF0FC"/>
          </w:tcPr>
          <w:p>
            <w:pPr>
              <w:spacing w:after="0"/>
              <w:rPr>
                <w:sz w:val="22"/>
                <w:szCs w:val="22"/>
                <w:color w:val="auto"/>
              </w:rPr>
            </w:pPr>
          </w:p>
        </w:tc>
      </w:tr>
      <w:tr>
        <w:trPr>
          <w:trHeight w:val="250"/>
        </w:trPr>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Lease liabilities - short-term</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1,798</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r>
      <w:tr>
        <w:trPr>
          <w:trHeight w:val="263"/>
        </w:trPr>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Accrued compensation</w:t>
            </w:r>
          </w:p>
        </w:tc>
        <w:tc>
          <w:tcPr>
            <w:tcW w:w="3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3,263</w:t>
            </w:r>
          </w:p>
        </w:tc>
        <w:tc>
          <w:tcPr>
            <w:tcW w:w="1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3,723</w:t>
            </w:r>
          </w:p>
        </w:tc>
        <w:tc>
          <w:tcPr>
            <w:tcW w:w="80" w:type="dxa"/>
            <w:vAlign w:val="bottom"/>
            <w:shd w:val="clear" w:color="auto" w:fill="CFF0FC"/>
          </w:tcPr>
          <w:p>
            <w:pPr>
              <w:spacing w:after="0"/>
              <w:rPr>
                <w:sz w:val="22"/>
                <w:szCs w:val="22"/>
                <w:color w:val="auto"/>
              </w:rPr>
            </w:pPr>
          </w:p>
        </w:tc>
      </w:tr>
      <w:tr>
        <w:trPr>
          <w:trHeight w:val="250"/>
        </w:trPr>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Other accruals</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675</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904</w:t>
            </w:r>
          </w:p>
        </w:tc>
        <w:tc>
          <w:tcPr>
            <w:tcW w:w="80" w:type="dxa"/>
            <w:vAlign w:val="bottom"/>
          </w:tcPr>
          <w:p>
            <w:pPr>
              <w:spacing w:after="0"/>
              <w:rPr>
                <w:sz w:val="21"/>
                <w:szCs w:val="21"/>
                <w:color w:val="auto"/>
              </w:rPr>
            </w:pPr>
          </w:p>
        </w:tc>
      </w:tr>
      <w:tr>
        <w:trPr>
          <w:trHeight w:val="257"/>
        </w:trPr>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Deferred rent - short-term</w:t>
            </w:r>
          </w:p>
        </w:tc>
        <w:tc>
          <w:tcPr>
            <w:tcW w:w="3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740" w:type="dxa"/>
            <w:vAlign w:val="bottom"/>
            <w:gridSpan w:val="3"/>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546</w:t>
            </w:r>
          </w:p>
        </w:tc>
        <w:tc>
          <w:tcPr>
            <w:tcW w:w="80" w:type="dxa"/>
            <w:vAlign w:val="bottom"/>
            <w:shd w:val="clear" w:color="auto" w:fill="CFF0FC"/>
          </w:tcPr>
          <w:p>
            <w:pPr>
              <w:spacing w:after="0"/>
              <w:rPr>
                <w:sz w:val="22"/>
                <w:szCs w:val="22"/>
                <w:color w:val="auto"/>
              </w:rPr>
            </w:pPr>
          </w:p>
        </w:tc>
      </w:tr>
      <w:tr>
        <w:trPr>
          <w:trHeight w:val="250"/>
        </w:trPr>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640" w:type="dxa"/>
            <w:vAlign w:val="bottom"/>
            <w:tcBorders>
              <w:top w:val="single" w:sz="8" w:color="CFF0FC"/>
            </w:tcBorders>
            <w:gridSpan w:val="2"/>
          </w:tcPr>
          <w:p>
            <w:pPr>
              <w:ind w:left="180"/>
              <w:spacing w:after="0"/>
              <w:rPr>
                <w:sz w:val="20"/>
                <w:szCs w:val="20"/>
                <w:color w:val="auto"/>
              </w:rPr>
            </w:pPr>
            <w:r>
              <w:rPr>
                <w:rFonts w:ascii="Arial" w:cs="Arial" w:eastAsia="Arial" w:hAnsi="Arial"/>
                <w:sz w:val="18"/>
                <w:szCs w:val="18"/>
                <w:color w:val="auto"/>
              </w:rPr>
              <w:t>Total accrued liabilities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11,484</w:t>
            </w:r>
          </w:p>
        </w:tc>
        <w:tc>
          <w:tcPr>
            <w:tcW w:w="160" w:type="dxa"/>
            <w:vAlign w:val="bottom"/>
            <w:tcBorders>
              <w:top w:val="single" w:sz="8" w:color="CFF0FC"/>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tcPr>
          <w:p>
            <w:pPr>
              <w:spacing w:after="0"/>
              <w:rPr>
                <w:sz w:val="21"/>
                <w:szCs w:val="21"/>
                <w:color w:val="auto"/>
              </w:rPr>
            </w:pPr>
          </w:p>
        </w:tc>
        <w:tc>
          <w:tcPr>
            <w:tcW w:w="16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8,245</w:t>
            </w:r>
          </w:p>
        </w:tc>
        <w:tc>
          <w:tcPr>
            <w:tcW w:w="80" w:type="dxa"/>
            <w:vAlign w:val="bottom"/>
            <w:tcBorders>
              <w:top w:val="single" w:sz="8" w:color="CFF0FC"/>
            </w:tcBorders>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-2022475</wp:posOffset>
            </wp:positionV>
            <wp:extent cx="15430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-2005330</wp:posOffset>
            </wp:positionV>
            <wp:extent cx="15430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-2022475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-2005330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-193675</wp:posOffset>
            </wp:positionV>
            <wp:extent cx="171450"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-193675</wp:posOffset>
            </wp:positionV>
            <wp:extent cx="51435"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313"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Investments, Available-for-Sale</w:t>
      </w:r>
    </w:p>
    <w:p>
      <w:pPr>
        <w:spacing w:after="0" w:line="135" w:lineRule="exact"/>
        <w:rPr>
          <w:sz w:val="20"/>
          <w:szCs w:val="20"/>
          <w:color w:val="auto"/>
        </w:rPr>
      </w:pPr>
    </w:p>
    <w:p>
      <w:pPr>
        <w:ind w:right="140" w:firstLine="749"/>
        <w:spacing w:after="0" w:line="279" w:lineRule="auto"/>
        <w:rPr>
          <w:sz w:val="20"/>
          <w:szCs w:val="20"/>
          <w:color w:val="auto"/>
        </w:rPr>
      </w:pPr>
      <w:r>
        <w:rPr>
          <w:rFonts w:ascii="Arial" w:cs="Arial" w:eastAsia="Arial" w:hAnsi="Arial"/>
          <w:sz w:val="18"/>
          <w:szCs w:val="18"/>
          <w:color w:val="auto"/>
        </w:rPr>
        <w:t>The Company’s investment policy defines allowable investments and establishes guidelines relating to credit quality, diversification, and maturities of its investments to preserve principal and maintain liquidity. In accordance with the Company’s investment policy, it has invested funds in available-for-sale investments as of September 30, 2021 and December 31, 2020.</w:t>
      </w:r>
    </w:p>
    <w:p>
      <w:pPr>
        <w:spacing w:after="0" w:line="7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Company's available-for-sale investments consisted of the following (in thousands):</w:t>
      </w: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176"/>
        </w:trPr>
        <w:tc>
          <w:tcPr>
            <w:tcW w:w="35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September 30, 2021</w:t>
            </w:r>
          </w:p>
        </w:tc>
        <w:tc>
          <w:tcPr>
            <w:tcW w:w="180" w:type="dxa"/>
            <w:vAlign w:val="bottom"/>
          </w:tcPr>
          <w:p>
            <w:pPr>
              <w:spacing w:after="0"/>
              <w:rPr>
                <w:sz w:val="15"/>
                <w:szCs w:val="15"/>
                <w:color w:val="auto"/>
              </w:rPr>
            </w:pPr>
          </w:p>
        </w:tc>
        <w:tc>
          <w:tcPr>
            <w:tcW w:w="1020" w:type="dxa"/>
            <w:vAlign w:val="bottom"/>
          </w:tcPr>
          <w:p>
            <w:pPr>
              <w:jc w:val="right"/>
              <w:ind w:right="194"/>
              <w:spacing w:after="0"/>
              <w:rPr>
                <w:sz w:val="20"/>
                <w:szCs w:val="20"/>
                <w:color w:val="auto"/>
              </w:rPr>
            </w:pPr>
            <w:r>
              <w:rPr>
                <w:rFonts w:ascii="Arial" w:cs="Arial" w:eastAsia="Arial" w:hAnsi="Arial"/>
                <w:sz w:val="14"/>
                <w:szCs w:val="14"/>
                <w:b w:val="1"/>
                <w:bCs w:val="1"/>
                <w:color w:val="auto"/>
              </w:rPr>
              <w:t>Amortized</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ind w:right="194"/>
              <w:spacing w:after="0"/>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5"/>
                <w:szCs w:val="15"/>
                <w:color w:val="auto"/>
              </w:rPr>
            </w:pPr>
          </w:p>
        </w:tc>
        <w:tc>
          <w:tcPr>
            <w:tcW w:w="1060" w:type="dxa"/>
            <w:vAlign w:val="bottom"/>
          </w:tcPr>
          <w:p>
            <w:pPr>
              <w:jc w:val="right"/>
              <w:ind w:right="274"/>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58"/>
        </w:trPr>
        <w:tc>
          <w:tcPr>
            <w:tcW w:w="356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right"/>
              <w:ind w:right="374"/>
              <w:spacing w:after="0" w:line="158" w:lineRule="exact"/>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right"/>
              <w:ind w:right="334"/>
              <w:spacing w:after="0" w:line="158" w:lineRule="exact"/>
              <w:rPr>
                <w:sz w:val="20"/>
                <w:szCs w:val="20"/>
                <w:color w:val="auto"/>
              </w:rPr>
            </w:pPr>
            <w:r>
              <w:rPr>
                <w:rFonts w:ascii="Arial" w:cs="Arial" w:eastAsia="Arial" w:hAnsi="Arial"/>
                <w:sz w:val="14"/>
                <w:szCs w:val="14"/>
                <w:b w:val="1"/>
                <w:bCs w:val="1"/>
                <w:color w:val="auto"/>
              </w:rPr>
              <w:t>Gains</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right"/>
              <w:ind w:right="600"/>
              <w:spacing w:after="0" w:line="158" w:lineRule="exact"/>
              <w:rPr>
                <w:sz w:val="20"/>
                <w:szCs w:val="20"/>
                <w:color w:val="auto"/>
              </w:rPr>
            </w:pPr>
            <w:r>
              <w:rPr>
                <w:rFonts w:ascii="Arial" w:cs="Arial" w:eastAsia="Arial" w:hAnsi="Arial"/>
                <w:sz w:val="14"/>
                <w:szCs w:val="14"/>
                <w:b w:val="1"/>
                <w:bCs w:val="1"/>
                <w:color w:val="auto"/>
              </w:rPr>
              <w:t>Losses</w:t>
            </w:r>
          </w:p>
        </w:tc>
        <w:tc>
          <w:tcPr>
            <w:tcW w:w="180" w:type="dxa"/>
            <w:vAlign w:val="bottom"/>
          </w:tcPr>
          <w:p>
            <w:pPr>
              <w:spacing w:after="0"/>
              <w:rPr>
                <w:sz w:val="13"/>
                <w:szCs w:val="13"/>
                <w:color w:val="auto"/>
              </w:rPr>
            </w:pPr>
          </w:p>
        </w:tc>
        <w:tc>
          <w:tcPr>
            <w:tcW w:w="1060" w:type="dxa"/>
            <w:vAlign w:val="bottom"/>
          </w:tcPr>
          <w:p>
            <w:pPr>
              <w:jc w:val="right"/>
              <w:ind w:right="254"/>
              <w:spacing w:after="0" w:line="158"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
        </w:trPr>
        <w:tc>
          <w:tcPr>
            <w:tcW w:w="14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3560" w:type="dxa"/>
            <w:vAlign w:val="bottom"/>
            <w:gridSpan w:val="3"/>
            <w:shd w:val="clear" w:color="auto" w:fill="CFF0FC"/>
          </w:tcPr>
          <w:p>
            <w:pPr>
              <w:ind w:left="180"/>
              <w:spacing w:after="0"/>
              <w:rPr>
                <w:sz w:val="20"/>
                <w:szCs w:val="20"/>
                <w:color w:val="auto"/>
              </w:rPr>
            </w:pPr>
            <w:r>
              <w:rPr>
                <w:rFonts w:ascii="Arial" w:cs="Arial" w:eastAsia="Arial" w:hAnsi="Arial"/>
                <w:sz w:val="18"/>
                <w:szCs w:val="18"/>
                <w:color w:val="auto"/>
              </w:rPr>
              <w:t>U.S. treasury securities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47,656</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47,657</w:t>
            </w:r>
          </w:p>
        </w:tc>
        <w:tc>
          <w:tcPr>
            <w:tcW w:w="0" w:type="dxa"/>
            <w:vAlign w:val="bottom"/>
          </w:tcPr>
          <w:p>
            <w:pPr>
              <w:spacing w:after="0"/>
              <w:rPr>
                <w:sz w:val="1"/>
                <w:szCs w:val="1"/>
                <w:color w:val="auto"/>
              </w:rPr>
            </w:pPr>
          </w:p>
        </w:tc>
      </w:tr>
      <w:tr>
        <w:trPr>
          <w:trHeight w:val="250"/>
        </w:trPr>
        <w:tc>
          <w:tcPr>
            <w:tcW w:w="3560" w:type="dxa"/>
            <w:vAlign w:val="bottom"/>
            <w:gridSpan w:val="3"/>
          </w:tcPr>
          <w:p>
            <w:pPr>
              <w:ind w:left="180"/>
              <w:spacing w:after="0"/>
              <w:rPr>
                <w:sz w:val="20"/>
                <w:szCs w:val="20"/>
                <w:color w:val="auto"/>
              </w:rPr>
            </w:pPr>
            <w:r>
              <w:rPr>
                <w:rFonts w:ascii="Arial" w:cs="Arial" w:eastAsia="Arial" w:hAnsi="Arial"/>
                <w:sz w:val="18"/>
                <w:szCs w:val="18"/>
                <w:color w:val="auto"/>
              </w:rPr>
              <w:t>Certificates of deposit</w:t>
            </w: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90"/>
        </w:trPr>
        <w:tc>
          <w:tcPr>
            <w:tcW w:w="3560" w:type="dxa"/>
            <w:vAlign w:val="bottom"/>
            <w:tcBorders>
              <w:bottom w:val="single" w:sz="8" w:color="CFF0FC"/>
            </w:tcBorders>
            <w:gridSpan w:val="3"/>
            <w:shd w:val="clear" w:color="auto" w:fill="CFF0FC"/>
          </w:tcPr>
          <w:p>
            <w:pPr>
              <w:ind w:left="360"/>
              <w:spacing w:after="0"/>
              <w:rPr>
                <w:sz w:val="20"/>
                <w:szCs w:val="20"/>
                <w:color w:val="auto"/>
              </w:rPr>
            </w:pPr>
            <w:r>
              <w:rPr>
                <w:rFonts w:ascii="Arial" w:cs="Arial" w:eastAsia="Arial" w:hAnsi="Arial"/>
                <w:sz w:val="18"/>
                <w:szCs w:val="18"/>
                <w:color w:val="auto"/>
                <w:w w:val="95"/>
              </w:rPr>
              <w:t>Short-term investments, available-for-sale</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48,392</w:t>
            </w:r>
          </w:p>
        </w:tc>
        <w:tc>
          <w:tcPr>
            <w:tcW w:w="2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48,393</w:t>
            </w: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0" w:type="dxa"/>
            <w:vAlign w:val="bottom"/>
            <w:gridSpan w:val="2"/>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gridSpan w:val="2"/>
          </w:tcPr>
          <w:p>
            <w:pPr>
              <w:spacing w:after="0"/>
              <w:rPr>
                <w:sz w:val="21"/>
                <w:szCs w:val="21"/>
                <w:color w:val="auto"/>
              </w:rPr>
            </w:pPr>
          </w:p>
        </w:tc>
        <w:tc>
          <w:tcPr>
            <w:tcW w:w="1220" w:type="dxa"/>
            <w:vAlign w:val="bottom"/>
            <w:gridSpan w:val="2"/>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560" w:type="dxa"/>
            <w:vAlign w:val="bottom"/>
            <w:gridSpan w:val="3"/>
            <w:shd w:val="clear" w:color="auto" w:fill="CFF0FC"/>
          </w:tcPr>
          <w:p>
            <w:pPr>
              <w:ind w:left="180"/>
              <w:spacing w:after="0"/>
              <w:rPr>
                <w:sz w:val="20"/>
                <w:szCs w:val="20"/>
                <w:color w:val="auto"/>
              </w:rPr>
            </w:pPr>
            <w:r>
              <w:rPr>
                <w:rFonts w:ascii="Arial" w:cs="Arial" w:eastAsia="Arial" w:hAnsi="Arial"/>
                <w:sz w:val="18"/>
                <w:szCs w:val="18"/>
                <w:color w:val="auto"/>
              </w:rPr>
              <w:t>U.S. treasury securities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6,006</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6,003</w:t>
            </w:r>
          </w:p>
        </w:tc>
        <w:tc>
          <w:tcPr>
            <w:tcW w:w="0" w:type="dxa"/>
            <w:vAlign w:val="bottom"/>
          </w:tcPr>
          <w:p>
            <w:pPr>
              <w:spacing w:after="0"/>
              <w:rPr>
                <w:sz w:val="1"/>
                <w:szCs w:val="1"/>
                <w:color w:val="auto"/>
              </w:rPr>
            </w:pPr>
          </w:p>
        </w:tc>
      </w:tr>
      <w:tr>
        <w:trPr>
          <w:trHeight w:val="250"/>
        </w:trPr>
        <w:tc>
          <w:tcPr>
            <w:tcW w:w="3560" w:type="dxa"/>
            <w:vAlign w:val="bottom"/>
            <w:gridSpan w:val="3"/>
          </w:tcPr>
          <w:p>
            <w:pPr>
              <w:ind w:left="180"/>
              <w:spacing w:after="0"/>
              <w:rPr>
                <w:sz w:val="20"/>
                <w:szCs w:val="20"/>
                <w:color w:val="auto"/>
              </w:rPr>
            </w:pPr>
            <w:r>
              <w:rPr>
                <w:rFonts w:ascii="Arial" w:cs="Arial" w:eastAsia="Arial" w:hAnsi="Arial"/>
                <w:sz w:val="18"/>
                <w:szCs w:val="18"/>
                <w:color w:val="auto"/>
              </w:rPr>
              <w:t>Certificates of deposit</w:t>
            </w: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90"/>
        </w:trPr>
        <w:tc>
          <w:tcPr>
            <w:tcW w:w="3560" w:type="dxa"/>
            <w:vAlign w:val="bottom"/>
            <w:gridSpan w:val="3"/>
            <w:shd w:val="clear" w:color="auto" w:fill="CFF0FC"/>
          </w:tcPr>
          <w:p>
            <w:pPr>
              <w:ind w:left="360"/>
              <w:spacing w:after="0"/>
              <w:rPr>
                <w:sz w:val="20"/>
                <w:szCs w:val="20"/>
                <w:color w:val="auto"/>
              </w:rPr>
            </w:pPr>
            <w:r>
              <w:rPr>
                <w:rFonts w:ascii="Arial" w:cs="Arial" w:eastAsia="Arial" w:hAnsi="Arial"/>
                <w:sz w:val="18"/>
                <w:szCs w:val="18"/>
                <w:color w:val="auto"/>
              </w:rPr>
              <w:t>Investments, available-for-sale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6,959</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6,956</w:t>
            </w:r>
          </w:p>
        </w:tc>
        <w:tc>
          <w:tcPr>
            <w:tcW w:w="0" w:type="dxa"/>
            <w:vAlign w:val="bottom"/>
          </w:tcPr>
          <w:p>
            <w:pPr>
              <w:spacing w:after="0"/>
              <w:rPr>
                <w:sz w:val="1"/>
                <w:szCs w:val="1"/>
                <w:color w:val="auto"/>
              </w:rPr>
            </w:pPr>
          </w:p>
        </w:tc>
      </w:tr>
      <w:tr>
        <w:trPr>
          <w:trHeight w:val="446"/>
        </w:trPr>
        <w:tc>
          <w:tcPr>
            <w:tcW w:w="3560" w:type="dxa"/>
            <w:vAlign w:val="bottom"/>
            <w:tcBorders>
              <w:top w:val="single" w:sz="8" w:color="CFF0FC"/>
            </w:tcBorders>
            <w:gridSpan w:val="3"/>
          </w:tcPr>
          <w:p>
            <w:pPr>
              <w:spacing w:after="0"/>
              <w:rPr>
                <w:sz w:val="20"/>
                <w:szCs w:val="20"/>
                <w:color w:val="auto"/>
              </w:rPr>
            </w:pPr>
            <w:r>
              <w:rPr>
                <w:rFonts w:ascii="Arial" w:cs="Arial" w:eastAsia="Arial" w:hAnsi="Arial"/>
                <w:sz w:val="18"/>
                <w:szCs w:val="18"/>
                <w:b w:val="1"/>
                <w:bCs w:val="1"/>
                <w:color w:val="auto"/>
              </w:rPr>
              <w:t>December 31, 2020</w:t>
            </w:r>
          </w:p>
        </w:tc>
        <w:tc>
          <w:tcPr>
            <w:tcW w:w="1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146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gridSpan w:val="3"/>
            <w:shd w:val="clear" w:color="auto" w:fill="CFF0FC"/>
          </w:tcPr>
          <w:p>
            <w:pPr>
              <w:ind w:left="180"/>
              <w:spacing w:after="0"/>
              <w:rPr>
                <w:sz w:val="20"/>
                <w:szCs w:val="20"/>
                <w:color w:val="auto"/>
              </w:rPr>
            </w:pPr>
            <w:r>
              <w:rPr>
                <w:rFonts w:ascii="Arial" w:cs="Arial" w:eastAsia="Arial" w:hAnsi="Arial"/>
                <w:sz w:val="18"/>
                <w:szCs w:val="18"/>
                <w:color w:val="auto"/>
              </w:rPr>
              <w:t>U.S. treasury securities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215,185</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(31 )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215,154</w:t>
            </w:r>
          </w:p>
        </w:tc>
        <w:tc>
          <w:tcPr>
            <w:tcW w:w="0" w:type="dxa"/>
            <w:vAlign w:val="bottom"/>
          </w:tcPr>
          <w:p>
            <w:pPr>
              <w:spacing w:after="0"/>
              <w:rPr>
                <w:sz w:val="1"/>
                <w:szCs w:val="1"/>
                <w:color w:val="auto"/>
              </w:rPr>
            </w:pPr>
          </w:p>
        </w:tc>
      </w:tr>
      <w:tr>
        <w:trPr>
          <w:trHeight w:val="20"/>
        </w:trPr>
        <w:tc>
          <w:tcPr>
            <w:tcW w:w="146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20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gridSpan w:val="3"/>
          </w:tcPr>
          <w:p>
            <w:pPr>
              <w:ind w:left="360"/>
              <w:spacing w:after="0"/>
              <w:rPr>
                <w:sz w:val="20"/>
                <w:szCs w:val="20"/>
                <w:color w:val="auto"/>
              </w:rPr>
            </w:pPr>
            <w:r>
              <w:rPr>
                <w:rFonts w:ascii="Arial" w:cs="Arial" w:eastAsia="Arial" w:hAnsi="Arial"/>
                <w:sz w:val="18"/>
                <w:szCs w:val="18"/>
                <w:color w:val="auto"/>
                <w:w w:val="95"/>
              </w:rPr>
              <w:t>Short-term investments, available-for-sale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215,185</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(31 )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215,154</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-1396365</wp:posOffset>
            </wp:positionV>
            <wp:extent cx="1371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-1379855</wp:posOffset>
            </wp:positionV>
            <wp:extent cx="13716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-1396365</wp:posOffset>
            </wp:positionV>
            <wp:extent cx="12001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-1379855</wp:posOffset>
            </wp:positionV>
            <wp:extent cx="12001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-1396365</wp:posOffset>
            </wp:positionV>
            <wp:extent cx="13716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-1379855</wp:posOffset>
            </wp:positionV>
            <wp:extent cx="13716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-1396365</wp:posOffset>
            </wp:positionV>
            <wp:extent cx="431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-1379855</wp:posOffset>
            </wp:positionV>
            <wp:extent cx="431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-711200</wp:posOffset>
            </wp:positionV>
            <wp:extent cx="13716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-694055</wp:posOffset>
            </wp:positionV>
            <wp:extent cx="13716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-711200</wp:posOffset>
            </wp:positionV>
            <wp:extent cx="12001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-694055</wp:posOffset>
            </wp:positionV>
            <wp:extent cx="12001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-711200</wp:posOffset>
            </wp:positionV>
            <wp:extent cx="13716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-694055</wp:posOffset>
            </wp:positionV>
            <wp:extent cx="13716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-711200</wp:posOffset>
            </wp:positionV>
            <wp:extent cx="431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-694055</wp:posOffset>
            </wp:positionV>
            <wp:extent cx="431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-193675</wp:posOffset>
            </wp:positionV>
            <wp:extent cx="137160"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-193675</wp:posOffset>
            </wp:positionV>
            <wp:extent cx="120015"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-193675</wp:posOffset>
            </wp:positionV>
            <wp:extent cx="137160"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-193675</wp:posOffset>
            </wp:positionV>
            <wp:extent cx="43180"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209" w:lineRule="exact"/>
        <w:rPr>
          <w:sz w:val="20"/>
          <w:szCs w:val="20"/>
          <w:color w:val="auto"/>
        </w:rPr>
      </w:pPr>
    </w:p>
    <w:p>
      <w:pPr>
        <w:ind w:firstLine="749"/>
        <w:spacing w:after="0" w:line="293" w:lineRule="auto"/>
        <w:rPr>
          <w:sz w:val="20"/>
          <w:szCs w:val="20"/>
          <w:color w:val="auto"/>
        </w:rPr>
      </w:pPr>
      <w:r>
        <w:rPr>
          <w:rFonts w:ascii="Arial" w:cs="Arial" w:eastAsia="Arial" w:hAnsi="Arial"/>
          <w:sz w:val="18"/>
          <w:szCs w:val="18"/>
          <w:color w:val="auto"/>
        </w:rPr>
        <w:t>The Company has determined that there were no material declines in fair value of its investments due to credit-related factors as of September 30, 2021 and December 31, 2020. Credit loss is limited due to the nature of the investments.</w:t>
      </w:r>
    </w:p>
    <w:p>
      <w:pPr>
        <w:spacing w:after="0" w:line="17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472" w:right="599" w:bottom="1440" w:gutter="0" w:footer="0" w:header="0"/>
        </w:sectPr>
      </w:pPr>
    </w:p>
    <w:bookmarkStart w:id="13" w:name="page14"/>
    <w:bookmarkEnd w:id="13"/>
    <w:p>
      <w:pPr>
        <w:ind w:left="180" w:hanging="172"/>
        <w:spacing w:after="0"/>
        <w:tabs>
          <w:tab w:leader="none" w:pos="1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Measurements</w:t>
      </w:r>
    </w:p>
    <w:p>
      <w:pPr>
        <w:spacing w:after="0" w:line="135" w:lineRule="exact"/>
        <w:rPr>
          <w:sz w:val="20"/>
          <w:szCs w:val="20"/>
          <w:color w:val="auto"/>
        </w:rPr>
      </w:pPr>
    </w:p>
    <w:p>
      <w:pPr>
        <w:ind w:firstLine="749"/>
        <w:spacing w:after="0" w:line="271" w:lineRule="auto"/>
        <w:rPr>
          <w:sz w:val="20"/>
          <w:szCs w:val="20"/>
          <w:color w:val="auto"/>
        </w:rPr>
      </w:pPr>
      <w:r>
        <w:rPr>
          <w:rFonts w:ascii="Arial" w:cs="Arial" w:eastAsia="Arial" w:hAnsi="Arial"/>
          <w:sz w:val="18"/>
          <w:szCs w:val="18"/>
          <w:color w:val="auto"/>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fair-value hierarchy, which prioritizes the inputs used in measuring fair value as follows:</w:t>
      </w:r>
    </w:p>
    <w:p>
      <w:pPr>
        <w:spacing w:after="0" w:line="8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Level 1: Observable inputs such as quoted prices in active markets;</w:t>
      </w:r>
    </w:p>
    <w:p>
      <w:pPr>
        <w:spacing w:after="0" w:line="7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Level 2: Inputs, other than the quoted prices in active markets, that are observable either directly or indirectly; and</w:t>
      </w:r>
    </w:p>
    <w:p>
      <w:pPr>
        <w:spacing w:after="0" w:line="77" w:lineRule="exact"/>
        <w:rPr>
          <w:sz w:val="20"/>
          <w:szCs w:val="20"/>
          <w:color w:val="auto"/>
        </w:rPr>
      </w:pPr>
    </w:p>
    <w:p>
      <w:pPr>
        <w:ind w:left="820"/>
        <w:spacing w:after="0"/>
        <w:rPr>
          <w:sz w:val="20"/>
          <w:szCs w:val="20"/>
          <w:color w:val="auto"/>
        </w:rPr>
      </w:pPr>
      <w:r>
        <w:rPr>
          <w:rFonts w:ascii="Arial" w:cs="Arial" w:eastAsia="Arial" w:hAnsi="Arial"/>
          <w:sz w:val="17"/>
          <w:szCs w:val="17"/>
          <w:color w:val="auto"/>
        </w:rPr>
        <w:t>Level 3: Unobservable inputs in which there is little or no market data, which require the reporting entity to develop its own assumptions.</w:t>
      </w:r>
    </w:p>
    <w:p>
      <w:pPr>
        <w:spacing w:after="0" w:line="142" w:lineRule="exact"/>
        <w:rPr>
          <w:sz w:val="20"/>
          <w:szCs w:val="20"/>
          <w:color w:val="auto"/>
        </w:rPr>
      </w:pPr>
    </w:p>
    <w:p>
      <w:pPr>
        <w:ind w:right="80" w:firstLine="749"/>
        <w:spacing w:after="0" w:line="319" w:lineRule="auto"/>
        <w:rPr>
          <w:sz w:val="20"/>
          <w:szCs w:val="20"/>
          <w:color w:val="auto"/>
        </w:rPr>
      </w:pPr>
      <w:r>
        <w:rPr>
          <w:rFonts w:ascii="Arial" w:cs="Arial" w:eastAsia="Arial" w:hAnsi="Arial"/>
          <w:sz w:val="16"/>
          <w:szCs w:val="16"/>
          <w:color w:val="auto"/>
        </w:rPr>
        <w:t>The carrying amounts of the Company’s interest receivable, included in prepaid expenses and other current assets, accounts payable and accrued liabilities are generally considered to be representative of their fair value because of their short-term nature. The Company’s investments, which may include money market funds and available-for-sale investments consisting of U.S. treasury securities, certificates of deposit and high-quality, marketable debt instruments of corporations and government sponsored enterprises, are measured at fair value in accordance with the fair value hierarchy.</w:t>
      </w:r>
    </w:p>
    <w:p>
      <w:pPr>
        <w:spacing w:after="0" w:line="4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Following are the major categories of assets measured at fair value on a recurring basis (in thousands):</w:t>
      </w: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1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Fair Value Measurements</w:t>
            </w:r>
          </w:p>
        </w:tc>
        <w:tc>
          <w:tcPr>
            <w:tcW w:w="1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7"/>
        </w:trPr>
        <w:tc>
          <w:tcPr>
            <w:tcW w:w="1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Total</w:t>
            </w:r>
          </w:p>
        </w:tc>
      </w:tr>
      <w:tr>
        <w:trPr>
          <w:trHeight w:val="236"/>
        </w:trPr>
        <w:tc>
          <w:tcPr>
            <w:tcW w:w="1520" w:type="dxa"/>
            <w:vAlign w:val="bottom"/>
            <w:tcBorders>
              <w:bottom w:val="single" w:sz="8" w:color="auto"/>
            </w:tcBorders>
            <w:gridSpan w:val="2"/>
            <w:shd w:val="clear" w:color="auto" w:fill="CFF0FC"/>
          </w:tcPr>
          <w:p>
            <w:pPr>
              <w:spacing w:after="0" w:line="202" w:lineRule="exact"/>
              <w:rPr>
                <w:sz w:val="20"/>
                <w:szCs w:val="20"/>
                <w:color w:val="auto"/>
              </w:rPr>
            </w:pPr>
            <w:r>
              <w:rPr>
                <w:rFonts w:ascii="Arial" w:cs="Arial" w:eastAsia="Arial" w:hAnsi="Arial"/>
                <w:sz w:val="18"/>
                <w:szCs w:val="18"/>
                <w:b w:val="1"/>
                <w:bCs w:val="1"/>
                <w:color w:val="auto"/>
                <w:w w:val="89"/>
              </w:rPr>
              <w:t>September 30, 2021</w:t>
            </w:r>
          </w:p>
        </w:tc>
        <w:tc>
          <w:tcPr>
            <w:tcW w:w="15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7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900" w:type="dxa"/>
            <w:vAlign w:val="bottom"/>
            <w:tcBorders>
              <w:bottom w:val="single" w:sz="8" w:color="CFF0FC"/>
              <w:right w:val="single" w:sz="8" w:color="CFF0FC"/>
            </w:tcBorders>
            <w:shd w:val="clear" w:color="auto" w:fill="CFF0FC"/>
          </w:tcPr>
          <w:p>
            <w:pPr>
              <w:spacing w:after="0"/>
              <w:rPr>
                <w:sz w:val="20"/>
                <w:szCs w:val="20"/>
                <w:color w:val="auto"/>
              </w:rPr>
            </w:pPr>
          </w:p>
        </w:tc>
      </w:tr>
      <w:tr>
        <w:trPr>
          <w:trHeight w:val="256"/>
        </w:trPr>
        <w:tc>
          <w:tcPr>
            <w:tcW w:w="3080" w:type="dxa"/>
            <w:vAlign w:val="bottom"/>
            <w:gridSpan w:val="3"/>
          </w:tcPr>
          <w:p>
            <w:pPr>
              <w:ind w:left="180"/>
              <w:spacing w:after="0" w:line="257" w:lineRule="exact"/>
              <w:rPr>
                <w:sz w:val="20"/>
                <w:szCs w:val="20"/>
                <w:color w:val="auto"/>
              </w:rPr>
            </w:pPr>
            <w:r>
              <w:rPr>
                <w:rFonts w:ascii="Arial" w:cs="Arial" w:eastAsia="Arial" w:hAnsi="Arial"/>
                <w:sz w:val="18"/>
                <w:szCs w:val="18"/>
                <w:color w:val="auto"/>
              </w:rPr>
              <w:t xml:space="preserve">Money market funds </w:t>
            </w:r>
            <w:r>
              <w:rPr>
                <w:rFonts w:ascii="Arial" w:cs="Arial" w:eastAsia="Arial" w:hAnsi="Arial"/>
                <w:sz w:val="24"/>
                <w:szCs w:val="24"/>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241,126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241,126</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Pr>
          <w:p>
            <w:pPr>
              <w:ind w:left="540"/>
              <w:spacing w:after="0"/>
              <w:rPr>
                <w:sz w:val="20"/>
                <w:szCs w:val="20"/>
                <w:color w:val="auto"/>
              </w:rPr>
            </w:pPr>
            <w:r>
              <w:rPr>
                <w:rFonts w:ascii="Arial" w:cs="Arial" w:eastAsia="Arial" w:hAnsi="Arial"/>
                <w:sz w:val="18"/>
                <w:szCs w:val="18"/>
                <w:color w:val="auto"/>
                <w:w w:val="99"/>
              </w:rPr>
              <w:t>—</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ind w:left="520"/>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241,126</w:t>
            </w:r>
          </w:p>
        </w:tc>
      </w:tr>
      <w:tr>
        <w:trPr>
          <w:trHeight w:val="257"/>
        </w:trPr>
        <w:tc>
          <w:tcPr>
            <w:tcW w:w="3080" w:type="dxa"/>
            <w:vAlign w:val="bottom"/>
            <w:gridSpan w:val="3"/>
            <w:shd w:val="clear" w:color="auto" w:fill="CFF0FC"/>
          </w:tcPr>
          <w:p>
            <w:pPr>
              <w:ind w:left="180"/>
              <w:spacing w:after="0"/>
              <w:rPr>
                <w:sz w:val="20"/>
                <w:szCs w:val="20"/>
                <w:color w:val="auto"/>
              </w:rPr>
            </w:pPr>
            <w:r>
              <w:rPr>
                <w:rFonts w:ascii="Arial" w:cs="Arial" w:eastAsia="Arial" w:hAnsi="Arial"/>
                <w:sz w:val="18"/>
                <w:szCs w:val="18"/>
                <w:color w:val="auto"/>
              </w:rPr>
              <w:t>U.S. treasury securities</w:t>
            </w:r>
          </w:p>
        </w:tc>
        <w:tc>
          <w:tcPr>
            <w:tcW w:w="16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53,660</w:t>
            </w:r>
          </w:p>
        </w:tc>
        <w:tc>
          <w:tcPr>
            <w:tcW w:w="2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53,660</w:t>
            </w:r>
          </w:p>
        </w:tc>
        <w:tc>
          <w:tcPr>
            <w:tcW w:w="2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740" w:type="dxa"/>
            <w:vAlign w:val="bottom"/>
            <w:shd w:val="clear" w:color="auto" w:fill="CFF0FC"/>
          </w:tcPr>
          <w:p>
            <w:pPr>
              <w:ind w:left="54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720" w:type="dxa"/>
            <w:vAlign w:val="bottom"/>
            <w:shd w:val="clear" w:color="auto" w:fill="CFF0FC"/>
          </w:tcPr>
          <w:p>
            <w:pPr>
              <w:ind w:left="52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53,660</w:t>
            </w:r>
          </w:p>
        </w:tc>
      </w:tr>
      <w:tr>
        <w:trPr>
          <w:trHeight w:val="250"/>
        </w:trPr>
        <w:tc>
          <w:tcPr>
            <w:tcW w:w="3080" w:type="dxa"/>
            <w:vAlign w:val="bottom"/>
            <w:gridSpan w:val="3"/>
          </w:tcPr>
          <w:p>
            <w:pPr>
              <w:ind w:left="180"/>
              <w:spacing w:after="0"/>
              <w:rPr>
                <w:sz w:val="20"/>
                <w:szCs w:val="20"/>
                <w:color w:val="auto"/>
              </w:rPr>
            </w:pPr>
            <w:r>
              <w:rPr>
                <w:rFonts w:ascii="Arial" w:cs="Arial" w:eastAsia="Arial" w:hAnsi="Arial"/>
                <w:sz w:val="18"/>
                <w:szCs w:val="18"/>
                <w:color w:val="auto"/>
              </w:rPr>
              <w:t>Certificates of deposit</w:t>
            </w: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1,689</w:t>
            </w: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1,689</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1,689</w:t>
            </w:r>
          </w:p>
        </w:tc>
      </w:tr>
      <w:tr>
        <w:trPr>
          <w:trHeight w:val="290"/>
        </w:trPr>
        <w:tc>
          <w:tcPr>
            <w:tcW w:w="3080" w:type="dxa"/>
            <w:vAlign w:val="bottom"/>
            <w:gridSpan w:val="3"/>
            <w:shd w:val="clear" w:color="auto" w:fill="CFF0FC"/>
          </w:tcPr>
          <w:p>
            <w:pPr>
              <w:ind w:left="36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296,475</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296,475</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ind w:left="540"/>
              <w:spacing w:after="0"/>
              <w:rPr>
                <w:sz w:val="20"/>
                <w:szCs w:val="20"/>
                <w:color w:val="auto"/>
              </w:rPr>
            </w:pPr>
            <w:r>
              <w:rPr>
                <w:rFonts w:ascii="Arial" w:cs="Arial" w:eastAsia="Arial" w:hAnsi="Arial"/>
                <w:sz w:val="18"/>
                <w:szCs w:val="18"/>
                <w:color w:val="auto"/>
                <w:w w:val="99"/>
              </w:rPr>
              <w:t>—</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ind w:left="520"/>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296,475</w:t>
            </w:r>
          </w:p>
        </w:tc>
      </w:tr>
      <w:tr>
        <w:trPr>
          <w:trHeight w:val="190"/>
        </w:trPr>
        <w:tc>
          <w:tcPr>
            <w:tcW w:w="3080" w:type="dxa"/>
            <w:vAlign w:val="bottom"/>
            <w:tcBorders>
              <w:top w:val="single" w:sz="8" w:color="CFF0FC"/>
            </w:tcBorders>
            <w:gridSpan w:val="3"/>
          </w:tcPr>
          <w:p>
            <w:pPr>
              <w:spacing w:after="0" w:line="189" w:lineRule="exact"/>
              <w:rPr>
                <w:sz w:val="20"/>
                <w:szCs w:val="20"/>
                <w:color w:val="auto"/>
              </w:rPr>
            </w:pPr>
            <w:r>
              <w:rPr>
                <w:rFonts w:ascii="Arial" w:cs="Arial" w:eastAsia="Arial" w:hAnsi="Arial"/>
                <w:sz w:val="18"/>
                <w:szCs w:val="18"/>
                <w:b w:val="1"/>
                <w:bCs w:val="1"/>
                <w:color w:val="auto"/>
              </w:rPr>
              <w:t>December 31, 2020</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0" w:type="dxa"/>
            <w:vAlign w:val="bottom"/>
            <w:tcBorders>
              <w:top w:val="single" w:sz="8" w:color="CFF0FC"/>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80" w:type="dxa"/>
            <w:vAlign w:val="bottom"/>
            <w:tcBorders>
              <w:top w:val="single" w:sz="8" w:color="CFF0FC"/>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80" w:type="dxa"/>
            <w:vAlign w:val="bottom"/>
            <w:tcBorders>
              <w:top w:val="single" w:sz="8" w:color="CFF0FC"/>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r>
      <w:tr>
        <w:trPr>
          <w:trHeight w:val="34"/>
        </w:trPr>
        <w:tc>
          <w:tcPr>
            <w:tcW w:w="146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6"/>
        </w:trPr>
        <w:tc>
          <w:tcPr>
            <w:tcW w:w="3080" w:type="dxa"/>
            <w:vAlign w:val="bottom"/>
            <w:gridSpan w:val="3"/>
            <w:shd w:val="clear" w:color="auto" w:fill="CFF0FC"/>
          </w:tcPr>
          <w:p>
            <w:pPr>
              <w:ind w:left="180"/>
              <w:spacing w:after="0" w:line="257" w:lineRule="exact"/>
              <w:rPr>
                <w:sz w:val="20"/>
                <w:szCs w:val="20"/>
                <w:color w:val="auto"/>
              </w:rPr>
            </w:pPr>
            <w:r>
              <w:rPr>
                <w:rFonts w:ascii="Arial" w:cs="Arial" w:eastAsia="Arial" w:hAnsi="Arial"/>
                <w:sz w:val="18"/>
                <w:szCs w:val="18"/>
                <w:color w:val="auto"/>
              </w:rPr>
              <w:t xml:space="preserve">Money market funds </w:t>
            </w:r>
            <w:r>
              <w:rPr>
                <w:rFonts w:ascii="Arial" w:cs="Arial" w:eastAsia="Arial" w:hAnsi="Arial"/>
                <w:sz w:val="24"/>
                <w:szCs w:val="24"/>
                <w:color w:val="auto"/>
                <w:vertAlign w:val="superscript"/>
              </w:rPr>
              <w:t>(1)</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78,446</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78,446</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ind w:left="540"/>
              <w:spacing w:after="0"/>
              <w:rPr>
                <w:sz w:val="20"/>
                <w:szCs w:val="20"/>
                <w:color w:val="auto"/>
              </w:rPr>
            </w:pPr>
            <w:r>
              <w:rPr>
                <w:rFonts w:ascii="Arial" w:cs="Arial" w:eastAsia="Arial" w:hAnsi="Arial"/>
                <w:sz w:val="18"/>
                <w:szCs w:val="18"/>
                <w:color w:val="auto"/>
                <w:w w:val="99"/>
              </w:rPr>
              <w:t>—</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ind w:left="520"/>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78,446</w:t>
            </w:r>
          </w:p>
        </w:tc>
      </w:tr>
      <w:tr>
        <w:trPr>
          <w:trHeight w:val="250"/>
        </w:trPr>
        <w:tc>
          <w:tcPr>
            <w:tcW w:w="3080" w:type="dxa"/>
            <w:vAlign w:val="bottom"/>
            <w:gridSpan w:val="3"/>
          </w:tcPr>
          <w:p>
            <w:pPr>
              <w:ind w:left="180"/>
              <w:spacing w:after="0"/>
              <w:rPr>
                <w:sz w:val="20"/>
                <w:szCs w:val="20"/>
                <w:color w:val="auto"/>
              </w:rPr>
            </w:pPr>
            <w:r>
              <w:rPr>
                <w:rFonts w:ascii="Arial" w:cs="Arial" w:eastAsia="Arial" w:hAnsi="Arial"/>
                <w:sz w:val="18"/>
                <w:szCs w:val="18"/>
                <w:color w:val="auto"/>
              </w:rPr>
              <w:t>U.S. treasury securities</w:t>
            </w: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215,154</w:t>
            </w: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215,154</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215,154</w:t>
            </w:r>
          </w:p>
        </w:tc>
      </w:tr>
      <w:tr>
        <w:trPr>
          <w:trHeight w:val="270"/>
        </w:trPr>
        <w:tc>
          <w:tcPr>
            <w:tcW w:w="3080" w:type="dxa"/>
            <w:vAlign w:val="bottom"/>
            <w:gridSpan w:val="3"/>
            <w:shd w:val="clear" w:color="auto" w:fill="CFF0FC"/>
          </w:tcPr>
          <w:p>
            <w:pPr>
              <w:ind w:left="36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293,600</w:t>
            </w:r>
          </w:p>
        </w:tc>
        <w:tc>
          <w:tcPr>
            <w:tcW w:w="200" w:type="dxa"/>
            <w:vAlign w:val="bottom"/>
            <w:shd w:val="clear" w:color="auto" w:fill="CFF0FC"/>
          </w:tcPr>
          <w:p>
            <w:pPr>
              <w:spacing w:after="0"/>
              <w:rPr>
                <w:sz w:val="23"/>
                <w:szCs w:val="23"/>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293,600</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ind w:left="540"/>
              <w:spacing w:after="0"/>
              <w:rPr>
                <w:sz w:val="20"/>
                <w:szCs w:val="20"/>
                <w:color w:val="auto"/>
              </w:rPr>
            </w:pPr>
            <w:r>
              <w:rPr>
                <w:rFonts w:ascii="Arial" w:cs="Arial" w:eastAsia="Arial" w:hAnsi="Arial"/>
                <w:sz w:val="18"/>
                <w:szCs w:val="18"/>
                <w:color w:val="auto"/>
                <w:w w:val="99"/>
              </w:rPr>
              <w:t>—</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ind w:left="520"/>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293,600</w:t>
            </w:r>
          </w:p>
        </w:tc>
      </w:tr>
      <w:tr>
        <w:trPr>
          <w:trHeight w:val="20"/>
        </w:trPr>
        <w:tc>
          <w:tcPr>
            <w:tcW w:w="146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5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right w:val="single" w:sz="8" w:color="CFF0FC"/>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-710565</wp:posOffset>
            </wp:positionV>
            <wp:extent cx="12890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-694055</wp:posOffset>
            </wp:positionV>
            <wp:extent cx="12890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-710565</wp:posOffset>
            </wp:positionV>
            <wp:extent cx="12827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-694055</wp:posOffset>
            </wp:positionV>
            <wp:extent cx="12827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-710565</wp:posOffset>
            </wp:positionV>
            <wp:extent cx="1111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-694055</wp:posOffset>
            </wp:positionV>
            <wp:extent cx="1111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-710565</wp:posOffset>
            </wp:positionV>
            <wp:extent cx="1111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-694055</wp:posOffset>
            </wp:positionV>
            <wp:extent cx="1111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-710565</wp:posOffset>
            </wp:positionV>
            <wp:extent cx="431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-694055</wp:posOffset>
            </wp:positionV>
            <wp:extent cx="431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-24765</wp:posOffset>
            </wp:positionV>
            <wp:extent cx="12890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-8255</wp:posOffset>
            </wp:positionV>
            <wp:extent cx="12890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-24765</wp:posOffset>
            </wp:positionV>
            <wp:extent cx="12827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-8255</wp:posOffset>
            </wp:positionV>
            <wp:extent cx="12827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827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-24765</wp:posOffset>
            </wp:positionV>
            <wp:extent cx="1111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-8255</wp:posOffset>
            </wp:positionV>
            <wp:extent cx="11112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-24765</wp:posOffset>
            </wp:positionV>
            <wp:extent cx="1111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-8255</wp:posOffset>
            </wp:positionV>
            <wp:extent cx="11112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-24765</wp:posOffset>
            </wp:positionV>
            <wp:extent cx="431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-8255</wp:posOffset>
            </wp:positionV>
            <wp:extent cx="431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1795780</wp:posOffset>
            </wp:positionH>
            <wp:positionV relativeFrom="paragraph">
              <wp:posOffset>-1285240</wp:posOffset>
            </wp:positionV>
            <wp:extent cx="2857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1795780</wp:posOffset>
            </wp:positionH>
            <wp:positionV relativeFrom="paragraph">
              <wp:posOffset>-436880</wp:posOffset>
            </wp:positionV>
            <wp:extent cx="2857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4"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(1) Included in cash and cash equivalents in accompanying balance sheet.</w:t>
      </w:r>
    </w:p>
    <w:p>
      <w:pPr>
        <w:spacing w:after="0" w:line="13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 transfers between levels occurred during either of the reporting periods presented.</w:t>
      </w:r>
    </w:p>
    <w:p>
      <w:pPr>
        <w:spacing w:after="0" w:line="127"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Equity Incentive Plans and Stock-Based Compensation</w:t>
      </w:r>
    </w:p>
    <w:p>
      <w:pPr>
        <w:spacing w:after="0" w:line="13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 of September 30, 2021, there were 1,938,448 shares available for future issuance under the 2020 Equity Incentive Plan.</w:t>
      </w:r>
    </w:p>
    <w:p>
      <w:pPr>
        <w:spacing w:after="0" w:line="13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the option activity for the nine months ended September 30, 2021:</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4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center"/>
              <w:ind w:left="188"/>
              <w:spacing w:after="0"/>
              <w:rPr>
                <w:sz w:val="20"/>
                <w:szCs w:val="20"/>
                <w:color w:val="auto"/>
              </w:rPr>
            </w:pPr>
            <w:r>
              <w:rPr>
                <w:rFonts w:ascii="Arial" w:cs="Arial" w:eastAsia="Arial" w:hAnsi="Arial"/>
                <w:sz w:val="14"/>
                <w:szCs w:val="14"/>
                <w:b w:val="1"/>
                <w:bCs w:val="1"/>
                <w:color w:val="auto"/>
                <w:w w:val="94"/>
              </w:rPr>
              <w:t>Weighted-</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6"/>
        </w:trPr>
        <w:tc>
          <w:tcPr>
            <w:tcW w:w="114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center"/>
              <w:ind w:left="208"/>
              <w:spacing w:after="0"/>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114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5"/>
                <w:szCs w:val="15"/>
                <w:color w:val="auto"/>
              </w:rPr>
            </w:pPr>
          </w:p>
        </w:tc>
        <w:tc>
          <w:tcPr>
            <w:tcW w:w="1060" w:type="dxa"/>
            <w:vAlign w:val="bottom"/>
          </w:tcPr>
          <w:p>
            <w:pPr>
              <w:jc w:val="center"/>
              <w:ind w:left="188"/>
              <w:spacing w:after="0"/>
              <w:rPr>
                <w:sz w:val="20"/>
                <w:szCs w:val="20"/>
                <w:color w:val="auto"/>
              </w:rPr>
            </w:pPr>
            <w:r>
              <w:rPr>
                <w:rFonts w:ascii="Arial" w:cs="Arial" w:eastAsia="Arial" w:hAnsi="Arial"/>
                <w:sz w:val="14"/>
                <w:szCs w:val="14"/>
                <w:b w:val="1"/>
                <w:bCs w:val="1"/>
                <w:color w:val="auto"/>
                <w:w w:val="94"/>
              </w:rPr>
              <w:t>Remaining</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center"/>
              <w:ind w:right="180"/>
              <w:spacing w:after="0"/>
              <w:rPr>
                <w:sz w:val="20"/>
                <w:szCs w:val="20"/>
                <w:color w:val="auto"/>
              </w:rPr>
            </w:pPr>
            <w:r>
              <w:rPr>
                <w:rFonts w:ascii="Arial" w:cs="Arial" w:eastAsia="Arial" w:hAnsi="Arial"/>
                <w:sz w:val="14"/>
                <w:szCs w:val="14"/>
                <w:b w:val="1"/>
                <w:bCs w:val="1"/>
                <w:color w:val="auto"/>
                <w:w w:val="89"/>
              </w:rPr>
              <w:t>Aggregate</w:t>
            </w:r>
          </w:p>
        </w:tc>
        <w:tc>
          <w:tcPr>
            <w:tcW w:w="1120" w:type="dxa"/>
            <w:vAlign w:val="bottom"/>
          </w:tcPr>
          <w:p>
            <w:pPr>
              <w:spacing w:after="0"/>
              <w:rPr>
                <w:sz w:val="15"/>
                <w:szCs w:val="15"/>
                <w:color w:val="auto"/>
              </w:rPr>
            </w:pPr>
          </w:p>
        </w:tc>
      </w:tr>
      <w:tr>
        <w:trPr>
          <w:trHeight w:val="175"/>
        </w:trPr>
        <w:tc>
          <w:tcPr>
            <w:tcW w:w="114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center"/>
              <w:ind w:left="342"/>
              <w:spacing w:after="0"/>
              <w:rPr>
                <w:sz w:val="20"/>
                <w:szCs w:val="20"/>
                <w:color w:val="auto"/>
              </w:rPr>
            </w:pPr>
            <w:r>
              <w:rPr>
                <w:rFonts w:ascii="Arial" w:cs="Arial" w:eastAsia="Arial" w:hAnsi="Arial"/>
                <w:sz w:val="14"/>
                <w:szCs w:val="14"/>
                <w:b w:val="1"/>
                <w:bCs w:val="1"/>
                <w:color w:val="auto"/>
                <w:w w:val="90"/>
              </w:rPr>
              <w:t>Average</w:t>
            </w: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center"/>
              <w:ind w:left="208"/>
              <w:spacing w:after="0"/>
              <w:rPr>
                <w:sz w:val="20"/>
                <w:szCs w:val="20"/>
                <w:color w:val="auto"/>
              </w:rPr>
            </w:pPr>
            <w:r>
              <w:rPr>
                <w:rFonts w:ascii="Arial" w:cs="Arial" w:eastAsia="Arial" w:hAnsi="Arial"/>
                <w:sz w:val="14"/>
                <w:szCs w:val="14"/>
                <w:b w:val="1"/>
                <w:bCs w:val="1"/>
                <w:color w:val="auto"/>
                <w:w w:val="95"/>
              </w:rPr>
              <w:t>Contractual</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center"/>
              <w:ind w:right="180"/>
              <w:spacing w:after="0"/>
              <w:rPr>
                <w:sz w:val="20"/>
                <w:szCs w:val="20"/>
                <w:color w:val="auto"/>
              </w:rPr>
            </w:pPr>
            <w:r>
              <w:rPr>
                <w:rFonts w:ascii="Arial" w:cs="Arial" w:eastAsia="Arial" w:hAnsi="Arial"/>
                <w:sz w:val="14"/>
                <w:szCs w:val="14"/>
                <w:b w:val="1"/>
                <w:bCs w:val="1"/>
                <w:color w:val="auto"/>
                <w:w w:val="99"/>
              </w:rPr>
              <w:t>Intrinsic</w:t>
            </w:r>
          </w:p>
        </w:tc>
        <w:tc>
          <w:tcPr>
            <w:tcW w:w="1120" w:type="dxa"/>
            <w:vAlign w:val="bottom"/>
          </w:tcPr>
          <w:p>
            <w:pPr>
              <w:spacing w:after="0"/>
              <w:rPr>
                <w:sz w:val="15"/>
                <w:szCs w:val="15"/>
                <w:color w:val="auto"/>
              </w:rPr>
            </w:pPr>
          </w:p>
        </w:tc>
      </w:tr>
      <w:tr>
        <w:trPr>
          <w:trHeight w:val="175"/>
        </w:trPr>
        <w:tc>
          <w:tcPr>
            <w:tcW w:w="114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center"/>
              <w:ind w:left="342"/>
              <w:spacing w:after="0"/>
              <w:rPr>
                <w:sz w:val="20"/>
                <w:szCs w:val="20"/>
                <w:color w:val="auto"/>
              </w:rPr>
            </w:pPr>
            <w:r>
              <w:rPr>
                <w:rFonts w:ascii="Arial" w:cs="Arial" w:eastAsia="Arial" w:hAnsi="Arial"/>
                <w:sz w:val="14"/>
                <w:szCs w:val="14"/>
                <w:b w:val="1"/>
                <w:bCs w:val="1"/>
                <w:color w:val="auto"/>
                <w:w w:val="86"/>
              </w:rPr>
              <w:t>Exercise</w:t>
            </w: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center"/>
              <w:ind w:left="188"/>
              <w:spacing w:after="0"/>
              <w:rPr>
                <w:sz w:val="20"/>
                <w:szCs w:val="20"/>
                <w:color w:val="auto"/>
              </w:rPr>
            </w:pPr>
            <w:r>
              <w:rPr>
                <w:rFonts w:ascii="Arial" w:cs="Arial" w:eastAsia="Arial" w:hAnsi="Arial"/>
                <w:sz w:val="14"/>
                <w:szCs w:val="14"/>
                <w:b w:val="1"/>
                <w:bCs w:val="1"/>
                <w:color w:val="auto"/>
                <w:w w:val="93"/>
              </w:rPr>
              <w:t>Term</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center"/>
              <w:ind w:right="180"/>
              <w:spacing w:after="0"/>
              <w:rPr>
                <w:sz w:val="20"/>
                <w:szCs w:val="20"/>
                <w:color w:val="auto"/>
              </w:rPr>
            </w:pPr>
            <w:r>
              <w:rPr>
                <w:rFonts w:ascii="Arial" w:cs="Arial" w:eastAsia="Arial" w:hAnsi="Arial"/>
                <w:sz w:val="14"/>
                <w:szCs w:val="14"/>
                <w:b w:val="1"/>
                <w:bCs w:val="1"/>
                <w:color w:val="auto"/>
                <w:w w:val="90"/>
              </w:rPr>
              <w:t>Value</w:t>
            </w:r>
          </w:p>
        </w:tc>
        <w:tc>
          <w:tcPr>
            <w:tcW w:w="1120" w:type="dxa"/>
            <w:vAlign w:val="bottom"/>
          </w:tcPr>
          <w:p>
            <w:pPr>
              <w:spacing w:after="0"/>
              <w:rPr>
                <w:sz w:val="15"/>
                <w:szCs w:val="15"/>
                <w:color w:val="auto"/>
              </w:rPr>
            </w:pPr>
          </w:p>
        </w:tc>
      </w:tr>
      <w:tr>
        <w:trPr>
          <w:trHeight w:val="192"/>
        </w:trPr>
        <w:tc>
          <w:tcPr>
            <w:tcW w:w="11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3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Options</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Borders>
              <w:bottom w:val="single" w:sz="8" w:color="auto"/>
            </w:tcBorders>
          </w:tcPr>
          <w:p>
            <w:pPr>
              <w:jc w:val="center"/>
              <w:ind w:left="362"/>
              <w:spacing w:after="0"/>
              <w:rPr>
                <w:sz w:val="20"/>
                <w:szCs w:val="20"/>
                <w:color w:val="auto"/>
              </w:rPr>
            </w:pPr>
            <w:r>
              <w:rPr>
                <w:rFonts w:ascii="Arial" w:cs="Arial" w:eastAsia="Arial" w:hAnsi="Arial"/>
                <w:sz w:val="14"/>
                <w:szCs w:val="14"/>
                <w:b w:val="1"/>
                <w:bCs w:val="1"/>
                <w:color w:val="auto"/>
                <w:w w:val="93"/>
              </w:rPr>
              <w:t>Price</w:t>
            </w:r>
          </w:p>
        </w:tc>
        <w:tc>
          <w:tcPr>
            <w:tcW w:w="4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Borders>
              <w:bottom w:val="single" w:sz="8" w:color="auto"/>
            </w:tcBorders>
          </w:tcPr>
          <w:p>
            <w:pPr>
              <w:jc w:val="center"/>
              <w:ind w:left="208"/>
              <w:spacing w:after="0"/>
              <w:rPr>
                <w:sz w:val="20"/>
                <w:szCs w:val="20"/>
                <w:color w:val="auto"/>
              </w:rPr>
            </w:pPr>
            <w:r>
              <w:rPr>
                <w:rFonts w:ascii="Arial" w:cs="Arial" w:eastAsia="Arial" w:hAnsi="Arial"/>
                <w:sz w:val="14"/>
                <w:szCs w:val="14"/>
                <w:b w:val="1"/>
                <w:bCs w:val="1"/>
                <w:color w:val="auto"/>
                <w:w w:val="93"/>
              </w:rPr>
              <w:t>(in years)</w:t>
            </w:r>
          </w:p>
        </w:tc>
        <w:tc>
          <w:tcPr>
            <w:tcW w:w="2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w w:val="89"/>
              </w:rPr>
              <w:t>(in thousands)</w:t>
            </w:r>
          </w:p>
        </w:tc>
        <w:tc>
          <w:tcPr>
            <w:tcW w:w="1120" w:type="dxa"/>
            <w:vAlign w:val="bottom"/>
          </w:tcPr>
          <w:p>
            <w:pPr>
              <w:spacing w:after="0"/>
              <w:rPr>
                <w:sz w:val="16"/>
                <w:szCs w:val="16"/>
                <w:color w:val="auto"/>
              </w:rPr>
            </w:pPr>
          </w:p>
        </w:tc>
      </w:tr>
      <w:tr>
        <w:trPr>
          <w:trHeight w:val="256"/>
        </w:trPr>
        <w:tc>
          <w:tcPr>
            <w:tcW w:w="1140" w:type="dxa"/>
            <w:vAlign w:val="bottom"/>
          </w:tcPr>
          <w:p>
            <w:pPr>
              <w:spacing w:after="0"/>
              <w:rPr>
                <w:sz w:val="22"/>
                <w:szCs w:val="22"/>
                <w:color w:val="auto"/>
              </w:rPr>
            </w:pPr>
          </w:p>
        </w:tc>
        <w:tc>
          <w:tcPr>
            <w:tcW w:w="2800" w:type="dxa"/>
            <w:vAlign w:val="bottom"/>
            <w:shd w:val="clear" w:color="auto" w:fill="CFF0FC"/>
          </w:tcPr>
          <w:p>
            <w:pPr>
              <w:spacing w:after="0"/>
              <w:rPr>
                <w:sz w:val="20"/>
                <w:szCs w:val="20"/>
                <w:color w:val="auto"/>
              </w:rPr>
            </w:pPr>
            <w:r>
              <w:rPr>
                <w:rFonts w:ascii="Arial" w:cs="Arial" w:eastAsia="Arial" w:hAnsi="Arial"/>
                <w:sz w:val="18"/>
                <w:szCs w:val="18"/>
                <w:color w:val="auto"/>
                <w:w w:val="99"/>
              </w:rPr>
              <w:t>Outstanding at December 31, 2020</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3,996,174</w:t>
            </w:r>
          </w:p>
        </w:tc>
        <w:tc>
          <w:tcPr>
            <w:tcW w:w="160" w:type="dxa"/>
            <w:vAlign w:val="bottom"/>
            <w:shd w:val="clear" w:color="auto" w:fill="CFF0FC"/>
          </w:tcPr>
          <w:p>
            <w:pPr>
              <w:spacing w:after="0"/>
              <w:rPr>
                <w:sz w:val="22"/>
                <w:szCs w:val="22"/>
                <w:color w:val="auto"/>
              </w:rPr>
            </w:pPr>
          </w:p>
        </w:tc>
        <w:tc>
          <w:tcPr>
            <w:tcW w:w="104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w:t>
            </w:r>
          </w:p>
        </w:tc>
        <w:tc>
          <w:tcPr>
            <w:tcW w:w="20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8.5</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99,107</w:t>
            </w:r>
          </w:p>
        </w:tc>
        <w:tc>
          <w:tcPr>
            <w:tcW w:w="1120" w:type="dxa"/>
            <w:vAlign w:val="bottom"/>
          </w:tcPr>
          <w:p>
            <w:pPr>
              <w:spacing w:after="0"/>
              <w:rPr>
                <w:sz w:val="22"/>
                <w:szCs w:val="22"/>
                <w:color w:val="auto"/>
              </w:rPr>
            </w:pPr>
          </w:p>
        </w:tc>
      </w:tr>
      <w:tr>
        <w:trPr>
          <w:trHeight w:val="250"/>
        </w:trPr>
        <w:tc>
          <w:tcPr>
            <w:tcW w:w="1140" w:type="dxa"/>
            <w:vAlign w:val="bottom"/>
          </w:tcPr>
          <w:p>
            <w:pPr>
              <w:spacing w:after="0"/>
              <w:rPr>
                <w:sz w:val="21"/>
                <w:szCs w:val="21"/>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spacing w:after="0"/>
              <w:rPr>
                <w:sz w:val="20"/>
                <w:szCs w:val="20"/>
                <w:color w:val="auto"/>
              </w:rPr>
            </w:pPr>
            <w:r>
              <w:rPr>
                <w:rFonts w:ascii="Arial" w:cs="Arial" w:eastAsia="Arial" w:hAnsi="Arial"/>
                <w:sz w:val="18"/>
                <w:szCs w:val="18"/>
                <w:color w:val="auto"/>
              </w:rPr>
              <w:t>1,534,842</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27.42</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63"/>
        </w:trPr>
        <w:tc>
          <w:tcPr>
            <w:tcW w:w="1140" w:type="dxa"/>
            <w:vAlign w:val="bottom"/>
          </w:tcPr>
          <w:p>
            <w:pPr>
              <w:spacing w:after="0"/>
              <w:rPr>
                <w:sz w:val="22"/>
                <w:szCs w:val="22"/>
                <w:color w:val="auto"/>
              </w:rPr>
            </w:pPr>
          </w:p>
        </w:tc>
        <w:tc>
          <w:tcPr>
            <w:tcW w:w="280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5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(61,768 )</w:t>
            </w:r>
          </w:p>
        </w:tc>
        <w:tc>
          <w:tcPr>
            <w:tcW w:w="8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w:t>
            </w:r>
          </w:p>
        </w:tc>
        <w:tc>
          <w:tcPr>
            <w:tcW w:w="20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280" w:type="dxa"/>
            <w:vAlign w:val="bottom"/>
            <w:tcBorders>
              <w:right w:val="single" w:sz="8" w:color="CFF0FC"/>
            </w:tcBorders>
            <w:shd w:val="clear" w:color="auto" w:fill="CFF0FC"/>
          </w:tcPr>
          <w:p>
            <w:pPr>
              <w:spacing w:after="0"/>
              <w:rPr>
                <w:sz w:val="22"/>
                <w:szCs w:val="22"/>
                <w:color w:val="auto"/>
              </w:rPr>
            </w:pPr>
          </w:p>
        </w:tc>
        <w:tc>
          <w:tcPr>
            <w:tcW w:w="1120" w:type="dxa"/>
            <w:vAlign w:val="bottom"/>
          </w:tcPr>
          <w:p>
            <w:pPr>
              <w:spacing w:after="0"/>
              <w:rPr>
                <w:sz w:val="22"/>
                <w:szCs w:val="22"/>
                <w:color w:val="auto"/>
              </w:rPr>
            </w:pPr>
          </w:p>
        </w:tc>
      </w:tr>
      <w:tr>
        <w:trPr>
          <w:trHeight w:val="250"/>
        </w:trPr>
        <w:tc>
          <w:tcPr>
            <w:tcW w:w="1140" w:type="dxa"/>
            <w:vAlign w:val="bottom"/>
          </w:tcPr>
          <w:p>
            <w:pPr>
              <w:spacing w:after="0"/>
              <w:rPr>
                <w:sz w:val="21"/>
                <w:szCs w:val="21"/>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Forfeited and cancelled</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(209,302 )</w:t>
            </w: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21.20</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0"/>
        </w:trPr>
        <w:tc>
          <w:tcPr>
            <w:tcW w:w="1140" w:type="dxa"/>
            <w:vAlign w:val="bottom"/>
          </w:tcPr>
          <w:p>
            <w:pPr>
              <w:spacing w:after="0"/>
              <w:rPr>
                <w:sz w:val="21"/>
                <w:szCs w:val="21"/>
                <w:color w:val="auto"/>
              </w:rPr>
            </w:pPr>
          </w:p>
        </w:tc>
        <w:tc>
          <w:tcPr>
            <w:tcW w:w="2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7"/>
              </w:rPr>
              <w:t>Outstanding at September 30, 2021</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5,259,946</w:t>
            </w:r>
          </w:p>
        </w:tc>
        <w:tc>
          <w:tcPr>
            <w:tcW w:w="1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13.99</w:t>
            </w:r>
          </w:p>
        </w:tc>
        <w:tc>
          <w:tcPr>
            <w:tcW w:w="20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top w:val="single" w:sz="8" w:color="auto"/>
              <w:bottom w:val="single" w:sz="8" w:color="auto"/>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8.2</w:t>
            </w:r>
          </w:p>
        </w:tc>
        <w:tc>
          <w:tcPr>
            <w:tcW w:w="1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47,735</w:t>
            </w:r>
          </w:p>
        </w:tc>
        <w:tc>
          <w:tcPr>
            <w:tcW w:w="1120" w:type="dxa"/>
            <w:vAlign w:val="bottom"/>
          </w:tcPr>
          <w:p>
            <w:pPr>
              <w:spacing w:after="0"/>
              <w:rPr>
                <w:sz w:val="21"/>
                <w:szCs w:val="21"/>
                <w:color w:val="auto"/>
              </w:rPr>
            </w:pPr>
          </w:p>
        </w:tc>
      </w:tr>
      <w:tr>
        <w:trPr>
          <w:trHeight w:val="250"/>
        </w:trPr>
        <w:tc>
          <w:tcPr>
            <w:tcW w:w="1140" w:type="dxa"/>
            <w:vAlign w:val="bottom"/>
          </w:tcPr>
          <w:p>
            <w:pPr>
              <w:spacing w:after="0"/>
              <w:rPr>
                <w:sz w:val="21"/>
                <w:szCs w:val="21"/>
                <w:color w:val="auto"/>
              </w:rPr>
            </w:pPr>
          </w:p>
        </w:tc>
        <w:tc>
          <w:tcPr>
            <w:tcW w:w="2800" w:type="dxa"/>
            <w:vAlign w:val="bottom"/>
          </w:tcPr>
          <w:p>
            <w:pPr>
              <w:spacing w:after="0"/>
              <w:rPr>
                <w:sz w:val="20"/>
                <w:szCs w:val="20"/>
                <w:color w:val="auto"/>
              </w:rPr>
            </w:pPr>
            <w:r>
              <w:rPr>
                <w:rFonts w:ascii="Arial" w:cs="Arial" w:eastAsia="Arial" w:hAnsi="Arial"/>
                <w:sz w:val="18"/>
                <w:szCs w:val="18"/>
                <w:color w:val="auto"/>
                <w:w w:val="98"/>
              </w:rPr>
              <w:t>Exercisable at September 30, 2021</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2,149,552</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200" w:type="dxa"/>
            <w:vAlign w:val="bottom"/>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7.3</w:t>
            </w:r>
          </w:p>
        </w:tc>
        <w:tc>
          <w:tcPr>
            <w:tcW w:w="18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31,542</w:t>
            </w:r>
          </w:p>
        </w:tc>
        <w:tc>
          <w:tcPr>
            <w:tcW w:w="1120" w:type="dxa"/>
            <w:vAlign w:val="bottom"/>
          </w:tcPr>
          <w:p>
            <w:pPr>
              <w:spacing w:after="0"/>
              <w:rPr>
                <w:sz w:val="21"/>
                <w:szCs w:val="21"/>
                <w:color w:val="auto"/>
              </w:rPr>
            </w:pPr>
          </w:p>
        </w:tc>
      </w:tr>
      <w:tr>
        <w:trPr>
          <w:trHeight w:val="675"/>
        </w:trPr>
        <w:tc>
          <w:tcPr>
            <w:tcW w:w="11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color w:val="auto"/>
              </w:rPr>
              <w:t>12</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01"/>
        </w:trPr>
        <w:tc>
          <w:tcPr>
            <w:tcW w:w="1140" w:type="dxa"/>
            <w:vAlign w:val="bottom"/>
            <w:tcBorders>
              <w:bottom w:val="single" w:sz="8" w:color="9A9A9A"/>
            </w:tcBorders>
          </w:tcPr>
          <w:p>
            <w:pPr>
              <w:spacing w:after="0"/>
              <w:rPr>
                <w:sz w:val="8"/>
                <w:szCs w:val="8"/>
                <w:color w:val="auto"/>
              </w:rPr>
            </w:pPr>
          </w:p>
        </w:tc>
        <w:tc>
          <w:tcPr>
            <w:tcW w:w="280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-681990</wp:posOffset>
            </wp:positionV>
            <wp:extent cx="154305"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-681990</wp:posOffset>
            </wp:positionV>
            <wp:extent cx="128905"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-681990</wp:posOffset>
            </wp:positionV>
            <wp:extent cx="111125" cy="57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-681990</wp:posOffset>
            </wp:positionV>
            <wp:extent cx="43180"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4" w:name="page15"/>
    <w:bookmarkEnd w:id="14"/>
    <w:p>
      <w:pPr>
        <w:ind w:right="140" w:firstLine="749"/>
        <w:spacing w:after="0" w:line="293" w:lineRule="auto"/>
        <w:rPr>
          <w:sz w:val="20"/>
          <w:szCs w:val="20"/>
          <w:color w:val="auto"/>
        </w:rPr>
      </w:pPr>
      <w:r>
        <w:rPr>
          <w:rFonts w:ascii="Arial" w:cs="Arial" w:eastAsia="Arial" w:hAnsi="Arial"/>
          <w:sz w:val="18"/>
          <w:szCs w:val="18"/>
          <w:color w:val="auto"/>
        </w:rPr>
        <w:t>The following outstanding shares of potentially dilutive securities were excluded from the computation of diluted net loss per share attributable to common stockholders for the periods presented because including them would have been anti-dilutive:</w:t>
      </w:r>
    </w:p>
    <w:p>
      <w:pPr>
        <w:spacing w:after="0" w:line="188" w:lineRule="exact"/>
        <w:rPr>
          <w:sz w:val="20"/>
          <w:szCs w:val="20"/>
          <w:color w:val="auto"/>
        </w:rPr>
      </w:pPr>
    </w:p>
    <w:tbl>
      <w:tblPr>
        <w:tblLayout w:type="fixed"/>
        <w:tblInd w:w="1140" w:type="dxa"/>
        <w:tblCellMar>
          <w:top w:w="0" w:type="dxa"/>
          <w:left w:w="0" w:type="dxa"/>
          <w:bottom w:w="0" w:type="dxa"/>
          <w:right w:w="0" w:type="dxa"/>
        </w:tblCellMar>
      </w:tblPr>
      <w:tr>
        <w:trPr>
          <w:trHeight w:val="219"/>
        </w:trPr>
        <w:tc>
          <w:tcPr>
            <w:tcW w:w="3580" w:type="dxa"/>
            <w:vAlign w:val="bottom"/>
          </w:tcPr>
          <w:p>
            <w:pPr>
              <w:spacing w:after="0"/>
              <w:rPr>
                <w:sz w:val="19"/>
                <w:szCs w:val="19"/>
                <w:color w:val="auto"/>
              </w:rPr>
            </w:pPr>
          </w:p>
        </w:tc>
        <w:tc>
          <w:tcPr>
            <w:tcW w:w="264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9"/>
                <w:szCs w:val="19"/>
                <w:color w:val="auto"/>
              </w:rPr>
            </w:pPr>
          </w:p>
        </w:tc>
        <w:tc>
          <w:tcPr>
            <w:tcW w:w="248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w w:val="99"/>
              </w:rPr>
              <w:t>Nine Months Ended September 30,</w:t>
            </w:r>
          </w:p>
        </w:tc>
        <w:tc>
          <w:tcPr>
            <w:tcW w:w="80" w:type="dxa"/>
            <w:vAlign w:val="bottom"/>
          </w:tcPr>
          <w:p>
            <w:pPr>
              <w:spacing w:after="0"/>
              <w:rPr>
                <w:sz w:val="19"/>
                <w:szCs w:val="19"/>
                <w:color w:val="auto"/>
              </w:rPr>
            </w:pPr>
          </w:p>
        </w:tc>
      </w:tr>
      <w:tr>
        <w:trPr>
          <w:trHeight w:val="197"/>
        </w:trPr>
        <w:tc>
          <w:tcPr>
            <w:tcW w:w="3580" w:type="dxa"/>
            <w:vAlign w:val="bottom"/>
          </w:tcPr>
          <w:p>
            <w:pPr>
              <w:spacing w:after="0"/>
              <w:rPr>
                <w:sz w:val="17"/>
                <w:szCs w:val="17"/>
                <w:color w:val="auto"/>
              </w:rPr>
            </w:pPr>
          </w:p>
        </w:tc>
        <w:tc>
          <w:tcPr>
            <w:tcW w:w="12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7"/>
                <w:szCs w:val="17"/>
                <w:color w:val="auto"/>
              </w:rPr>
            </w:pPr>
          </w:p>
        </w:tc>
        <w:tc>
          <w:tcPr>
            <w:tcW w:w="116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7"/>
                <w:szCs w:val="17"/>
                <w:color w:val="auto"/>
              </w:rPr>
            </w:pPr>
          </w:p>
        </w:tc>
        <w:tc>
          <w:tcPr>
            <w:tcW w:w="114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7"/>
                <w:szCs w:val="17"/>
                <w:color w:val="auto"/>
              </w:rPr>
            </w:pPr>
          </w:p>
        </w:tc>
        <w:tc>
          <w:tcPr>
            <w:tcW w:w="114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r>
      <w:tr>
        <w:trPr>
          <w:trHeight w:val="250"/>
        </w:trPr>
        <w:tc>
          <w:tcPr>
            <w:tcW w:w="3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to purchase common stock</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5,259,946</w:t>
            </w:r>
          </w:p>
        </w:tc>
        <w:tc>
          <w:tcPr>
            <w:tcW w:w="2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ind w:left="420"/>
              <w:spacing w:after="0"/>
              <w:rPr>
                <w:sz w:val="20"/>
                <w:szCs w:val="20"/>
                <w:color w:val="auto"/>
              </w:rPr>
            </w:pPr>
            <w:r>
              <w:rPr>
                <w:rFonts w:ascii="Arial" w:cs="Arial" w:eastAsia="Arial" w:hAnsi="Arial"/>
                <w:sz w:val="18"/>
                <w:szCs w:val="18"/>
                <w:color w:val="auto"/>
                <w:w w:val="89"/>
              </w:rPr>
              <w:t>3,959,693</w:t>
            </w:r>
          </w:p>
        </w:tc>
        <w:tc>
          <w:tcPr>
            <w:tcW w:w="20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ind w:left="400"/>
              <w:spacing w:after="0"/>
              <w:rPr>
                <w:sz w:val="20"/>
                <w:szCs w:val="20"/>
                <w:color w:val="auto"/>
              </w:rPr>
            </w:pPr>
            <w:r>
              <w:rPr>
                <w:rFonts w:ascii="Arial" w:cs="Arial" w:eastAsia="Arial" w:hAnsi="Arial"/>
                <w:sz w:val="18"/>
                <w:szCs w:val="18"/>
                <w:color w:val="auto"/>
                <w:w w:val="89"/>
              </w:rPr>
              <w:t>5,259,946</w:t>
            </w:r>
          </w:p>
        </w:tc>
        <w:tc>
          <w:tcPr>
            <w:tcW w:w="20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ind w:left="400"/>
              <w:spacing w:after="0"/>
              <w:rPr>
                <w:sz w:val="20"/>
                <w:szCs w:val="20"/>
                <w:color w:val="auto"/>
              </w:rPr>
            </w:pPr>
            <w:r>
              <w:rPr>
                <w:rFonts w:ascii="Arial" w:cs="Arial" w:eastAsia="Arial" w:hAnsi="Arial"/>
                <w:sz w:val="18"/>
                <w:szCs w:val="18"/>
                <w:color w:val="auto"/>
                <w:w w:val="89"/>
              </w:rPr>
              <w:t>3,959,693</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50"/>
        </w:trPr>
        <w:tc>
          <w:tcPr>
            <w:tcW w:w="3580" w:type="dxa"/>
            <w:vAlign w:val="bottom"/>
          </w:tcPr>
          <w:p>
            <w:pPr>
              <w:ind w:left="180"/>
              <w:spacing w:after="0"/>
              <w:rPr>
                <w:sz w:val="20"/>
                <w:szCs w:val="20"/>
                <w:color w:val="auto"/>
              </w:rPr>
            </w:pPr>
            <w:r>
              <w:rPr>
                <w:rFonts w:ascii="Arial" w:cs="Arial" w:eastAsia="Arial" w:hAnsi="Arial"/>
                <w:sz w:val="18"/>
                <w:szCs w:val="18"/>
                <w:color w:val="auto"/>
              </w:rPr>
              <w:t>Total</w:t>
            </w:r>
          </w:p>
        </w:tc>
        <w:tc>
          <w:tcPr>
            <w:tcW w:w="1280" w:type="dxa"/>
            <w:vAlign w:val="bottom"/>
          </w:tcPr>
          <w:p>
            <w:pPr>
              <w:jc w:val="right"/>
              <w:spacing w:after="0"/>
              <w:rPr>
                <w:sz w:val="20"/>
                <w:szCs w:val="20"/>
                <w:color w:val="auto"/>
              </w:rPr>
            </w:pPr>
            <w:r>
              <w:rPr>
                <w:rFonts w:ascii="Arial" w:cs="Arial" w:eastAsia="Arial" w:hAnsi="Arial"/>
                <w:sz w:val="18"/>
                <w:szCs w:val="18"/>
                <w:color w:val="auto"/>
              </w:rPr>
              <w:t>5,259,946</w:t>
            </w:r>
          </w:p>
        </w:tc>
        <w:tc>
          <w:tcPr>
            <w:tcW w:w="1360" w:type="dxa"/>
            <w:vAlign w:val="bottom"/>
            <w:gridSpan w:val="2"/>
          </w:tcPr>
          <w:p>
            <w:pPr>
              <w:ind w:left="620"/>
              <w:spacing w:after="0"/>
              <w:rPr>
                <w:sz w:val="20"/>
                <w:szCs w:val="20"/>
                <w:color w:val="auto"/>
              </w:rPr>
            </w:pPr>
            <w:r>
              <w:rPr>
                <w:rFonts w:ascii="Arial" w:cs="Arial" w:eastAsia="Arial" w:hAnsi="Arial"/>
                <w:sz w:val="18"/>
                <w:szCs w:val="18"/>
                <w:color w:val="auto"/>
                <w:w w:val="89"/>
              </w:rPr>
              <w:t>3,959,693</w:t>
            </w:r>
          </w:p>
        </w:tc>
        <w:tc>
          <w:tcPr>
            <w:tcW w:w="1340" w:type="dxa"/>
            <w:vAlign w:val="bottom"/>
            <w:gridSpan w:val="2"/>
          </w:tcPr>
          <w:p>
            <w:pPr>
              <w:ind w:left="600"/>
              <w:spacing w:after="0"/>
              <w:rPr>
                <w:sz w:val="20"/>
                <w:szCs w:val="20"/>
                <w:color w:val="auto"/>
              </w:rPr>
            </w:pPr>
            <w:r>
              <w:rPr>
                <w:rFonts w:ascii="Arial" w:cs="Arial" w:eastAsia="Arial" w:hAnsi="Arial"/>
                <w:sz w:val="18"/>
                <w:szCs w:val="18"/>
                <w:color w:val="auto"/>
                <w:w w:val="89"/>
              </w:rPr>
              <w:t>5,259,946</w:t>
            </w:r>
          </w:p>
        </w:tc>
        <w:tc>
          <w:tcPr>
            <w:tcW w:w="1340" w:type="dxa"/>
            <w:vAlign w:val="bottom"/>
            <w:gridSpan w:val="2"/>
          </w:tcPr>
          <w:p>
            <w:pPr>
              <w:ind w:left="600"/>
              <w:spacing w:after="0"/>
              <w:rPr>
                <w:sz w:val="20"/>
                <w:szCs w:val="20"/>
                <w:color w:val="auto"/>
              </w:rPr>
            </w:pPr>
            <w:r>
              <w:rPr>
                <w:rFonts w:ascii="Arial" w:cs="Arial" w:eastAsia="Arial" w:hAnsi="Arial"/>
                <w:sz w:val="18"/>
                <w:szCs w:val="18"/>
                <w:color w:val="auto"/>
                <w:w w:val="89"/>
              </w:rPr>
              <w:t>3,959,693</w:t>
            </w:r>
          </w:p>
        </w:tc>
        <w:tc>
          <w:tcPr>
            <w:tcW w:w="80" w:type="dxa"/>
            <w:vAlign w:val="bottom"/>
          </w:tcPr>
          <w:p>
            <w:pPr>
              <w:spacing w:after="0"/>
              <w:rPr>
                <w:sz w:val="21"/>
                <w:szCs w:val="21"/>
                <w:color w:val="auto"/>
              </w:rPr>
            </w:pPr>
          </w:p>
        </w:tc>
      </w:tr>
      <w:tr>
        <w:trPr>
          <w:trHeight w:val="20"/>
        </w:trPr>
        <w:tc>
          <w:tcPr>
            <w:tcW w:w="35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-193675</wp:posOffset>
            </wp:positionV>
            <wp:extent cx="128905"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-193675</wp:posOffset>
            </wp:positionV>
            <wp:extent cx="120015"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-193675</wp:posOffset>
            </wp:positionV>
            <wp:extent cx="120015"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-193675</wp:posOffset>
            </wp:positionV>
            <wp:extent cx="51435"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87"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3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fair value of stock option awards to employees, executives, directors, and other service providers was estimated at the date of grant using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Black-Scholes Merton option pricing model with the following assumptions:</w:t>
      </w:r>
    </w:p>
    <w:p>
      <w:pPr>
        <w:spacing w:after="0" w:line="256"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37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20" w:type="dxa"/>
            <w:vAlign w:val="bottom"/>
            <w:gridSpan w:val="3"/>
          </w:tcPr>
          <w:p>
            <w:pPr>
              <w:jc w:val="right"/>
              <w:ind w:right="688"/>
              <w:spacing w:after="0"/>
              <w:rPr>
                <w:sz w:val="20"/>
                <w:szCs w:val="20"/>
                <w:color w:val="auto"/>
              </w:rPr>
            </w:pPr>
            <w:r>
              <w:rPr>
                <w:rFonts w:ascii="Arial" w:cs="Arial" w:eastAsia="Arial" w:hAnsi="Arial"/>
                <w:sz w:val="14"/>
                <w:szCs w:val="14"/>
                <w:b w:val="1"/>
                <w:bCs w:val="1"/>
                <w:color w:val="auto"/>
                <w:w w:val="94"/>
              </w:rPr>
              <w:t>Nine Months Ended</w:t>
            </w:r>
          </w:p>
        </w:tc>
        <w:tc>
          <w:tcPr>
            <w:tcW w:w="1260" w:type="dxa"/>
            <w:vAlign w:val="bottom"/>
          </w:tcPr>
          <w:p>
            <w:pPr>
              <w:spacing w:after="0"/>
              <w:rPr>
                <w:sz w:val="15"/>
                <w:szCs w:val="15"/>
                <w:color w:val="auto"/>
              </w:rPr>
            </w:pPr>
          </w:p>
        </w:tc>
      </w:tr>
      <w:tr>
        <w:trPr>
          <w:trHeight w:val="219"/>
        </w:trPr>
        <w:tc>
          <w:tcPr>
            <w:tcW w:w="372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3"/>
          </w:tcPr>
          <w:p>
            <w:pPr>
              <w:jc w:val="right"/>
              <w:ind w:right="868"/>
              <w:spacing w:after="0"/>
              <w:rPr>
                <w:sz w:val="20"/>
                <w:szCs w:val="20"/>
                <w:color w:val="auto"/>
              </w:rPr>
            </w:pPr>
            <w:r>
              <w:rPr>
                <w:rFonts w:ascii="Arial" w:cs="Arial" w:eastAsia="Arial" w:hAnsi="Arial"/>
                <w:sz w:val="14"/>
                <w:szCs w:val="14"/>
                <w:b w:val="1"/>
                <w:bCs w:val="1"/>
                <w:color w:val="auto"/>
              </w:rPr>
              <w:t>September 30,</w:t>
            </w:r>
          </w:p>
        </w:tc>
        <w:tc>
          <w:tcPr>
            <w:tcW w:w="1260" w:type="dxa"/>
            <w:vAlign w:val="bottom"/>
            <w:tcBorders>
              <w:bottom w:val="single" w:sz="8" w:color="auto"/>
            </w:tcBorders>
          </w:tcPr>
          <w:p>
            <w:pPr>
              <w:spacing w:after="0"/>
              <w:rPr>
                <w:sz w:val="19"/>
                <w:szCs w:val="19"/>
                <w:color w:val="auto"/>
              </w:rPr>
            </w:pPr>
          </w:p>
        </w:tc>
      </w:tr>
      <w:tr>
        <w:trPr>
          <w:trHeight w:val="196"/>
        </w:trPr>
        <w:tc>
          <w:tcPr>
            <w:tcW w:w="3720" w:type="dxa"/>
            <w:vAlign w:val="bottom"/>
          </w:tcPr>
          <w:p>
            <w:pPr>
              <w:spacing w:after="0"/>
              <w:rPr>
                <w:sz w:val="17"/>
                <w:szCs w:val="17"/>
                <w:color w:val="auto"/>
              </w:rPr>
            </w:pPr>
          </w:p>
        </w:tc>
        <w:tc>
          <w:tcPr>
            <w:tcW w:w="1980" w:type="dxa"/>
            <w:vAlign w:val="bottom"/>
            <w:tcBorders>
              <w:bottom w:val="single" w:sz="8" w:color="auto"/>
            </w:tcBorders>
            <w:gridSpan w:val="2"/>
          </w:tcPr>
          <w:p>
            <w:pPr>
              <w:jc w:val="right"/>
              <w:ind w:right="430"/>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0" w:type="dxa"/>
            <w:vAlign w:val="bottom"/>
            <w:tcBorders>
              <w:bottom w:val="single" w:sz="8" w:color="auto"/>
            </w:tcBorders>
            <w:gridSpan w:val="2"/>
          </w:tcPr>
          <w:p>
            <w:pPr>
              <w:jc w:val="right"/>
              <w:ind w:right="970"/>
              <w:spacing w:after="0"/>
              <w:rPr>
                <w:sz w:val="20"/>
                <w:szCs w:val="20"/>
                <w:color w:val="auto"/>
              </w:rPr>
            </w:pPr>
            <w:r>
              <w:rPr>
                <w:rFonts w:ascii="Arial" w:cs="Arial" w:eastAsia="Arial" w:hAnsi="Arial"/>
                <w:sz w:val="14"/>
                <w:szCs w:val="14"/>
                <w:b w:val="1"/>
                <w:bCs w:val="1"/>
                <w:color w:val="auto"/>
              </w:rPr>
              <w:t>2020</w:t>
            </w:r>
          </w:p>
        </w:tc>
      </w:tr>
      <w:tr>
        <w:trPr>
          <w:trHeight w:val="256"/>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Stock price</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$16.61</w:t>
            </w:r>
          </w:p>
        </w:tc>
        <w:tc>
          <w:tcPr>
            <w:tcW w:w="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 $35.67</w:t>
            </w:r>
          </w:p>
        </w:tc>
        <w:tc>
          <w:tcPr>
            <w:tcW w:w="20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$16.00</w:t>
            </w:r>
          </w:p>
        </w:tc>
        <w:tc>
          <w:tcPr>
            <w:tcW w:w="1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 $35.92</w:t>
            </w:r>
          </w:p>
        </w:tc>
      </w:tr>
      <w:tr>
        <w:trPr>
          <w:trHeight w:val="250"/>
        </w:trPr>
        <w:tc>
          <w:tcPr>
            <w:tcW w:w="37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260" w:type="dxa"/>
            <w:vAlign w:val="bottom"/>
          </w:tcPr>
          <w:p>
            <w:pPr>
              <w:jc w:val="right"/>
              <w:spacing w:after="0"/>
              <w:rPr>
                <w:sz w:val="20"/>
                <w:szCs w:val="20"/>
                <w:color w:val="auto"/>
              </w:rPr>
            </w:pPr>
            <w:r>
              <w:rPr>
                <w:rFonts w:ascii="Arial" w:cs="Arial" w:eastAsia="Arial" w:hAnsi="Arial"/>
                <w:sz w:val="18"/>
                <w:szCs w:val="18"/>
                <w:color w:val="auto"/>
              </w:rPr>
              <w:t>0.60%</w:t>
            </w:r>
          </w:p>
        </w:tc>
        <w:tc>
          <w:tcPr>
            <w:tcW w:w="720" w:type="dxa"/>
            <w:vAlign w:val="bottom"/>
          </w:tcPr>
          <w:p>
            <w:pPr>
              <w:ind w:left="20"/>
              <w:spacing w:after="0"/>
              <w:rPr>
                <w:sz w:val="20"/>
                <w:szCs w:val="20"/>
                <w:color w:val="auto"/>
              </w:rPr>
            </w:pPr>
            <w:r>
              <w:rPr>
                <w:rFonts w:ascii="Arial" w:cs="Arial" w:eastAsia="Arial" w:hAnsi="Arial"/>
                <w:sz w:val="18"/>
                <w:szCs w:val="18"/>
                <w:color w:val="auto"/>
              </w:rPr>
              <w:t>- 1.15%</w:t>
            </w:r>
          </w:p>
        </w:tc>
        <w:tc>
          <w:tcPr>
            <w:tcW w:w="2020" w:type="dxa"/>
            <w:vAlign w:val="bottom"/>
            <w:gridSpan w:val="3"/>
          </w:tcPr>
          <w:p>
            <w:pPr>
              <w:jc w:val="right"/>
              <w:spacing w:after="0"/>
              <w:rPr>
                <w:sz w:val="20"/>
                <w:szCs w:val="20"/>
                <w:color w:val="auto"/>
              </w:rPr>
            </w:pPr>
            <w:r>
              <w:rPr>
                <w:rFonts w:ascii="Arial" w:cs="Arial" w:eastAsia="Arial" w:hAnsi="Arial"/>
                <w:sz w:val="18"/>
                <w:szCs w:val="18"/>
                <w:color w:val="auto"/>
              </w:rPr>
              <w:t>3.17%</w:t>
            </w:r>
          </w:p>
        </w:tc>
        <w:tc>
          <w:tcPr>
            <w:tcW w:w="1260" w:type="dxa"/>
            <w:vAlign w:val="bottom"/>
          </w:tcPr>
          <w:p>
            <w:pPr>
              <w:ind w:left="20"/>
              <w:spacing w:after="0"/>
              <w:rPr>
                <w:sz w:val="20"/>
                <w:szCs w:val="20"/>
                <w:color w:val="auto"/>
              </w:rPr>
            </w:pPr>
            <w:r>
              <w:rPr>
                <w:rFonts w:ascii="Arial" w:cs="Arial" w:eastAsia="Arial" w:hAnsi="Arial"/>
                <w:sz w:val="18"/>
                <w:szCs w:val="18"/>
                <w:color w:val="auto"/>
              </w:rPr>
              <w:t>- 4.45%</w:t>
            </w:r>
          </w:p>
        </w:tc>
      </w:tr>
      <w:tr>
        <w:trPr>
          <w:trHeight w:val="263"/>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82.88%</w:t>
            </w:r>
          </w:p>
        </w:tc>
        <w:tc>
          <w:tcPr>
            <w:tcW w:w="720" w:type="dxa"/>
            <w:vAlign w:val="bottom"/>
            <w:shd w:val="clear" w:color="auto" w:fill="CFF0FC"/>
          </w:tcPr>
          <w:p>
            <w:pPr>
              <w:ind w:left="20"/>
              <w:spacing w:after="0"/>
              <w:rPr>
                <w:sz w:val="20"/>
                <w:szCs w:val="20"/>
                <w:color w:val="auto"/>
              </w:rPr>
            </w:pPr>
            <w:r>
              <w:rPr>
                <w:rFonts w:ascii="Arial" w:cs="Arial" w:eastAsia="Arial" w:hAnsi="Arial"/>
                <w:sz w:val="18"/>
                <w:szCs w:val="18"/>
                <w:color w:val="auto"/>
                <w:w w:val="94"/>
              </w:rPr>
              <w:t>- 88.43%</w:t>
            </w:r>
          </w:p>
        </w:tc>
        <w:tc>
          <w:tcPr>
            <w:tcW w:w="20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88.01%</w:t>
            </w:r>
          </w:p>
        </w:tc>
        <w:tc>
          <w:tcPr>
            <w:tcW w:w="1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- 95.11%</w:t>
            </w:r>
          </w:p>
        </w:tc>
      </w:tr>
      <w:tr>
        <w:trPr>
          <w:trHeight w:val="250"/>
        </w:trPr>
        <w:tc>
          <w:tcPr>
            <w:tcW w:w="372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260" w:type="dxa"/>
            <w:vAlign w:val="bottom"/>
          </w:tcPr>
          <w:p>
            <w:pPr>
              <w:jc w:val="right"/>
              <w:spacing w:after="0"/>
              <w:rPr>
                <w:sz w:val="20"/>
                <w:szCs w:val="20"/>
                <w:color w:val="auto"/>
              </w:rPr>
            </w:pPr>
            <w:r>
              <w:rPr>
                <w:rFonts w:ascii="Arial" w:cs="Arial" w:eastAsia="Arial" w:hAnsi="Arial"/>
                <w:sz w:val="18"/>
                <w:szCs w:val="18"/>
                <w:color w:val="auto"/>
              </w:rPr>
              <w:t>5.50</w:t>
            </w:r>
          </w:p>
        </w:tc>
        <w:tc>
          <w:tcPr>
            <w:tcW w:w="720" w:type="dxa"/>
            <w:vAlign w:val="bottom"/>
          </w:tcPr>
          <w:p>
            <w:pPr>
              <w:ind w:left="20"/>
              <w:spacing w:after="0"/>
              <w:rPr>
                <w:sz w:val="20"/>
                <w:szCs w:val="20"/>
                <w:color w:val="auto"/>
              </w:rPr>
            </w:pPr>
            <w:r>
              <w:rPr>
                <w:rFonts w:ascii="Arial" w:cs="Arial" w:eastAsia="Arial" w:hAnsi="Arial"/>
                <w:sz w:val="18"/>
                <w:szCs w:val="18"/>
                <w:color w:val="auto"/>
              </w:rPr>
              <w:t>- 6.08</w:t>
            </w:r>
          </w:p>
        </w:tc>
        <w:tc>
          <w:tcPr>
            <w:tcW w:w="2020" w:type="dxa"/>
            <w:vAlign w:val="bottom"/>
            <w:gridSpan w:val="3"/>
          </w:tcPr>
          <w:p>
            <w:pPr>
              <w:jc w:val="right"/>
              <w:spacing w:after="0"/>
              <w:rPr>
                <w:sz w:val="20"/>
                <w:szCs w:val="20"/>
                <w:color w:val="auto"/>
              </w:rPr>
            </w:pPr>
            <w:r>
              <w:rPr>
                <w:rFonts w:ascii="Arial" w:cs="Arial" w:eastAsia="Arial" w:hAnsi="Arial"/>
                <w:sz w:val="18"/>
                <w:szCs w:val="18"/>
                <w:color w:val="auto"/>
              </w:rPr>
              <w:t>5.50</w:t>
            </w:r>
          </w:p>
        </w:tc>
        <w:tc>
          <w:tcPr>
            <w:tcW w:w="1260" w:type="dxa"/>
            <w:vAlign w:val="bottom"/>
          </w:tcPr>
          <w:p>
            <w:pPr>
              <w:ind w:left="20"/>
              <w:spacing w:after="0"/>
              <w:rPr>
                <w:sz w:val="20"/>
                <w:szCs w:val="20"/>
                <w:color w:val="auto"/>
              </w:rPr>
            </w:pPr>
            <w:r>
              <w:rPr>
                <w:rFonts w:ascii="Arial" w:cs="Arial" w:eastAsia="Arial" w:hAnsi="Arial"/>
                <w:sz w:val="18"/>
                <w:szCs w:val="18"/>
                <w:color w:val="auto"/>
              </w:rPr>
              <w:t>- 6.08</w:t>
            </w:r>
          </w:p>
        </w:tc>
      </w:tr>
      <w:tr>
        <w:trPr>
          <w:trHeight w:val="263"/>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1980" w:type="dxa"/>
            <w:vAlign w:val="bottom"/>
            <w:gridSpan w:val="2"/>
            <w:shd w:val="clear" w:color="auto" w:fill="CFF0FC"/>
          </w:tcPr>
          <w:p>
            <w:pPr>
              <w:jc w:val="right"/>
              <w:ind w:right="450"/>
              <w:spacing w:after="0"/>
              <w:rPr>
                <w:sz w:val="20"/>
                <w:szCs w:val="20"/>
                <w:color w:val="auto"/>
              </w:rPr>
            </w:pPr>
            <w:r>
              <w:rPr>
                <w:rFonts w:ascii="Arial" w:cs="Arial" w:eastAsia="Arial" w:hAnsi="Arial"/>
                <w:sz w:val="18"/>
                <w:szCs w:val="18"/>
                <w:color w:val="auto"/>
              </w:rPr>
              <w:t>0%</w:t>
            </w:r>
          </w:p>
        </w:tc>
        <w:tc>
          <w:tcPr>
            <w:tcW w:w="3280" w:type="dxa"/>
            <w:vAlign w:val="bottom"/>
            <w:gridSpan w:val="4"/>
            <w:shd w:val="clear" w:color="auto" w:fill="CFF0FC"/>
          </w:tcPr>
          <w:p>
            <w:pPr>
              <w:jc w:val="right"/>
              <w:ind w:right="990"/>
              <w:spacing w:after="0"/>
              <w:rPr>
                <w:sz w:val="20"/>
                <w:szCs w:val="20"/>
                <w:color w:val="auto"/>
              </w:rPr>
            </w:pPr>
            <w:r>
              <w:rPr>
                <w:rFonts w:ascii="Arial" w:cs="Arial" w:eastAsia="Arial" w:hAnsi="Arial"/>
                <w:sz w:val="18"/>
                <w:szCs w:val="18"/>
                <w:color w:val="auto"/>
              </w:rPr>
              <w:t>0%</w:t>
            </w:r>
          </w:p>
        </w:tc>
      </w:tr>
    </w:tbl>
    <w:p>
      <w:pPr>
        <w:spacing w:after="0" w:line="134" w:lineRule="exact"/>
        <w:rPr>
          <w:sz w:val="20"/>
          <w:szCs w:val="20"/>
          <w:color w:val="auto"/>
        </w:rPr>
      </w:pPr>
    </w:p>
    <w:p>
      <w:pPr>
        <w:ind w:right="100" w:firstLine="749"/>
        <w:spacing w:after="0" w:line="293" w:lineRule="auto"/>
        <w:rPr>
          <w:sz w:val="20"/>
          <w:szCs w:val="20"/>
          <w:color w:val="auto"/>
        </w:rPr>
      </w:pPr>
      <w:r>
        <w:rPr>
          <w:rFonts w:ascii="Arial" w:cs="Arial" w:eastAsia="Arial" w:hAnsi="Arial"/>
          <w:sz w:val="18"/>
          <w:szCs w:val="18"/>
          <w:color w:val="auto"/>
        </w:rPr>
        <w:t>The total unrecognized compensation expense related to outstanding unvested stock-based awards as of September 30, 2021, was $38.6 million, which is expected to be recognized over a weighted-average remaining service period of 2.64 years.</w:t>
      </w:r>
    </w:p>
    <w:p>
      <w:pPr>
        <w:spacing w:after="0" w:line="62" w:lineRule="exact"/>
        <w:rPr>
          <w:sz w:val="20"/>
          <w:szCs w:val="20"/>
          <w:color w:val="auto"/>
        </w:rPr>
      </w:pPr>
    </w:p>
    <w:p>
      <w:pPr>
        <w:ind w:firstLine="749"/>
        <w:spacing w:after="0" w:line="293" w:lineRule="auto"/>
        <w:rPr>
          <w:sz w:val="20"/>
          <w:szCs w:val="20"/>
          <w:color w:val="auto"/>
        </w:rPr>
      </w:pPr>
      <w:r>
        <w:rPr>
          <w:rFonts w:ascii="Arial" w:cs="Arial" w:eastAsia="Arial" w:hAnsi="Arial"/>
          <w:sz w:val="18"/>
          <w:szCs w:val="18"/>
          <w:color w:val="auto"/>
        </w:rPr>
        <w:t>The table below summarizes the total stock-based compensation expense included in the Company’s statements of operations and comprehensive loss for stock options for the periods presented (in thousands):</w:t>
      </w:r>
    </w:p>
    <w:p>
      <w:pPr>
        <w:spacing w:after="0" w:line="188" w:lineRule="exact"/>
        <w:rPr>
          <w:sz w:val="20"/>
          <w:szCs w:val="20"/>
          <w:color w:val="auto"/>
        </w:rPr>
      </w:pPr>
    </w:p>
    <w:tbl>
      <w:tblPr>
        <w:tblLayout w:type="fixed"/>
        <w:tblInd w:w="1140" w:type="dxa"/>
        <w:tblCellMar>
          <w:top w:w="0" w:type="dxa"/>
          <w:left w:w="0" w:type="dxa"/>
          <w:bottom w:w="0" w:type="dxa"/>
          <w:right w:w="0" w:type="dxa"/>
        </w:tblCellMar>
      </w:tblPr>
      <w:tr>
        <w:trPr>
          <w:trHeight w:val="176"/>
        </w:trPr>
        <w:tc>
          <w:tcPr>
            <w:tcW w:w="3520" w:type="dxa"/>
            <w:vAlign w:val="bottom"/>
          </w:tcPr>
          <w:p>
            <w:pPr>
              <w:spacing w:after="0"/>
              <w:rPr>
                <w:sz w:val="15"/>
                <w:szCs w:val="15"/>
                <w:color w:val="auto"/>
              </w:rPr>
            </w:pPr>
          </w:p>
        </w:tc>
        <w:tc>
          <w:tcPr>
            <w:tcW w:w="2680" w:type="dxa"/>
            <w:vAlign w:val="bottom"/>
            <w:gridSpan w:val="5"/>
          </w:tcPr>
          <w:p>
            <w:pPr>
              <w:jc w:val="right"/>
              <w:ind w:right="615"/>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00" w:type="dxa"/>
            <w:vAlign w:val="bottom"/>
            <w:gridSpan w:val="4"/>
          </w:tcPr>
          <w:p>
            <w:pPr>
              <w:jc w:val="right"/>
              <w:ind w:right="635"/>
              <w:spacing w:after="0"/>
              <w:rPr>
                <w:sz w:val="20"/>
                <w:szCs w:val="20"/>
                <w:color w:val="auto"/>
              </w:rPr>
            </w:pPr>
            <w:r>
              <w:rPr>
                <w:rFonts w:ascii="Arial" w:cs="Arial" w:eastAsia="Arial" w:hAnsi="Arial"/>
                <w:sz w:val="14"/>
                <w:szCs w:val="14"/>
                <w:b w:val="1"/>
                <w:bCs w:val="1"/>
                <w:color w:val="auto"/>
              </w:rPr>
              <w:t>Nine Months Ended</w:t>
            </w:r>
          </w:p>
        </w:tc>
      </w:tr>
      <w:tr>
        <w:trPr>
          <w:trHeight w:val="219"/>
        </w:trPr>
        <w:tc>
          <w:tcPr>
            <w:tcW w:w="352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98"/>
              </w:rPr>
              <w:t>September 30,</w:t>
            </w:r>
          </w:p>
        </w:tc>
        <w:tc>
          <w:tcPr>
            <w:tcW w:w="8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9"/>
                <w:szCs w:val="19"/>
                <w:color w:val="auto"/>
              </w:rPr>
            </w:pPr>
          </w:p>
        </w:tc>
      </w:tr>
      <w:tr>
        <w:trPr>
          <w:trHeight w:val="196"/>
        </w:trPr>
        <w:tc>
          <w:tcPr>
            <w:tcW w:w="352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r>
      <w:tr>
        <w:trPr>
          <w:trHeight w:val="256"/>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800" w:type="dxa"/>
            <w:vAlign w:val="bottom"/>
            <w:shd w:val="clear" w:color="auto" w:fill="CFF0FC"/>
          </w:tcPr>
          <w:p>
            <w:pPr>
              <w:jc w:val="right"/>
              <w:ind w:right="647"/>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1,250</w:t>
            </w: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w:t>
            </w:r>
          </w:p>
        </w:tc>
        <w:tc>
          <w:tcPr>
            <w:tcW w:w="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3,608</w:t>
            </w:r>
          </w:p>
        </w:tc>
        <w:tc>
          <w:tcPr>
            <w:tcW w:w="5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1,406</w:t>
            </w:r>
          </w:p>
        </w:tc>
      </w:tr>
      <w:tr>
        <w:trPr>
          <w:trHeight w:val="250"/>
        </w:trPr>
        <w:tc>
          <w:tcPr>
            <w:tcW w:w="35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8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2,147</w:t>
            </w:r>
          </w:p>
        </w:tc>
        <w:tc>
          <w:tcPr>
            <w:tcW w:w="3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w:t>
            </w:r>
          </w:p>
        </w:tc>
        <w:tc>
          <w:tcPr>
            <w:tcW w:w="2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5,746</w:t>
            </w:r>
          </w:p>
        </w:tc>
        <w:tc>
          <w:tcPr>
            <w:tcW w:w="2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2,183</w:t>
            </w:r>
          </w:p>
        </w:tc>
      </w:tr>
      <w:tr>
        <w:trPr>
          <w:trHeight w:val="270"/>
        </w:trPr>
        <w:tc>
          <w:tcPr>
            <w:tcW w:w="3520" w:type="dxa"/>
            <w:vAlign w:val="bottom"/>
            <w:shd w:val="clear" w:color="auto" w:fill="CFF0FC"/>
          </w:tcPr>
          <w:p>
            <w:pPr>
              <w:ind w:left="180"/>
              <w:spacing w:after="0"/>
              <w:rPr>
                <w:sz w:val="20"/>
                <w:szCs w:val="20"/>
                <w:color w:val="auto"/>
              </w:rPr>
            </w:pPr>
            <w:r>
              <w:rPr>
                <w:rFonts w:ascii="Arial" w:cs="Arial" w:eastAsia="Arial" w:hAnsi="Arial"/>
                <w:sz w:val="18"/>
                <w:szCs w:val="18"/>
                <w:color w:val="auto"/>
                <w:w w:val="99"/>
              </w:rPr>
              <w:t>Total stock-based compensation expense</w:t>
            </w:r>
          </w:p>
        </w:tc>
        <w:tc>
          <w:tcPr>
            <w:tcW w:w="800" w:type="dxa"/>
            <w:vAlign w:val="bottom"/>
            <w:shd w:val="clear" w:color="auto" w:fill="CFF0FC"/>
          </w:tcPr>
          <w:p>
            <w:pPr>
              <w:jc w:val="right"/>
              <w:ind w:right="647"/>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3,397</w:t>
            </w: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1,681</w:t>
            </w:r>
          </w:p>
        </w:tc>
        <w:tc>
          <w:tcPr>
            <w:tcW w:w="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9,354</w:t>
            </w:r>
          </w:p>
        </w:tc>
        <w:tc>
          <w:tcPr>
            <w:tcW w:w="5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3,589</w:t>
            </w:r>
          </w:p>
        </w:tc>
      </w:tr>
      <w:tr>
        <w:trPr>
          <w:trHeight w:val="20"/>
        </w:trPr>
        <w:tc>
          <w:tcPr>
            <w:tcW w:w="35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right w:val="single" w:sz="8" w:color="CFF0FC"/>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-25400</wp:posOffset>
            </wp:positionV>
            <wp:extent cx="18859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-8255</wp:posOffset>
            </wp:positionV>
            <wp:extent cx="18859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-25400</wp:posOffset>
            </wp:positionV>
            <wp:extent cx="12890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-8255</wp:posOffset>
            </wp:positionV>
            <wp:extent cx="12890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-25400</wp:posOffset>
            </wp:positionV>
            <wp:extent cx="12001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-8255</wp:posOffset>
            </wp:positionV>
            <wp:extent cx="12001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-25400</wp:posOffset>
            </wp:positionV>
            <wp:extent cx="431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-8255</wp:posOffset>
            </wp:positionV>
            <wp:extent cx="431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5" w:lineRule="exact"/>
        <w:rPr>
          <w:sz w:val="20"/>
          <w:szCs w:val="20"/>
          <w:color w:val="auto"/>
        </w:rPr>
      </w:pPr>
    </w:p>
    <w:p>
      <w:pPr>
        <w:ind w:left="760" w:right="8480" w:hanging="752"/>
        <w:spacing w:after="0" w:line="442" w:lineRule="auto"/>
        <w:tabs>
          <w:tab w:leader="none" w:pos="191"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 xml:space="preserve">Commitments and Contingencies </w:t>
      </w:r>
      <w:r>
        <w:rPr>
          <w:rFonts w:ascii="Arial" w:cs="Arial" w:eastAsia="Arial" w:hAnsi="Arial"/>
          <w:sz w:val="16"/>
          <w:szCs w:val="16"/>
          <w:b w:val="1"/>
          <w:bCs w:val="1"/>
          <w:i w:val="1"/>
          <w:iCs w:val="1"/>
          <w:color w:val="auto"/>
        </w:rPr>
        <w:t>Operating Leases</w:t>
      </w:r>
    </w:p>
    <w:p>
      <w:pPr>
        <w:spacing w:after="0" w:line="1" w:lineRule="exact"/>
        <w:rPr>
          <w:sz w:val="20"/>
          <w:szCs w:val="20"/>
          <w:color w:val="auto"/>
        </w:rPr>
      </w:pPr>
    </w:p>
    <w:p>
      <w:pPr>
        <w:ind w:right="60" w:firstLine="749"/>
        <w:spacing w:after="0" w:line="288" w:lineRule="auto"/>
        <w:rPr>
          <w:sz w:val="20"/>
          <w:szCs w:val="20"/>
          <w:color w:val="auto"/>
        </w:rPr>
      </w:pPr>
      <w:r>
        <w:rPr>
          <w:rFonts w:ascii="Arial" w:cs="Arial" w:eastAsia="Arial" w:hAnsi="Arial"/>
          <w:sz w:val="17"/>
          <w:szCs w:val="17"/>
          <w:color w:val="auto"/>
        </w:rPr>
        <w:t>The Company has operating leases for office and lab space in South San Francisco, California and office space in San Diego, California. In August 2021, the Company entered into a lease amendment for the South San Francisco facility that extended the lease term until May 2028. The lease amendment includes the option to extend the lease for one additional year. In October 2021, the Company entered into a lease amendment for the current San Diego facility that extended the lease expiration from December 2021 to February 2022. Additionally, in September 2021, the Company entered into a lease agreement for a new San Diego facility with a term of 36 months that is expected to commence in February 2022. The leases may require the Company to pay property taxes, insurance and common area maintenance. These payments are recognized as variable lease costs in the period they are incurred and are not included within lease liabilities.</w:t>
      </w:r>
    </w:p>
    <w:p>
      <w:pPr>
        <w:spacing w:after="0" w:line="73" w:lineRule="exact"/>
        <w:rPr>
          <w:sz w:val="20"/>
          <w:szCs w:val="20"/>
          <w:color w:val="auto"/>
        </w:rPr>
      </w:pPr>
    </w:p>
    <w:p>
      <w:pPr>
        <w:ind w:right="240" w:firstLine="749"/>
        <w:spacing w:after="0" w:line="275" w:lineRule="auto"/>
        <w:rPr>
          <w:sz w:val="20"/>
          <w:szCs w:val="20"/>
          <w:color w:val="auto"/>
        </w:rPr>
      </w:pPr>
      <w:r>
        <w:rPr>
          <w:rFonts w:ascii="Arial" w:cs="Arial" w:eastAsia="Arial" w:hAnsi="Arial"/>
          <w:sz w:val="18"/>
          <w:szCs w:val="18"/>
          <w:color w:val="auto"/>
        </w:rPr>
        <w:t>As a result of the lease amendment for the South San Francisco facility, the Company's operating lease right-of-use assets and lease liabilities increased during the quarterly period. The right-of-use assets were $12.0 million as of September 30, 2021 and are recorded in the balance sheet in other assets. Lease liabilities are recorded in accrued liabilities and other long-term liabilities in the balance sheet and as of September 30, 2021 were $1.8 million and $10.7 million, respectively.</w:t>
      </w:r>
    </w:p>
    <w:p>
      <w:pPr>
        <w:spacing w:after="0" w:line="77" w:lineRule="exact"/>
        <w:rPr>
          <w:sz w:val="20"/>
          <w:szCs w:val="20"/>
          <w:color w:val="auto"/>
        </w:rPr>
      </w:pPr>
    </w:p>
    <w:p>
      <w:pPr>
        <w:ind w:right="20" w:firstLine="749"/>
        <w:spacing w:after="0" w:line="279" w:lineRule="auto"/>
        <w:rPr>
          <w:sz w:val="20"/>
          <w:szCs w:val="20"/>
          <w:color w:val="auto"/>
        </w:rPr>
      </w:pPr>
      <w:r>
        <w:rPr>
          <w:rFonts w:ascii="Arial" w:cs="Arial" w:eastAsia="Arial" w:hAnsi="Arial"/>
          <w:sz w:val="18"/>
          <w:szCs w:val="18"/>
          <w:color w:val="auto"/>
        </w:rPr>
        <w:t>Operating lease costs for the three and nine months ended September 30, 2021 were approximately $0.5 million and $1.2 million, respectively. Cash paid for our operating leases for the nine months ended September 30, 2021 was $1.5 million. The weighted average discount rate used was 8.2% and the weighted-average remaining lease term for all operating leases was 6.61 years.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22" w:right="359" w:bottom="1440" w:gutter="0" w:footer="0" w:header="0"/>
        </w:sectPr>
      </w:pPr>
    </w:p>
    <w:bookmarkStart w:id="15" w:name="page16"/>
    <w:bookmarkEnd w:id="15"/>
    <w:p>
      <w:pPr>
        <w:ind w:left="760"/>
        <w:spacing w:after="0"/>
        <w:rPr>
          <w:sz w:val="20"/>
          <w:szCs w:val="20"/>
          <w:color w:val="auto"/>
        </w:rPr>
      </w:pPr>
      <w:r>
        <w:rPr>
          <w:rFonts w:ascii="Arial" w:cs="Arial" w:eastAsia="Arial" w:hAnsi="Arial"/>
          <w:sz w:val="18"/>
          <w:szCs w:val="18"/>
          <w:color w:val="auto"/>
        </w:rPr>
        <w:t>Future lease payments of operating lease liabilities as of September 30, 2021 were as follows (in thousands):</w:t>
      </w: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7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8"/>
              </w:rPr>
              <w:t>Operating Leases</w:t>
            </w:r>
          </w:p>
        </w:tc>
        <w:tc>
          <w:tcPr>
            <w:tcW w:w="80" w:type="dxa"/>
            <w:vAlign w:val="bottom"/>
          </w:tcPr>
          <w:p>
            <w:pPr>
              <w:spacing w:after="0"/>
              <w:rPr>
                <w:sz w:val="16"/>
                <w:szCs w:val="16"/>
                <w:color w:val="auto"/>
              </w:rPr>
            </w:pPr>
          </w:p>
        </w:tc>
      </w:tr>
      <w:tr>
        <w:trPr>
          <w:trHeight w:val="256"/>
        </w:trPr>
        <w:tc>
          <w:tcPr>
            <w:tcW w:w="7220" w:type="dxa"/>
            <w:vAlign w:val="bottom"/>
            <w:shd w:val="clear" w:color="auto" w:fill="CFF0FC"/>
          </w:tcPr>
          <w:p>
            <w:pPr>
              <w:spacing w:after="0"/>
              <w:rPr>
                <w:sz w:val="20"/>
                <w:szCs w:val="20"/>
                <w:color w:val="auto"/>
              </w:rPr>
            </w:pPr>
            <w:r>
              <w:rPr>
                <w:rFonts w:ascii="Arial" w:cs="Arial" w:eastAsia="Arial" w:hAnsi="Arial"/>
                <w:sz w:val="18"/>
                <w:szCs w:val="18"/>
                <w:color w:val="auto"/>
              </w:rPr>
              <w:t>2021 remaining 3 months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80" w:type="dxa"/>
            <w:vAlign w:val="bottom"/>
            <w:shd w:val="clear" w:color="auto" w:fill="CFF0FC"/>
          </w:tcPr>
          <w:p>
            <w:pPr>
              <w:spacing w:after="0"/>
              <w:rPr>
                <w:sz w:val="22"/>
                <w:szCs w:val="22"/>
                <w:color w:val="auto"/>
              </w:rPr>
            </w:pPr>
          </w:p>
        </w:tc>
      </w:tr>
      <w:tr>
        <w:trPr>
          <w:trHeight w:val="250"/>
        </w:trPr>
        <w:tc>
          <w:tcPr>
            <w:tcW w:w="7220" w:type="dxa"/>
            <w:vAlign w:val="bottom"/>
          </w:tcPr>
          <w:p>
            <w:pPr>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1,956</w:t>
            </w:r>
          </w:p>
        </w:tc>
        <w:tc>
          <w:tcPr>
            <w:tcW w:w="80" w:type="dxa"/>
            <w:vAlign w:val="bottom"/>
          </w:tcPr>
          <w:p>
            <w:pPr>
              <w:spacing w:after="0"/>
              <w:rPr>
                <w:sz w:val="21"/>
                <w:szCs w:val="21"/>
                <w:color w:val="auto"/>
              </w:rPr>
            </w:pPr>
          </w:p>
        </w:tc>
      </w:tr>
      <w:tr>
        <w:trPr>
          <w:trHeight w:val="263"/>
        </w:trPr>
        <w:tc>
          <w:tcPr>
            <w:tcW w:w="722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FF0FC"/>
          </w:tcPr>
          <w:p>
            <w:pPr>
              <w:spacing w:after="0"/>
              <w:rPr>
                <w:sz w:val="22"/>
                <w:szCs w:val="22"/>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2,390</w:t>
            </w:r>
          </w:p>
        </w:tc>
        <w:tc>
          <w:tcPr>
            <w:tcW w:w="80" w:type="dxa"/>
            <w:vAlign w:val="bottom"/>
            <w:shd w:val="clear" w:color="auto" w:fill="CFF0FC"/>
          </w:tcPr>
          <w:p>
            <w:pPr>
              <w:spacing w:after="0"/>
              <w:rPr>
                <w:sz w:val="22"/>
                <w:szCs w:val="22"/>
                <w:color w:val="auto"/>
              </w:rPr>
            </w:pPr>
          </w:p>
        </w:tc>
      </w:tr>
      <w:tr>
        <w:trPr>
          <w:trHeight w:val="250"/>
        </w:trPr>
        <w:tc>
          <w:tcPr>
            <w:tcW w:w="7220" w:type="dxa"/>
            <w:vAlign w:val="bottom"/>
          </w:tcPr>
          <w:p>
            <w:pPr>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2,474</w:t>
            </w:r>
          </w:p>
        </w:tc>
        <w:tc>
          <w:tcPr>
            <w:tcW w:w="80" w:type="dxa"/>
            <w:vAlign w:val="bottom"/>
          </w:tcPr>
          <w:p>
            <w:pPr>
              <w:spacing w:after="0"/>
              <w:rPr>
                <w:sz w:val="21"/>
                <w:szCs w:val="21"/>
                <w:color w:val="auto"/>
              </w:rPr>
            </w:pPr>
          </w:p>
        </w:tc>
      </w:tr>
      <w:tr>
        <w:trPr>
          <w:trHeight w:val="263"/>
        </w:trPr>
        <w:tc>
          <w:tcPr>
            <w:tcW w:w="722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FF0FC"/>
          </w:tcPr>
          <w:p>
            <w:pPr>
              <w:spacing w:after="0"/>
              <w:rPr>
                <w:sz w:val="22"/>
                <w:szCs w:val="22"/>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2,561</w:t>
            </w:r>
          </w:p>
        </w:tc>
        <w:tc>
          <w:tcPr>
            <w:tcW w:w="80" w:type="dxa"/>
            <w:vAlign w:val="bottom"/>
            <w:shd w:val="clear" w:color="auto" w:fill="CFF0FC"/>
          </w:tcPr>
          <w:p>
            <w:pPr>
              <w:spacing w:after="0"/>
              <w:rPr>
                <w:sz w:val="22"/>
                <w:szCs w:val="22"/>
                <w:color w:val="auto"/>
              </w:rPr>
            </w:pPr>
          </w:p>
        </w:tc>
      </w:tr>
      <w:tr>
        <w:trPr>
          <w:trHeight w:val="257"/>
        </w:trPr>
        <w:tc>
          <w:tcPr>
            <w:tcW w:w="7220" w:type="dxa"/>
            <w:vAlign w:val="bottom"/>
          </w:tcPr>
          <w:p>
            <w:pPr>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6,432</w:t>
            </w:r>
          </w:p>
        </w:tc>
        <w:tc>
          <w:tcPr>
            <w:tcW w:w="80" w:type="dxa"/>
            <w:vAlign w:val="bottom"/>
          </w:tcPr>
          <w:p>
            <w:pPr>
              <w:spacing w:after="0"/>
              <w:rPr>
                <w:sz w:val="22"/>
                <w:szCs w:val="22"/>
                <w:color w:val="auto"/>
              </w:rPr>
            </w:pPr>
          </w:p>
        </w:tc>
      </w:tr>
      <w:tr>
        <w:trPr>
          <w:trHeight w:val="250"/>
        </w:trPr>
        <w:tc>
          <w:tcPr>
            <w:tcW w:w="72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Total minimum lease payments</w:t>
            </w:r>
          </w:p>
        </w:tc>
        <w:tc>
          <w:tcPr>
            <w:tcW w:w="2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16,305</w:t>
            </w:r>
          </w:p>
        </w:tc>
        <w:tc>
          <w:tcPr>
            <w:tcW w:w="80" w:type="dxa"/>
            <w:vAlign w:val="bottom"/>
            <w:shd w:val="clear" w:color="auto" w:fill="CFF0FC"/>
          </w:tcPr>
          <w:p>
            <w:pPr>
              <w:spacing w:after="0"/>
              <w:rPr>
                <w:sz w:val="21"/>
                <w:szCs w:val="21"/>
                <w:color w:val="auto"/>
              </w:rPr>
            </w:pPr>
          </w:p>
        </w:tc>
      </w:tr>
      <w:tr>
        <w:trPr>
          <w:trHeight w:val="257"/>
        </w:trPr>
        <w:tc>
          <w:tcPr>
            <w:tcW w:w="7220" w:type="dxa"/>
            <w:vAlign w:val="bottom"/>
          </w:tcPr>
          <w:p>
            <w:pPr>
              <w:spacing w:after="0"/>
              <w:rPr>
                <w:sz w:val="20"/>
                <w:szCs w:val="20"/>
                <w:color w:val="auto"/>
              </w:rPr>
            </w:pPr>
            <w:r>
              <w:rPr>
                <w:rFonts w:ascii="Arial" w:cs="Arial" w:eastAsia="Arial" w:hAnsi="Arial"/>
                <w:sz w:val="18"/>
                <w:szCs w:val="18"/>
                <w:color w:val="auto"/>
              </w:rPr>
              <w:t>Less: interest</w:t>
            </w:r>
          </w:p>
        </w:tc>
        <w:tc>
          <w:tcPr>
            <w:tcW w:w="2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3,766</w:t>
            </w:r>
          </w:p>
        </w:tc>
        <w:tc>
          <w:tcPr>
            <w:tcW w:w="80" w:type="dxa"/>
            <w:vAlign w:val="bottom"/>
          </w:tcPr>
          <w:p>
            <w:pPr>
              <w:spacing w:after="0"/>
              <w:rPr>
                <w:sz w:val="22"/>
                <w:szCs w:val="22"/>
                <w:color w:val="auto"/>
              </w:rPr>
            </w:pPr>
          </w:p>
        </w:tc>
      </w:tr>
      <w:tr>
        <w:trPr>
          <w:trHeight w:val="290"/>
        </w:trPr>
        <w:tc>
          <w:tcPr>
            <w:tcW w:w="7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Present value of lease liabilities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12,539</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4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Future minimum lease payments under non-cancelable operating leases as of December 31, 2020 were as follows (in thousands):</w:t>
      </w:r>
    </w:p>
    <w:p>
      <w:pPr>
        <w:spacing w:after="0" w:line="200" w:lineRule="exact"/>
        <w:rPr>
          <w:sz w:val="20"/>
          <w:szCs w:val="20"/>
          <w:color w:val="auto"/>
        </w:rPr>
      </w:pPr>
    </w:p>
    <w:p>
      <w:pPr>
        <w:spacing w:after="0" w:line="363"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7220" w:type="dxa"/>
            <w:vAlign w:val="bottom"/>
          </w:tcPr>
          <w:p>
            <w:pPr>
              <w:spacing w:after="0"/>
              <w:rPr>
                <w:sz w:val="20"/>
                <w:szCs w:val="20"/>
                <w:color w:val="auto"/>
              </w:rPr>
            </w:pPr>
            <w:r>
              <w:rPr>
                <w:rFonts w:ascii="Arial" w:cs="Arial" w:eastAsia="Arial" w:hAnsi="Arial"/>
                <w:sz w:val="18"/>
                <w:szCs w:val="18"/>
                <w:color w:val="auto"/>
              </w:rPr>
              <w:t>Year ending December 31,</w:t>
            </w: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w w:val="98"/>
              </w:rPr>
              <w:t>Operating Leases</w:t>
            </w:r>
          </w:p>
        </w:tc>
        <w:tc>
          <w:tcPr>
            <w:tcW w:w="80" w:type="dxa"/>
            <w:vAlign w:val="bottom"/>
          </w:tcPr>
          <w:p>
            <w:pPr>
              <w:spacing w:after="0"/>
              <w:rPr>
                <w:sz w:val="20"/>
                <w:szCs w:val="20"/>
                <w:color w:val="auto"/>
              </w:rPr>
            </w:pPr>
          </w:p>
        </w:tc>
      </w:tr>
      <w:tr>
        <w:trPr>
          <w:trHeight w:val="250"/>
        </w:trPr>
        <w:tc>
          <w:tcPr>
            <w:tcW w:w="722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1,942</w:t>
            </w:r>
          </w:p>
        </w:tc>
        <w:tc>
          <w:tcPr>
            <w:tcW w:w="80" w:type="dxa"/>
            <w:vAlign w:val="bottom"/>
            <w:shd w:val="clear" w:color="auto" w:fill="CFF0FC"/>
          </w:tcPr>
          <w:p>
            <w:pPr>
              <w:spacing w:after="0"/>
              <w:rPr>
                <w:sz w:val="21"/>
                <w:szCs w:val="21"/>
                <w:color w:val="auto"/>
              </w:rPr>
            </w:pPr>
          </w:p>
        </w:tc>
      </w:tr>
      <w:tr>
        <w:trPr>
          <w:trHeight w:val="257"/>
        </w:trPr>
        <w:tc>
          <w:tcPr>
            <w:tcW w:w="7220" w:type="dxa"/>
            <w:vAlign w:val="bottom"/>
          </w:tcPr>
          <w:p>
            <w:pPr>
              <w:spacing w:after="0"/>
              <w:rPr>
                <w:sz w:val="20"/>
                <w:szCs w:val="20"/>
                <w:color w:val="auto"/>
              </w:rPr>
            </w:pPr>
            <w:r>
              <w:rPr>
                <w:rFonts w:ascii="Arial" w:cs="Arial" w:eastAsia="Arial" w:hAnsi="Arial"/>
                <w:sz w:val="18"/>
                <w:szCs w:val="18"/>
                <w:color w:val="auto"/>
              </w:rPr>
              <w:t>2022</w:t>
            </w:r>
          </w:p>
        </w:tc>
        <w:tc>
          <w:tcPr>
            <w:tcW w:w="2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w:t>
            </w:r>
          </w:p>
        </w:tc>
        <w:tc>
          <w:tcPr>
            <w:tcW w:w="80" w:type="dxa"/>
            <w:vAlign w:val="bottom"/>
          </w:tcPr>
          <w:p>
            <w:pPr>
              <w:spacing w:after="0"/>
              <w:rPr>
                <w:sz w:val="22"/>
                <w:szCs w:val="22"/>
                <w:color w:val="auto"/>
              </w:rPr>
            </w:pPr>
          </w:p>
        </w:tc>
      </w:tr>
      <w:tr>
        <w:trPr>
          <w:trHeight w:val="290"/>
        </w:trPr>
        <w:tc>
          <w:tcPr>
            <w:tcW w:w="7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minimum lease payments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2,628</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49"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Litigation</w:t>
      </w:r>
    </w:p>
    <w:p>
      <w:pPr>
        <w:spacing w:after="0" w:line="131"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8"/>
          <w:szCs w:val="18"/>
          <w:color w:val="auto"/>
        </w:rPr>
        <w:t>From time to time, the Company may be involved in legal proceedings arising in the ordinary course of business. The Company believes there is no threatened litigation or litigation pending that could have, individually or in the aggregate, a material adverse effect on the Company’s financial position, results of operations or cash flows.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2" w:lineRule="exact"/>
        <w:rPr>
          <w:sz w:val="20"/>
          <w:szCs w:val="20"/>
          <w:color w:val="auto"/>
        </w:rPr>
      </w:pPr>
    </w:p>
    <w:p>
      <w:pPr>
        <w:ind w:firstLine="749"/>
        <w:spacing w:after="0" w:line="287"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unaudited financial statements and related notes included elsewhere in this quarterly report on Form 10-Q and our audited financial statements and notes thereto as of and for the year ended December 31, 2020 and the related Management’s Discussion and Analysis of Financial Condition and Results of Operations, both of which are contained in our Annual Report on Form 10-K for the fiscal year ended December 31, 2020, filed with the Securities and Exchange Commission on March 23, 2021. This discussion contains forward-looking statements that involve risks and uncertainties, including those described in the section titled “Special Note Regarding Forward Looking Statements.” Our actual results and the timing of selected events could differ materially from those discussed below. Factors that could cause or contribute to such differences include, but are not limited to, those identified below and those set forth under the section titled “Risk factors” included elsewhere in this report.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Overview</w:t>
      </w:r>
    </w:p>
    <w:p>
      <w:pPr>
        <w:spacing w:after="0" w:line="135" w:lineRule="exact"/>
        <w:rPr>
          <w:sz w:val="20"/>
          <w:szCs w:val="20"/>
          <w:color w:val="auto"/>
        </w:rPr>
      </w:pPr>
    </w:p>
    <w:p>
      <w:pPr>
        <w:ind w:left="760"/>
        <w:spacing w:after="0"/>
        <w:rPr>
          <w:sz w:val="20"/>
          <w:szCs w:val="20"/>
          <w:color w:val="auto"/>
        </w:rPr>
      </w:pPr>
      <w:r>
        <w:rPr>
          <w:rFonts w:ascii="Arial" w:cs="Arial" w:eastAsia="Arial" w:hAnsi="Arial"/>
          <w:sz w:val="17"/>
          <w:szCs w:val="17"/>
          <w:color w:val="auto"/>
        </w:rPr>
        <w:t xml:space="preserve">ORIC Pharmaceuticals is a clinical-stage biopharmaceutical company dedicated to improving patients’ lives by </w:t>
      </w:r>
      <w:r>
        <w:rPr>
          <w:rFonts w:ascii="Arial" w:cs="Arial" w:eastAsia="Arial" w:hAnsi="Arial"/>
          <w:sz w:val="17"/>
          <w:szCs w:val="17"/>
          <w:i w:val="1"/>
          <w:iCs w:val="1"/>
          <w:u w:val="single" w:color="auto"/>
          <w:color w:val="auto"/>
        </w:rPr>
        <w:t>O</w:t>
      </w:r>
      <w:r>
        <w:rPr>
          <w:rFonts w:ascii="Arial" w:cs="Arial" w:eastAsia="Arial" w:hAnsi="Arial"/>
          <w:sz w:val="17"/>
          <w:szCs w:val="17"/>
          <w:i w:val="1"/>
          <w:iCs w:val="1"/>
          <w:color w:val="auto"/>
        </w:rPr>
        <w:t>vercoming</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R</w:t>
      </w:r>
      <w:r>
        <w:rPr>
          <w:rFonts w:ascii="Arial" w:cs="Arial" w:eastAsia="Arial" w:hAnsi="Arial"/>
          <w:sz w:val="17"/>
          <w:szCs w:val="17"/>
          <w:i w:val="1"/>
          <w:iCs w:val="1"/>
          <w:color w:val="auto"/>
        </w:rPr>
        <w:t>esistance</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I</w:t>
      </w:r>
      <w:r>
        <w:rPr>
          <w:rFonts w:ascii="Arial" w:cs="Arial" w:eastAsia="Arial" w:hAnsi="Arial"/>
          <w:sz w:val="17"/>
          <w:szCs w:val="17"/>
          <w:i w:val="1"/>
          <w:iCs w:val="1"/>
          <w:color w:val="auto"/>
        </w:rPr>
        <w:t>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w:t>
      </w:r>
      <w:r>
        <w:rPr>
          <w:rFonts w:ascii="Arial" w:cs="Arial" w:eastAsia="Arial" w:hAnsi="Arial"/>
          <w:sz w:val="18"/>
          <w:szCs w:val="18"/>
          <w:i w:val="1"/>
          <w:iCs w:val="1"/>
          <w:color w:val="auto"/>
        </w:rPr>
        <w:t>ancer.</w:t>
      </w:r>
    </w:p>
    <w:p>
      <w:pPr>
        <w:spacing w:after="0" w:line="130" w:lineRule="exact"/>
        <w:rPr>
          <w:sz w:val="20"/>
          <w:szCs w:val="20"/>
          <w:color w:val="auto"/>
        </w:rPr>
      </w:pPr>
    </w:p>
    <w:p>
      <w:pPr>
        <w:ind w:firstLine="749"/>
        <w:spacing w:after="0" w:line="283" w:lineRule="auto"/>
        <w:rPr>
          <w:sz w:val="20"/>
          <w:szCs w:val="20"/>
          <w:color w:val="auto"/>
        </w:rPr>
      </w:pPr>
      <w:r>
        <w:rPr>
          <w:rFonts w:ascii="Arial" w:cs="Arial" w:eastAsia="Arial" w:hAnsi="Arial"/>
          <w:sz w:val="17"/>
          <w:szCs w:val="17"/>
          <w:color w:val="auto"/>
        </w:rPr>
        <w:t>Our fully integrated discovery and development team is advancing a diverse pipeline of innovative therapies designed to counter resistance mechanisms in cancer by leveraging our expertise within three specific areas: hormone-dependent cancers, precision oncology and key tumor dependencies. Our lead product candidate, ORIC-101, builds upon a legacy of successful drug development by our founders in the field of nuclear hormone receptors and their efforts to elucidate the cause of resistance to the groundbreaking prostate cancer therapies that they had developed. ORIC-101 is a potent and selective small molecule antagonist of the glucocorticoid receptor (GR), which has been linked to resistance to multiple classes of cancer therapeutics across a variety of solid tumors. In 2019, we initiated two separate Phase 1b trials of ORIC-101 in combination with (1) Xtandi (enzalutamide) in metastatic prostate cancer and (2) Abraxane (nab-paclitaxel) in advanced or metastatic solid tumors. In December 2020, we selected the recommended Phase 2 dose (RP2D) and initiated the dose expansion portion of the Phase 1b trial of ORIC-101 in combination with nab-paclitaxel. In June 2021, we reported initial data from our ongoing Phase 1b study evaluating ORIC-101 in combination with nab-paclitaxel in advanced solid tumors. In January 2021, we selected the RP2D and initiated the dose expansion portion of the Phase 1b trial of ORIC-101 in combination with enzalutamide. In October 2021, we reported initial results from our ongoing Phase 1b study evaluating ORIC-101 in combination with enzalutamide in patients with metastatic prostate cancer. Our other product candidates include (1) ORIC-533, an orally bioavailable small molecule inhibitor of CD73, a key node in the adenosine pathway believed to play a central role in resistance to chemotherapy- and immunotherapy-based treatment regimens, (2) ORIC-944, an allosteric inhibitor of the polycomb repressive complex 2 (PRC2) via the embryonic ectoderm development (EED) subunit, for which we licensed development and commercialization rights from Mirati Therapeutics, Inc. (Mirati) in August 2020 (Mirati License Agreement) and (3) ORIC-114, a brain penetrant, orally bioavailable, irreversible inhibitor designed to selectively target epidermal growth factor receptor (EGFR) and human epidermal growth factor receptor 2 (HER2) with high potency towards exon 20 insertion mutations, for which we licensed development and commercialization rights from Voronoi Inc. (Voronoi) in October 2020 (Voronoi License Agreement). In June 2021, the U.S. Food and Drug Administration (FDA) cleared the Investigational New Drug Application (IND) for ORIC-533 and we plan to pursue a single agent clinical development plan in multiple myeloma. We expect to enroll the first patient in this trial during the fourth quarter of 2021. In November 2021, we filed a Clinical Trial Application (CTA) for ORIC-114. We also expect to file an IND for ORIC-944 in the fourth quarter of 2021. Beyond these product candidates, we are developing multiple precision medicines targeting other hallmark cancer resistance mechanisms.</w:t>
      </w:r>
    </w:p>
    <w:p>
      <w:pPr>
        <w:spacing w:after="0" w:line="86" w:lineRule="exact"/>
        <w:rPr>
          <w:sz w:val="20"/>
          <w:szCs w:val="20"/>
          <w:color w:val="auto"/>
        </w:rPr>
      </w:pPr>
    </w:p>
    <w:p>
      <w:pPr>
        <w:ind w:right="140" w:firstLine="749"/>
        <w:spacing w:after="0" w:line="329" w:lineRule="auto"/>
        <w:rPr>
          <w:sz w:val="20"/>
          <w:szCs w:val="20"/>
          <w:color w:val="auto"/>
        </w:rPr>
      </w:pPr>
      <w:r>
        <w:rPr>
          <w:rFonts w:ascii="Arial" w:cs="Arial" w:eastAsia="Arial" w:hAnsi="Arial"/>
          <w:sz w:val="16"/>
          <w:szCs w:val="16"/>
          <w:color w:val="auto"/>
        </w:rPr>
        <w:t>Since our inception in 2014, we have devoted substantially all of our resources to research and development activities, including with respect to our GR antagonist and CD73 inhibitor programs and other preclinical programs, in-licensing of external programs, business planning, establishing and maintaining our intellectual property portfolio, hiring personnel, raising capital and providing general and administrative support for these operations.</w:t>
      </w:r>
    </w:p>
    <w:p>
      <w:pPr>
        <w:spacing w:after="0" w:line="40" w:lineRule="exact"/>
        <w:rPr>
          <w:sz w:val="20"/>
          <w:szCs w:val="20"/>
          <w:color w:val="auto"/>
        </w:rPr>
      </w:pPr>
    </w:p>
    <w:p>
      <w:pPr>
        <w:ind w:right="60" w:firstLine="749"/>
        <w:spacing w:after="0" w:line="309" w:lineRule="auto"/>
        <w:rPr>
          <w:sz w:val="20"/>
          <w:szCs w:val="20"/>
          <w:color w:val="auto"/>
        </w:rPr>
      </w:pPr>
      <w:r>
        <w:rPr>
          <w:rFonts w:ascii="Arial" w:cs="Arial" w:eastAsia="Arial" w:hAnsi="Arial"/>
          <w:sz w:val="16"/>
          <w:szCs w:val="16"/>
          <w:color w:val="auto"/>
        </w:rPr>
        <w:t>We have incurred significant losses since the commencement of our operations. Our net loss for the nine months ended September 30, 2021 was $55.9 million and we had an accumulated deficit of $222.3 million as of September 30, 2021. Our losses and accumulated deficit have resulted primarily from costs incurred in connection with research and development activities including in-licensing and to a lesser extent from general and administrative costs associated with our operations. We expect to incur significant losses for the foreseeable future, and we anticipate these losses will increase significantly as we continue our development of ORIC-101, ORIC-533, ORIC-944, ORIC-114 and any future product candidates from discovery through preclinical development and into clinical trials as we seek regulatory approval for these product candidates. Our net losses may fluctuate significantly from period to period, depending on the timing of and expenditures on our planned research and development activities.</w:t>
      </w:r>
    </w:p>
    <w:p>
      <w:pPr>
        <w:spacing w:after="0" w:line="56" w:lineRule="exact"/>
        <w:rPr>
          <w:sz w:val="20"/>
          <w:szCs w:val="20"/>
          <w:color w:val="auto"/>
        </w:rPr>
      </w:pPr>
    </w:p>
    <w:p>
      <w:pPr>
        <w:ind w:right="180" w:firstLine="749"/>
        <w:spacing w:after="0" w:line="272" w:lineRule="auto"/>
        <w:rPr>
          <w:sz w:val="20"/>
          <w:szCs w:val="20"/>
          <w:color w:val="auto"/>
        </w:rPr>
      </w:pPr>
      <w:r>
        <w:rPr>
          <w:rFonts w:ascii="Arial" w:cs="Arial" w:eastAsia="Arial" w:hAnsi="Arial"/>
          <w:sz w:val="18"/>
          <w:szCs w:val="18"/>
          <w:color w:val="auto"/>
        </w:rPr>
        <w:t>In March 2020, the World Health Organization declared the novel coronavirus disease, or COVID-19, outbreak a global pandemic. To limit the spread of COVID-19, governments have taken various actions including the issuance of stay-at-home orders and physical distancing guidelines. Accordingly, businesses have adjusted, reduced or suspended operating activities. A portion of our workforce continues to work from home. Disruptions caused by the COVID-19 pandemic, including the effects of the stay-at-home orders and work-from-home policies, have impacted productivity, have resulted in increased operational expenses, certain adjustments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7" w:name="page18"/>
    <w:bookmarkEnd w:id="17"/>
    <w:p>
      <w:pPr>
        <w:ind w:right="100"/>
        <w:spacing w:after="0" w:line="314" w:lineRule="auto"/>
        <w:rPr>
          <w:sz w:val="20"/>
          <w:szCs w:val="20"/>
          <w:color w:val="auto"/>
        </w:rPr>
      </w:pPr>
      <w:r>
        <w:rPr>
          <w:rFonts w:ascii="Arial" w:cs="Arial" w:eastAsia="Arial" w:hAnsi="Arial"/>
          <w:sz w:val="16"/>
          <w:szCs w:val="16"/>
          <w:color w:val="auto"/>
        </w:rPr>
        <w:t>to the operations of our clinical trials, the suspension of enrollment of new patients at certain of our clinical trial sites, and delays in certain supply chain activities and collecting and analyzing data from patients in our clinical trials, and may further disrupt our business and delay our development programs and regulatory timelines, the magnitude of which will depend, in part, on the length and severity of the restrictions and other limitations on our ability to conduct business in the ordinary course. As a result, research and development expenses and general and administrative expenses may vary significantly if there is an increased impact from COVID-19 on the costs and timing associated with the conduct of our clinical trials and other related business activities.</w:t>
      </w:r>
    </w:p>
    <w:p>
      <w:pPr>
        <w:spacing w:after="0" w:line="52" w:lineRule="exact"/>
        <w:rPr>
          <w:sz w:val="20"/>
          <w:szCs w:val="20"/>
          <w:color w:val="auto"/>
        </w:rPr>
      </w:pPr>
    </w:p>
    <w:p>
      <w:pPr>
        <w:ind w:right="40" w:firstLine="749"/>
        <w:spacing w:after="0" w:line="271" w:lineRule="auto"/>
        <w:rPr>
          <w:sz w:val="20"/>
          <w:szCs w:val="20"/>
          <w:color w:val="auto"/>
        </w:rPr>
      </w:pPr>
      <w:r>
        <w:rPr>
          <w:rFonts w:ascii="Arial" w:cs="Arial" w:eastAsia="Arial" w:hAnsi="Arial"/>
          <w:sz w:val="18"/>
          <w:szCs w:val="18"/>
          <w:color w:val="auto"/>
        </w:rPr>
        <w:t>On May 6, 2021, we entered into an "at-the-market" (ATM) sales agreement with Jefferies LLC as our sales agent, under which we may offer and sell from time to time up to $150 million of our common stock in negotiated transactions or transactions that are deemed to be an ATM offering. On July 8, 2021, we raised gross proceeds of $50.0 million through the sale of 2,597,402 shares in an ATM offering, with participation based on unsolicited interest received from a healthcare specialist fund. We sold such shares at a purchase price per share of $19.25, a premium to the market price at the time of sale. After deducting commissions and other offering expenses related to the ATM offering of $1.9 million, the net proceeds we received from the transaction were $48.1 million.</w:t>
      </w:r>
    </w:p>
    <w:p>
      <w:pPr>
        <w:spacing w:after="0" w:line="83" w:lineRule="exact"/>
        <w:rPr>
          <w:sz w:val="20"/>
          <w:szCs w:val="20"/>
          <w:color w:val="auto"/>
        </w:rPr>
      </w:pPr>
    </w:p>
    <w:p>
      <w:pPr>
        <w:ind w:right="40" w:firstLine="749"/>
        <w:spacing w:after="0" w:line="275" w:lineRule="auto"/>
        <w:rPr>
          <w:sz w:val="20"/>
          <w:szCs w:val="20"/>
          <w:color w:val="auto"/>
        </w:rPr>
      </w:pPr>
      <w:r>
        <w:rPr>
          <w:rFonts w:ascii="Arial" w:cs="Arial" w:eastAsia="Arial" w:hAnsi="Arial"/>
          <w:sz w:val="18"/>
          <w:szCs w:val="18"/>
          <w:color w:val="auto"/>
        </w:rPr>
        <w:t>In the third and fourth quarter of 2020, we entered into license agreements with Mirati and Voronoi, respectively. As consideration for the license granted under the Mirati License Agreement, we issued to Mirati 588,235 shares of our common stock in August 2020. As consideration for the license granted under the Voronoi License Agreement, we made a one-time $5.0 million cash payment in November 2020 and issued 283,259 shares of our common stock to Voronoi in October 2020.</w:t>
      </w:r>
    </w:p>
    <w:p>
      <w:pPr>
        <w:spacing w:after="0" w:line="77" w:lineRule="exact"/>
        <w:rPr>
          <w:sz w:val="20"/>
          <w:szCs w:val="20"/>
          <w:color w:val="auto"/>
        </w:rPr>
      </w:pPr>
    </w:p>
    <w:p>
      <w:pPr>
        <w:ind w:right="160" w:firstLine="749"/>
        <w:spacing w:after="0" w:line="272" w:lineRule="auto"/>
        <w:rPr>
          <w:sz w:val="20"/>
          <w:szCs w:val="20"/>
          <w:color w:val="auto"/>
        </w:rPr>
      </w:pPr>
      <w:r>
        <w:rPr>
          <w:rFonts w:ascii="Arial" w:cs="Arial" w:eastAsia="Arial" w:hAnsi="Arial"/>
          <w:sz w:val="18"/>
          <w:szCs w:val="18"/>
          <w:color w:val="auto"/>
        </w:rPr>
        <w:t>On November 17, 2020, we completed a public offering of our common stock. In connection with this offering, we issued and sold 5,796,000 shares of our common stock, including 756,000 associated with the full exercise of the underwriters’ option to purchase additional shares, at a price to the public of $23.00 per share resulting in gross proceeds of $133.3 million before deducting underwriting discounts and commissions and estimated offering expenses. After deducting underwriting discounts and commissions and other offering expenses of $8.5 million, the net proceeds we received from the transaction were approximately $124.8 million.</w:t>
      </w:r>
    </w:p>
    <w:p>
      <w:pPr>
        <w:spacing w:after="0" w:line="83" w:lineRule="exact"/>
        <w:rPr>
          <w:sz w:val="20"/>
          <w:szCs w:val="20"/>
          <w:color w:val="auto"/>
        </w:rPr>
      </w:pPr>
    </w:p>
    <w:p>
      <w:pPr>
        <w:ind w:firstLine="749"/>
        <w:spacing w:after="0" w:line="275" w:lineRule="auto"/>
        <w:rPr>
          <w:sz w:val="20"/>
          <w:szCs w:val="20"/>
          <w:color w:val="auto"/>
        </w:rPr>
      </w:pPr>
      <w:r>
        <w:rPr>
          <w:rFonts w:ascii="Arial" w:cs="Arial" w:eastAsia="Arial" w:hAnsi="Arial"/>
          <w:sz w:val="18"/>
          <w:szCs w:val="18"/>
          <w:color w:val="auto"/>
        </w:rPr>
        <w:t>On April 28, 2020, we completed our IPO of our common stock. In connection with our IPO, we issued and sold 8,625,000 shares of our common stock, including 1,125,000 shares associated with the full exercise of the underwriters’ option to purchase additional shares, at a price to the public of $16.00 per share resulting in gross proceeds of $138.0 million. After deducting underwriting discounts and commissions and other offering expenses of $12.8 million, the net proceeds we received from our IPO were approximately $125.2 million.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31" w:lineRule="exact"/>
        <w:rPr>
          <w:sz w:val="20"/>
          <w:szCs w:val="20"/>
          <w:color w:val="auto"/>
        </w:rPr>
      </w:pPr>
    </w:p>
    <w:p>
      <w:pPr>
        <w:ind w:right="320" w:firstLine="749"/>
        <w:spacing w:after="0" w:line="293" w:lineRule="auto"/>
        <w:rPr>
          <w:sz w:val="20"/>
          <w:szCs w:val="20"/>
          <w:color w:val="auto"/>
        </w:rPr>
      </w:pPr>
      <w:r>
        <w:rPr>
          <w:rFonts w:ascii="Arial" w:cs="Arial" w:eastAsia="Arial" w:hAnsi="Arial"/>
          <w:sz w:val="18"/>
          <w:szCs w:val="18"/>
          <w:color w:val="auto"/>
        </w:rPr>
        <w:t>Research and development expenses account for a significant portion of our operating expenses and consist primarily of external and internal costs incurred in connection with the discovery and development of our product candidates.</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External expenses include:</w:t>
      </w:r>
    </w:p>
    <w:p>
      <w:pPr>
        <w:spacing w:after="0" w:line="131" w:lineRule="exact"/>
        <w:rPr>
          <w:sz w:val="20"/>
          <w:szCs w:val="20"/>
          <w:color w:val="auto"/>
        </w:rPr>
      </w:pPr>
    </w:p>
    <w:p>
      <w:pPr>
        <w:ind w:left="1200" w:right="140"/>
        <w:spacing w:after="0" w:line="293" w:lineRule="auto"/>
        <w:rPr>
          <w:sz w:val="20"/>
          <w:szCs w:val="20"/>
          <w:color w:val="auto"/>
        </w:rPr>
      </w:pPr>
      <w:r>
        <w:rPr>
          <w:rFonts w:ascii="Arial" w:cs="Arial" w:eastAsia="Arial" w:hAnsi="Arial"/>
          <w:sz w:val="18"/>
          <w:szCs w:val="18"/>
          <w:color w:val="auto"/>
        </w:rPr>
        <w:t>payments to third parties in connection with the clinical development of our product candidates, including contract research organizations (CROs) and consultants;</w:t>
      </w:r>
    </w:p>
    <w:p>
      <w:pPr>
        <w:spacing w:after="0" w:line="62" w:lineRule="exact"/>
        <w:rPr>
          <w:sz w:val="20"/>
          <w:szCs w:val="20"/>
          <w:color w:val="auto"/>
        </w:rPr>
      </w:pPr>
    </w:p>
    <w:p>
      <w:pPr>
        <w:ind w:left="1200" w:right="480"/>
        <w:spacing w:after="0" w:line="293" w:lineRule="auto"/>
        <w:rPr>
          <w:sz w:val="20"/>
          <w:szCs w:val="20"/>
          <w:color w:val="auto"/>
        </w:rPr>
      </w:pPr>
      <w:r>
        <w:rPr>
          <w:rFonts w:ascii="Arial" w:cs="Arial" w:eastAsia="Arial" w:hAnsi="Arial"/>
          <w:sz w:val="18"/>
          <w:szCs w:val="18"/>
          <w:color w:val="auto"/>
        </w:rPr>
        <w:t>the cost of manufacturing products for use in our preclinical studies and clinical trials, including payments to contract manufacturing organizations (CMOs) and consultants;</w:t>
      </w:r>
    </w:p>
    <w:p>
      <w:pPr>
        <w:spacing w:after="0" w:line="62" w:lineRule="exact"/>
        <w:rPr>
          <w:sz w:val="20"/>
          <w:szCs w:val="20"/>
          <w:color w:val="auto"/>
        </w:rPr>
      </w:pPr>
    </w:p>
    <w:p>
      <w:pPr>
        <w:ind w:left="1200" w:right="420"/>
        <w:spacing w:after="0" w:line="324" w:lineRule="auto"/>
        <w:rPr>
          <w:sz w:val="20"/>
          <w:szCs w:val="20"/>
          <w:color w:val="auto"/>
        </w:rPr>
      </w:pPr>
      <w:r>
        <w:rPr>
          <w:rFonts w:ascii="Arial" w:cs="Arial" w:eastAsia="Arial" w:hAnsi="Arial"/>
          <w:sz w:val="17"/>
          <w:szCs w:val="17"/>
          <w:color w:val="auto"/>
        </w:rPr>
        <w:t>payments to third parties in connection with the preclinical development of our product candidates, including outsourced professional scientific development services, consulting research fees and sponsored research arrangements with third parties;</w:t>
      </w:r>
    </w:p>
    <w:p>
      <w:pPr>
        <w:spacing w:after="0" w:line="3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laboratory supplies; and</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allocated facilities, depreciation and other expenses, which include direct or allocated expenses for IT, rent and maintenance of facilities.</w:t>
      </w:r>
    </w:p>
    <w:p>
      <w:pPr>
        <w:spacing w:after="0" w:line="154" w:lineRule="exact"/>
        <w:rPr>
          <w:sz w:val="20"/>
          <w:szCs w:val="20"/>
          <w:color w:val="auto"/>
        </w:rPr>
      </w:pPr>
    </w:p>
    <w:p>
      <w:pPr>
        <w:ind w:right="100" w:firstLine="749"/>
        <w:spacing w:after="0" w:line="275" w:lineRule="auto"/>
        <w:rPr>
          <w:sz w:val="20"/>
          <w:szCs w:val="20"/>
          <w:color w:val="auto"/>
        </w:rPr>
      </w:pPr>
      <w:r>
        <w:rPr>
          <w:rFonts w:ascii="Arial" w:cs="Arial" w:eastAsia="Arial" w:hAnsi="Arial"/>
          <w:sz w:val="18"/>
          <w:szCs w:val="18"/>
          <w:color w:val="auto"/>
        </w:rPr>
        <w:t>We may also incur in-process research and development expense as we acquire or in-license assets from other parties. Technology acquisitions are expensed or capitalized based upon the asset achieving technological feasibility in accordance with management’s assessment regarding the ultimate recoverability of the amounts paid and the potential for alternative future use. Acquired in-process research and development costs that have no alternative future use are immediately expensed.</w:t>
      </w:r>
    </w:p>
    <w:p>
      <w:pPr>
        <w:spacing w:after="0" w:line="77" w:lineRule="exact"/>
        <w:rPr>
          <w:sz w:val="20"/>
          <w:szCs w:val="20"/>
          <w:color w:val="auto"/>
        </w:rPr>
      </w:pPr>
    </w:p>
    <w:p>
      <w:pPr>
        <w:ind w:right="800" w:firstLine="749"/>
        <w:spacing w:after="0" w:line="293" w:lineRule="auto"/>
        <w:rPr>
          <w:sz w:val="20"/>
          <w:szCs w:val="20"/>
          <w:color w:val="auto"/>
        </w:rPr>
      </w:pPr>
      <w:r>
        <w:rPr>
          <w:rFonts w:ascii="Arial" w:cs="Arial" w:eastAsia="Arial" w:hAnsi="Arial"/>
          <w:sz w:val="18"/>
          <w:szCs w:val="18"/>
          <w:color w:val="auto"/>
        </w:rPr>
        <w:t>Internal expenses include employee-related costs such as salaries, related benefits and non-cash stock-based compensation expense for employees engaged in research and development functions.</w:t>
      </w:r>
    </w:p>
    <w:p>
      <w:pPr>
        <w:spacing w:after="0" w:line="62" w:lineRule="exact"/>
        <w:rPr>
          <w:sz w:val="20"/>
          <w:szCs w:val="20"/>
          <w:color w:val="auto"/>
        </w:rPr>
      </w:pPr>
    </w:p>
    <w:p>
      <w:pPr>
        <w:ind w:right="20" w:firstLine="749"/>
        <w:spacing w:after="0" w:line="279" w:lineRule="auto"/>
        <w:rPr>
          <w:sz w:val="20"/>
          <w:szCs w:val="20"/>
          <w:color w:val="auto"/>
        </w:rPr>
      </w:pPr>
      <w:r>
        <w:rPr>
          <w:rFonts w:ascii="Arial" w:cs="Arial" w:eastAsia="Arial" w:hAnsi="Arial"/>
          <w:sz w:val="18"/>
          <w:szCs w:val="18"/>
          <w:color w:val="auto"/>
        </w:rPr>
        <w:t>We expense research and development costs in the periods in which they are incurred. External expenses are recognized based on an evaluation of the progress to completion of specific tasks using information provided to us by our service providers or our estimate of the level of service that has been performed at each reporting date. We track external costs by program, clinical or</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color w:val="auto"/>
        </w:rPr>
        <w:t>preclinical. We do not track internal costs by program because these costs are deployed across multiple programs and, as such, are not separately classified.</w:t>
      </w:r>
    </w:p>
    <w:p>
      <w:pPr>
        <w:spacing w:after="0" w:line="154" w:lineRule="exact"/>
        <w:rPr>
          <w:sz w:val="20"/>
          <w:szCs w:val="20"/>
          <w:color w:val="auto"/>
        </w:rPr>
      </w:pPr>
    </w:p>
    <w:p>
      <w:pPr>
        <w:ind w:right="20" w:firstLine="749"/>
        <w:spacing w:after="0" w:line="319" w:lineRule="auto"/>
        <w:rPr>
          <w:sz w:val="20"/>
          <w:szCs w:val="20"/>
          <w:color w:val="auto"/>
        </w:rPr>
      </w:pPr>
      <w:r>
        <w:rPr>
          <w:rFonts w:ascii="Arial" w:cs="Arial" w:eastAsia="Arial" w:hAnsi="Arial"/>
          <w:sz w:val="16"/>
          <w:szCs w:val="16"/>
          <w:color w:val="auto"/>
        </w:rPr>
        <w:t>Product candidates in later stages of clinical development generally have higher development costs than those in earlier stages, primarily due to the increased size and duration of later-stage clinical trials. As a result, we expect that our research and development expenses will increase substantially in the foreseeable future as we advance our product candidates through preclinical studies and clinical trials; continue to discover and develop additional product candidates and expand our pipeline; maintain, expand, protect and enforce our intellectual property portfolio; and hire additional personnel.</w:t>
      </w:r>
    </w:p>
    <w:p>
      <w:pPr>
        <w:spacing w:after="0" w:line="48" w:lineRule="exact"/>
        <w:rPr>
          <w:sz w:val="20"/>
          <w:szCs w:val="20"/>
          <w:color w:val="auto"/>
        </w:rPr>
      </w:pPr>
    </w:p>
    <w:p>
      <w:pPr>
        <w:ind w:firstLine="749"/>
        <w:spacing w:after="0" w:line="270" w:lineRule="auto"/>
        <w:rPr>
          <w:sz w:val="20"/>
          <w:szCs w:val="20"/>
          <w:color w:val="auto"/>
        </w:rPr>
      </w:pPr>
      <w:r>
        <w:rPr>
          <w:rFonts w:ascii="Arial" w:cs="Arial" w:eastAsia="Arial" w:hAnsi="Arial"/>
          <w:sz w:val="18"/>
          <w:szCs w:val="18"/>
          <w:color w:val="auto"/>
        </w:rPr>
        <w:t>The successful development of our product candidates is highly uncertain, and we do not believe it is possible at this time to accurately project the nature, timing and estimated costs of the efforts necessary to complete the development of, and obtain regulatory approval for, any of our product candidates. To the extent our product candidates continue to advance into clinical trials, as well as advance into larger and later-stage clinical trials, our expenses will increase substantially and may become more variable. We are also unable to predict when, if ever, we will generate revenue from our product candidates to offset these expenses. Our expenditures on current and future preclinical and clinical development programs are subject to numerous uncertainties in timing and cost to completion. The duration, costs and timing of preclinical studies and clinical trials and development of our product candidates will depend on a variety of factors, including:</w:t>
      </w:r>
    </w:p>
    <w:p>
      <w:pPr>
        <w:spacing w:after="0" w:line="206"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timing and progress of preclinical and clinical development activities;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number and scope of preclinical and clinical programs we decide to pursue;</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our ability to maintain our current research and development programs and to establish new ones;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establishing an appropriate safety profile with IND-enabling toxicology studies;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successful patient enrollment in, and the initiation and completion of, clinical trials;</w:t>
      </w:r>
    </w:p>
    <w:p>
      <w:pPr>
        <w:spacing w:after="0" w:line="131" w:lineRule="exact"/>
        <w:rPr>
          <w:sz w:val="20"/>
          <w:szCs w:val="20"/>
          <w:color w:val="auto"/>
        </w:rPr>
      </w:pPr>
    </w:p>
    <w:p>
      <w:pPr>
        <w:ind w:left="1200" w:right="40"/>
        <w:spacing w:after="0" w:line="293" w:lineRule="auto"/>
        <w:rPr>
          <w:sz w:val="20"/>
          <w:szCs w:val="20"/>
          <w:color w:val="auto"/>
        </w:rPr>
      </w:pPr>
      <w:r>
        <w:rPr>
          <w:rFonts w:ascii="Arial" w:cs="Arial" w:eastAsia="Arial" w:hAnsi="Arial"/>
          <w:sz w:val="18"/>
          <w:szCs w:val="18"/>
          <w:color w:val="auto"/>
        </w:rPr>
        <w:t>the successful completion of clinical trials with safety, tolerability and efficacy profiles that are satisfactory to the FDA or any comparable foreign regulatory authority;</w:t>
      </w:r>
    </w:p>
    <w:p>
      <w:pPr>
        <w:spacing w:after="0" w:line="6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receipt of regulatory approvals from applicable regulatory authorities;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timing, receipt and terms of any marketing approvals from applicable regulatory authorities;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our ability to establish licensing or collaboration arrangements;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performance of our future collaborators, if any;</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obtaining and retaining research and development personnel;</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31" w:lineRule="exact"/>
        <w:rPr>
          <w:sz w:val="20"/>
          <w:szCs w:val="20"/>
          <w:color w:val="auto"/>
        </w:rPr>
      </w:pPr>
    </w:p>
    <w:p>
      <w:pPr>
        <w:ind w:left="1200" w:right="700"/>
        <w:spacing w:after="0" w:line="293" w:lineRule="auto"/>
        <w:rPr>
          <w:sz w:val="20"/>
          <w:szCs w:val="20"/>
          <w:color w:val="auto"/>
        </w:rPr>
      </w:pPr>
      <w:r>
        <w:rPr>
          <w:rFonts w:ascii="Arial" w:cs="Arial" w:eastAsia="Arial" w:hAnsi="Arial"/>
          <w:sz w:val="18"/>
          <w:szCs w:val="18"/>
          <w:color w:val="auto"/>
        </w:rPr>
        <w:t>development and timely delivery of commercial-grade product formulations that can be used in our planned clinical trials and for commercial launch;</w:t>
      </w:r>
    </w:p>
    <w:p>
      <w:pPr>
        <w:spacing w:after="0" w:line="6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obtaining, maintaining, defending and enforcing patent claims and other intellectual property rights;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launching commercial sales of our product candidates, if approved, whether alone or in collaboration with others; and</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maintaining a continued acceptable safety profile of our products following approval.</w:t>
      </w:r>
    </w:p>
    <w:p>
      <w:pPr>
        <w:spacing w:after="0" w:line="131" w:lineRule="exact"/>
        <w:rPr>
          <w:sz w:val="20"/>
          <w:szCs w:val="20"/>
          <w:color w:val="auto"/>
        </w:rPr>
      </w:pPr>
    </w:p>
    <w:p>
      <w:pPr>
        <w:ind w:right="60" w:firstLine="749"/>
        <w:spacing w:after="0" w:line="293" w:lineRule="auto"/>
        <w:rPr>
          <w:sz w:val="20"/>
          <w:szCs w:val="20"/>
          <w:color w:val="auto"/>
        </w:rPr>
      </w:pPr>
      <w:r>
        <w:rPr>
          <w:rFonts w:ascii="Arial" w:cs="Arial" w:eastAsia="Arial" w:hAnsi="Arial"/>
          <w:sz w:val="18"/>
          <w:szCs w:val="18"/>
          <w:color w:val="auto"/>
        </w:rPr>
        <w:t>Any changes in the outcome of any of these factors could significantly impact the costs, timing and viability associated with the development of our product candidates.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31" w:lineRule="exact"/>
        <w:rPr>
          <w:sz w:val="20"/>
          <w:szCs w:val="20"/>
          <w:color w:val="auto"/>
        </w:rPr>
      </w:pPr>
    </w:p>
    <w:p>
      <w:pPr>
        <w:ind w:right="120" w:firstLine="749"/>
        <w:spacing w:after="0" w:line="309" w:lineRule="auto"/>
        <w:rPr>
          <w:sz w:val="20"/>
          <w:szCs w:val="20"/>
          <w:color w:val="auto"/>
        </w:rPr>
      </w:pPr>
      <w:r>
        <w:rPr>
          <w:rFonts w:ascii="Arial" w:cs="Arial" w:eastAsia="Arial" w:hAnsi="Arial"/>
          <w:sz w:val="16"/>
          <w:szCs w:val="16"/>
          <w:color w:val="auto"/>
        </w:rPr>
        <w:t>General and administrative expenses consist primarily of salaries, related benefits and stock-based compensation expense for personnel in executive, finance and administrative functions. General and administrative expenses also include allocated facilities, depreciation and other expenses, which include direct or allocated expenses for rent and maintenance of facilities and insurance, not otherwise included in research and development expenses, as well as professional fees for legal, patent, consulting, investor and public relations, accounting and audit services. We expect that our general and administrative expenses will increase substantially in the foreseeable future as we increase our headcount to support the continued research and development of our programs and the growth of our business. We also anticipate increased expenses relating to accounting, audit, legal, regulatory, compliance, director and officer insurance and investor and public relations costs associated with operating as a public company.</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Total Other Income</w:t>
      </w:r>
    </w:p>
    <w:p>
      <w:pPr>
        <w:spacing w:after="0" w:line="131" w:lineRule="exact"/>
        <w:rPr>
          <w:sz w:val="20"/>
          <w:szCs w:val="20"/>
          <w:color w:val="auto"/>
        </w:rPr>
      </w:pPr>
    </w:p>
    <w:p>
      <w:pPr>
        <w:ind w:right="600" w:firstLine="749"/>
        <w:spacing w:after="0" w:line="279" w:lineRule="auto"/>
        <w:rPr>
          <w:sz w:val="20"/>
          <w:szCs w:val="20"/>
          <w:color w:val="auto"/>
        </w:rPr>
      </w:pPr>
      <w:r>
        <w:rPr>
          <w:rFonts w:ascii="Arial" w:cs="Arial" w:eastAsia="Arial" w:hAnsi="Arial"/>
          <w:sz w:val="18"/>
          <w:szCs w:val="18"/>
          <w:color w:val="auto"/>
        </w:rPr>
        <w:t>Interest income, net primarily consists of interest income generated from our investments in interest-bearing money market accounts and marketable securities. Other income historically had consisted of rental income from the sub-leasing of a portion of our office space in South San Francisco, California. In August 2020, this sublease expired and we reclaimed the space at that time.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and Nine Months Ended September 30, 2021 and 2020</w:t>
      </w:r>
    </w:p>
    <w:p>
      <w:pPr>
        <w:spacing w:after="0" w:line="13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our results of operations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6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2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9"/>
        </w:trPr>
        <w:tc>
          <w:tcPr>
            <w:tcW w:w="34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1"/>
        </w:trPr>
        <w:tc>
          <w:tcPr>
            <w:tcW w:w="3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jc w:val="right"/>
              <w:ind w:right="312"/>
              <w:spacing w:after="0"/>
              <w:rPr>
                <w:sz w:val="20"/>
                <w:szCs w:val="20"/>
                <w:color w:val="auto"/>
              </w:rPr>
            </w:pPr>
            <w:r>
              <w:rPr>
                <w:rFonts w:ascii="Arial" w:cs="Arial" w:eastAsia="Arial" w:hAnsi="Arial"/>
                <w:sz w:val="14"/>
                <w:szCs w:val="14"/>
                <w:b w:val="1"/>
                <w:bCs w:val="1"/>
                <w:color w:val="auto"/>
                <w:w w:val="96"/>
              </w:rPr>
              <w:t>2020</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7"/>
              </w:rPr>
              <w:t>Change</w:t>
            </w:r>
          </w:p>
        </w:tc>
        <w:tc>
          <w:tcPr>
            <w:tcW w:w="240" w:type="dxa"/>
            <w:vAlign w:val="bottom"/>
          </w:tcPr>
          <w:p>
            <w:pPr>
              <w:spacing w:after="0"/>
              <w:rPr>
                <w:sz w:val="21"/>
                <w:szCs w:val="21"/>
                <w:color w:val="auto"/>
              </w:rPr>
            </w:pPr>
          </w:p>
        </w:tc>
        <w:tc>
          <w:tcPr>
            <w:tcW w:w="800" w:type="dxa"/>
            <w:vAlign w:val="bottom"/>
          </w:tcPr>
          <w:p>
            <w:pPr>
              <w:jc w:val="right"/>
              <w:ind w:right="295"/>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jc w:val="right"/>
              <w:ind w:right="212"/>
              <w:spacing w:after="0"/>
              <w:rPr>
                <w:sz w:val="20"/>
                <w:szCs w:val="20"/>
                <w:color w:val="auto"/>
              </w:rPr>
            </w:pPr>
            <w:r>
              <w:rPr>
                <w:rFonts w:ascii="Arial" w:cs="Arial" w:eastAsia="Arial" w:hAnsi="Arial"/>
                <w:sz w:val="14"/>
                <w:szCs w:val="14"/>
                <w:b w:val="1"/>
                <w:bCs w:val="1"/>
                <w:color w:val="auto"/>
                <w:w w:val="96"/>
              </w:rPr>
              <w:t>2020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Change</w:t>
            </w:r>
          </w:p>
        </w:tc>
      </w:tr>
      <w:tr>
        <w:trPr>
          <w:trHeight w:val="256"/>
        </w:trPr>
        <w:tc>
          <w:tcPr>
            <w:tcW w:w="3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Borders>
              <w:top w:val="single" w:sz="8" w:color="auto"/>
            </w:tcBorders>
            <w:shd w:val="clear" w:color="auto" w:fill="CFF0FC"/>
          </w:tcPr>
          <w:p>
            <w:pPr>
              <w:spacing w:after="0"/>
              <w:rPr>
                <w:sz w:val="22"/>
                <w:szCs w:val="22"/>
                <w:color w:val="auto"/>
              </w:rPr>
            </w:pPr>
          </w:p>
        </w:tc>
        <w:tc>
          <w:tcPr>
            <w:tcW w:w="840" w:type="dxa"/>
            <w:vAlign w:val="bottom"/>
            <w:tcBorders>
              <w:top w:val="single" w:sz="8" w:color="auto"/>
            </w:tcBorders>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360" w:type="dxa"/>
            <w:vAlign w:val="bottom"/>
            <w:tcBorders>
              <w:top w:val="single" w:sz="8" w:color="auto"/>
            </w:tcBorders>
            <w:shd w:val="clear" w:color="auto" w:fill="CFF0FC"/>
          </w:tcPr>
          <w:p>
            <w:pPr>
              <w:spacing w:after="0"/>
              <w:rPr>
                <w:sz w:val="22"/>
                <w:szCs w:val="22"/>
                <w:color w:val="auto"/>
              </w:rPr>
            </w:pPr>
          </w:p>
        </w:tc>
        <w:tc>
          <w:tcPr>
            <w:tcW w:w="720" w:type="dxa"/>
            <w:vAlign w:val="bottom"/>
            <w:tcBorders>
              <w:top w:val="single" w:sz="8" w:color="auto"/>
            </w:tcBorders>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80" w:type="dxa"/>
            <w:vAlign w:val="bottom"/>
            <w:tcBorders>
              <w:top w:val="single" w:sz="8" w:color="auto"/>
            </w:tcBorders>
            <w:shd w:val="clear" w:color="auto" w:fill="CFF0FC"/>
          </w:tcPr>
          <w:p>
            <w:pPr>
              <w:spacing w:after="0"/>
              <w:rPr>
                <w:sz w:val="22"/>
                <w:szCs w:val="22"/>
                <w:color w:val="auto"/>
              </w:rPr>
            </w:pPr>
          </w:p>
        </w:tc>
        <w:tc>
          <w:tcPr>
            <w:tcW w:w="740" w:type="dxa"/>
            <w:vAlign w:val="bottom"/>
            <w:tcBorders>
              <w:top w:val="single" w:sz="8" w:color="auto"/>
            </w:tcBorders>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40" w:type="dxa"/>
            <w:vAlign w:val="bottom"/>
            <w:tcBorders>
              <w:top w:val="single" w:sz="8" w:color="auto"/>
            </w:tcBorders>
            <w:shd w:val="clear" w:color="auto" w:fill="CFF0FC"/>
          </w:tcPr>
          <w:p>
            <w:pPr>
              <w:spacing w:after="0"/>
              <w:rPr>
                <w:sz w:val="22"/>
                <w:szCs w:val="22"/>
                <w:color w:val="auto"/>
              </w:rPr>
            </w:pPr>
          </w:p>
        </w:tc>
        <w:tc>
          <w:tcPr>
            <w:tcW w:w="800" w:type="dxa"/>
            <w:vAlign w:val="bottom"/>
            <w:tcBorders>
              <w:top w:val="single" w:sz="8" w:color="auto"/>
            </w:tcBorders>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80" w:type="dxa"/>
            <w:vAlign w:val="bottom"/>
            <w:tcBorders>
              <w:top w:val="single" w:sz="8" w:color="auto"/>
            </w:tcBorders>
            <w:shd w:val="clear" w:color="auto" w:fill="CFF0FC"/>
          </w:tcPr>
          <w:p>
            <w:pPr>
              <w:spacing w:after="0"/>
              <w:rPr>
                <w:sz w:val="22"/>
                <w:szCs w:val="22"/>
                <w:color w:val="auto"/>
              </w:rPr>
            </w:pPr>
          </w:p>
        </w:tc>
        <w:tc>
          <w:tcPr>
            <w:tcW w:w="620" w:type="dxa"/>
            <w:vAlign w:val="bottom"/>
            <w:tcBorders>
              <w:top w:val="single" w:sz="8" w:color="auto"/>
            </w:tcBorders>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60" w:type="dxa"/>
            <w:vAlign w:val="bottom"/>
            <w:tcBorders>
              <w:top w:val="single" w:sz="8" w:color="auto"/>
            </w:tcBorders>
            <w:shd w:val="clear" w:color="auto" w:fill="CFF0FC"/>
          </w:tcPr>
          <w:p>
            <w:pPr>
              <w:spacing w:after="0"/>
              <w:rPr>
                <w:sz w:val="22"/>
                <w:szCs w:val="22"/>
                <w:color w:val="auto"/>
              </w:rPr>
            </w:pPr>
          </w:p>
        </w:tc>
        <w:tc>
          <w:tcPr>
            <w:tcW w:w="780" w:type="dxa"/>
            <w:vAlign w:val="bottom"/>
            <w:tcBorders>
              <w:top w:val="single" w:sz="8" w:color="auto"/>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348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12,899</w:t>
            </w:r>
          </w:p>
        </w:tc>
        <w:tc>
          <w:tcPr>
            <w:tcW w:w="24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8,831</w:t>
            </w:r>
          </w:p>
        </w:tc>
        <w:tc>
          <w:tcPr>
            <w:tcW w:w="2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4,068</w:t>
            </w:r>
          </w:p>
        </w:tc>
        <w:tc>
          <w:tcPr>
            <w:tcW w:w="26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40,113</w:t>
            </w:r>
          </w:p>
        </w:tc>
        <w:tc>
          <w:tcPr>
            <w:tcW w:w="2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23,808</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16,305</w:t>
            </w:r>
          </w:p>
        </w:tc>
        <w:tc>
          <w:tcPr>
            <w:tcW w:w="100" w:type="dxa"/>
            <w:vAlign w:val="bottom"/>
          </w:tcPr>
          <w:p>
            <w:pPr>
              <w:spacing w:after="0"/>
              <w:rPr>
                <w:sz w:val="21"/>
                <w:szCs w:val="21"/>
                <w:color w:val="auto"/>
              </w:rPr>
            </w:pPr>
          </w:p>
        </w:tc>
      </w:tr>
      <w:tr>
        <w:trPr>
          <w:trHeight w:val="249"/>
        </w:trPr>
        <w:tc>
          <w:tcPr>
            <w:tcW w:w="34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Acquired in-process research and</w:t>
            </w: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4"/>
        </w:trPr>
        <w:tc>
          <w:tcPr>
            <w:tcW w:w="34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development</w:t>
            </w:r>
          </w:p>
        </w:tc>
        <w:tc>
          <w:tcPr>
            <w:tcW w:w="2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12,971</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(12,971 )</w:t>
            </w:r>
          </w:p>
        </w:tc>
        <w:tc>
          <w:tcPr>
            <w:tcW w:w="2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12,971</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(12,971 )</w:t>
            </w:r>
          </w:p>
        </w:tc>
      </w:tr>
      <w:tr>
        <w:trPr>
          <w:trHeight w:val="250"/>
        </w:trPr>
        <w:tc>
          <w:tcPr>
            <w:tcW w:w="348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5,557</w:t>
            </w:r>
          </w:p>
        </w:tc>
        <w:tc>
          <w:tcPr>
            <w:tcW w:w="2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3,800</w:t>
            </w:r>
          </w:p>
        </w:tc>
        <w:tc>
          <w:tcPr>
            <w:tcW w:w="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1,757</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15,953</w:t>
            </w:r>
          </w:p>
        </w:tc>
        <w:tc>
          <w:tcPr>
            <w:tcW w:w="2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9,125</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6,828</w:t>
            </w:r>
          </w:p>
        </w:tc>
        <w:tc>
          <w:tcPr>
            <w:tcW w:w="100" w:type="dxa"/>
            <w:vAlign w:val="bottom"/>
          </w:tcPr>
          <w:p>
            <w:pPr>
              <w:spacing w:after="0"/>
              <w:rPr>
                <w:sz w:val="21"/>
                <w:szCs w:val="21"/>
                <w:color w:val="auto"/>
              </w:rPr>
            </w:pPr>
          </w:p>
        </w:tc>
      </w:tr>
      <w:tr>
        <w:trPr>
          <w:trHeight w:val="257"/>
        </w:trPr>
        <w:tc>
          <w:tcPr>
            <w:tcW w:w="34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operating expenses</w:t>
            </w:r>
          </w:p>
        </w:tc>
        <w:tc>
          <w:tcPr>
            <w:tcW w:w="26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18,456</w:t>
            </w:r>
          </w:p>
        </w:tc>
        <w:tc>
          <w:tcPr>
            <w:tcW w:w="24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25,602</w:t>
            </w:r>
          </w:p>
        </w:tc>
        <w:tc>
          <w:tcPr>
            <w:tcW w:w="2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(7,146 )</w:t>
            </w:r>
          </w:p>
        </w:tc>
        <w:tc>
          <w:tcPr>
            <w:tcW w:w="240" w:type="dxa"/>
            <w:vAlign w:val="bottom"/>
            <w:shd w:val="clear" w:color="auto" w:fill="CFF0FC"/>
          </w:tcPr>
          <w:p>
            <w:pPr>
              <w:spacing w:after="0"/>
              <w:rPr>
                <w:sz w:val="22"/>
                <w:szCs w:val="2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56,066</w:t>
            </w:r>
          </w:p>
        </w:tc>
        <w:tc>
          <w:tcPr>
            <w:tcW w:w="2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45,904</w:t>
            </w:r>
          </w:p>
        </w:tc>
        <w:tc>
          <w:tcPr>
            <w:tcW w:w="2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10,162</w:t>
            </w:r>
          </w:p>
        </w:tc>
        <w:tc>
          <w:tcPr>
            <w:tcW w:w="100" w:type="dxa"/>
            <w:vAlign w:val="bottom"/>
            <w:shd w:val="clear" w:color="auto" w:fill="CFF0FC"/>
          </w:tcPr>
          <w:p>
            <w:pPr>
              <w:spacing w:after="0"/>
              <w:rPr>
                <w:sz w:val="22"/>
                <w:szCs w:val="22"/>
                <w:color w:val="auto"/>
              </w:rPr>
            </w:pPr>
          </w:p>
        </w:tc>
      </w:tr>
      <w:tr>
        <w:trPr>
          <w:trHeight w:val="20"/>
        </w:trPr>
        <w:tc>
          <w:tcPr>
            <w:tcW w:w="34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43"/>
        </w:trPr>
        <w:tc>
          <w:tcPr>
            <w:tcW w:w="348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6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(18,456 )</w:t>
            </w:r>
          </w:p>
        </w:tc>
        <w:tc>
          <w:tcPr>
            <w:tcW w:w="36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(25,602 )</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7,146</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(56,066 )</w:t>
            </w:r>
          </w:p>
        </w:tc>
        <w:tc>
          <w:tcPr>
            <w:tcW w:w="28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(45,904 )</w:t>
            </w:r>
          </w:p>
        </w:tc>
        <w:tc>
          <w:tcPr>
            <w:tcW w:w="16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(10,162 )</w:t>
            </w:r>
          </w:p>
        </w:tc>
      </w:tr>
      <w:tr>
        <w:trPr>
          <w:trHeight w:val="263"/>
        </w:trPr>
        <w:tc>
          <w:tcPr>
            <w:tcW w:w="34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7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000" w:type="dxa"/>
            <w:vAlign w:val="bottom"/>
            <w:gridSpan w:val="2"/>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880" w:type="dxa"/>
            <w:vAlign w:val="bottom"/>
            <w:gridSpan w:val="2"/>
            <w:shd w:val="clear" w:color="auto" w:fill="CFF0FC"/>
          </w:tcPr>
          <w:p>
            <w:pPr>
              <w:spacing w:after="0"/>
              <w:rPr>
                <w:sz w:val="22"/>
                <w:szCs w:val="22"/>
                <w:color w:val="auto"/>
              </w:rPr>
            </w:pPr>
          </w:p>
        </w:tc>
      </w:tr>
      <w:tr>
        <w:trPr>
          <w:trHeight w:val="257"/>
        </w:trPr>
        <w:tc>
          <w:tcPr>
            <w:tcW w:w="3480" w:type="dxa"/>
            <w:vAlign w:val="bottom"/>
          </w:tcPr>
          <w:p>
            <w:pPr>
              <w:ind w:left="20"/>
              <w:spacing w:after="0"/>
              <w:rPr>
                <w:sz w:val="20"/>
                <w:szCs w:val="20"/>
                <w:color w:val="auto"/>
              </w:rPr>
            </w:pPr>
            <w:r>
              <w:rPr>
                <w:rFonts w:ascii="Arial" w:cs="Arial" w:eastAsia="Arial" w:hAnsi="Arial"/>
                <w:sz w:val="18"/>
                <w:szCs w:val="18"/>
                <w:color w:val="auto"/>
              </w:rPr>
              <w:t>Total other income</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(24 )</w:t>
            </w: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122</w:t>
            </w: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460</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(338 )</w:t>
            </w:r>
          </w:p>
        </w:tc>
      </w:tr>
      <w:tr>
        <w:trPr>
          <w:trHeight w:val="250"/>
        </w:trPr>
        <w:tc>
          <w:tcPr>
            <w:tcW w:w="3480" w:type="dxa"/>
            <w:vAlign w:val="bottom"/>
            <w:shd w:val="clear" w:color="auto" w:fill="CFF0FC"/>
          </w:tcPr>
          <w:p>
            <w:pPr>
              <w:spacing w:after="0"/>
              <w:rPr>
                <w:sz w:val="21"/>
                <w:szCs w:val="21"/>
                <w:color w:val="auto"/>
              </w:rPr>
            </w:pPr>
          </w:p>
        </w:tc>
        <w:tc>
          <w:tcPr>
            <w:tcW w:w="260" w:type="dxa"/>
            <w:vAlign w:val="bottom"/>
            <w:tcBorders>
              <w:top w:val="single" w:sz="8" w:color="auto"/>
            </w:tcBorders>
            <w:shd w:val="clear" w:color="auto" w:fill="CFF0FC"/>
          </w:tcPr>
          <w:p>
            <w:pPr>
              <w:spacing w:after="0"/>
              <w:rPr>
                <w:sz w:val="21"/>
                <w:szCs w:val="21"/>
                <w:color w:val="auto"/>
              </w:rPr>
            </w:pPr>
          </w:p>
        </w:tc>
        <w:tc>
          <w:tcPr>
            <w:tcW w:w="84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60" w:type="dxa"/>
            <w:vAlign w:val="bottom"/>
            <w:tcBorders>
              <w:top w:val="single" w:sz="8" w:color="auto"/>
            </w:tcBorders>
            <w:shd w:val="clear" w:color="auto" w:fill="CFF0FC"/>
          </w:tcPr>
          <w:p>
            <w:pPr>
              <w:spacing w:after="0"/>
              <w:rPr>
                <w:sz w:val="21"/>
                <w:szCs w:val="21"/>
                <w:color w:val="auto"/>
              </w:rPr>
            </w:pPr>
          </w:p>
        </w:tc>
        <w:tc>
          <w:tcPr>
            <w:tcW w:w="720" w:type="dxa"/>
            <w:vAlign w:val="bottom"/>
            <w:tcBorders>
              <w:top w:val="single" w:sz="8" w:color="auto"/>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740" w:type="dxa"/>
            <w:vAlign w:val="bottom"/>
            <w:tcBorders>
              <w:top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spacing w:after="0"/>
              <w:rPr>
                <w:sz w:val="21"/>
                <w:szCs w:val="21"/>
                <w:color w:val="auto"/>
              </w:rPr>
            </w:pPr>
          </w:p>
        </w:tc>
        <w:tc>
          <w:tcPr>
            <w:tcW w:w="800" w:type="dxa"/>
            <w:vAlign w:val="bottom"/>
            <w:tcBorders>
              <w:top w:val="single" w:sz="8" w:color="auto"/>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80" w:type="dxa"/>
            <w:vAlign w:val="bottom"/>
            <w:tcBorders>
              <w:top w:val="single" w:sz="8" w:color="auto"/>
            </w:tcBorders>
            <w:shd w:val="clear" w:color="auto" w:fill="CFF0FC"/>
          </w:tcPr>
          <w:p>
            <w:pPr>
              <w:spacing w:after="0"/>
              <w:rPr>
                <w:sz w:val="21"/>
                <w:szCs w:val="21"/>
                <w:color w:val="auto"/>
              </w:rPr>
            </w:pPr>
          </w:p>
        </w:tc>
        <w:tc>
          <w:tcPr>
            <w:tcW w:w="62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78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6"/>
        </w:trPr>
        <w:tc>
          <w:tcPr>
            <w:tcW w:w="3480" w:type="dxa"/>
            <w:vAlign w:val="bottom"/>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(18,426 )</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(25,548 )</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7,122</w:t>
            </w:r>
          </w:p>
        </w:tc>
        <w:tc>
          <w:tcPr>
            <w:tcW w:w="26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(55,944 )</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(45,444 )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(10,500 )</w:t>
            </w:r>
          </w:p>
        </w:tc>
      </w:tr>
      <w:tr>
        <w:trPr>
          <w:trHeight w:val="20"/>
        </w:trPr>
        <w:tc>
          <w:tcPr>
            <w:tcW w:w="34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-853440</wp:posOffset>
            </wp:positionV>
            <wp:extent cx="154305"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-853440</wp:posOffset>
            </wp:positionV>
            <wp:extent cx="137160"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-853440</wp:posOffset>
            </wp:positionV>
            <wp:extent cx="154305"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-853440</wp:posOffset>
            </wp:positionV>
            <wp:extent cx="137160"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-853440</wp:posOffset>
            </wp:positionV>
            <wp:extent cx="137160"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-853440</wp:posOffset>
            </wp:positionV>
            <wp:extent cx="60325"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31" w:lineRule="exact"/>
        <w:rPr>
          <w:sz w:val="20"/>
          <w:szCs w:val="20"/>
          <w:color w:val="auto"/>
        </w:rPr>
      </w:pPr>
    </w:p>
    <w:p>
      <w:pPr>
        <w:ind w:right="20" w:firstLine="749"/>
        <w:spacing w:after="0" w:line="270" w:lineRule="auto"/>
        <w:rPr>
          <w:sz w:val="20"/>
          <w:szCs w:val="20"/>
          <w:color w:val="auto"/>
        </w:rPr>
      </w:pPr>
      <w:r>
        <w:rPr>
          <w:rFonts w:ascii="Arial" w:cs="Arial" w:eastAsia="Arial" w:hAnsi="Arial"/>
          <w:sz w:val="18"/>
          <w:szCs w:val="18"/>
          <w:color w:val="auto"/>
        </w:rPr>
        <w:t xml:space="preserve">Research and development expenses were $12.9 million for the three months ended September 30, 2021, compared to $8.8 million for the same period in 2020, an increase of $4.1 million. The increase was primarily driven by an increase in external expenses related to the advancement of our ORIC-101 program and our other product candidates of $2.8 million, as well as higher personnel costs, including additional non-cash stock-based compensation of $0.7 million. For the nine months ended September 30, 2021, research and development expenses were $40.1 million compared to $23.8 million for the same period in 2020, an increase of $16.3 million. This increase was primarily driven by </w:t>
      </w:r>
      <w:r>
        <w:rPr>
          <w:rFonts w:ascii="Arial" w:cs="Arial" w:eastAsia="Arial" w:hAnsi="Arial"/>
          <w:sz w:val="18"/>
          <w:szCs w:val="18"/>
          <w:b w:val="1"/>
          <w:bCs w:val="1"/>
          <w:color w:val="auto"/>
        </w:rPr>
        <w:t>$</w:t>
      </w:r>
      <w:r>
        <w:rPr>
          <w:rFonts w:ascii="Arial" w:cs="Arial" w:eastAsia="Arial" w:hAnsi="Arial"/>
          <w:sz w:val="18"/>
          <w:szCs w:val="18"/>
          <w:color w:val="auto"/>
        </w:rPr>
        <w:t>12.8 million of additional external costs related to the advancement of ORIC-101 program and our other product candidates, as well as higher personnel costs, including additional non-cash stock-based compensation of $2.2 million.</w:t>
      </w:r>
    </w:p>
    <w:p>
      <w:pPr>
        <w:spacing w:after="0" w:line="84" w:lineRule="exact"/>
        <w:rPr>
          <w:sz w:val="20"/>
          <w:szCs w:val="20"/>
          <w:color w:val="auto"/>
        </w:rPr>
      </w:pPr>
    </w:p>
    <w:p>
      <w:pPr>
        <w:ind w:right="820" w:firstLine="749"/>
        <w:spacing w:after="0" w:line="293" w:lineRule="auto"/>
        <w:rPr>
          <w:sz w:val="20"/>
          <w:szCs w:val="20"/>
          <w:color w:val="auto"/>
        </w:rPr>
      </w:pPr>
      <w:r>
        <w:rPr>
          <w:rFonts w:ascii="Arial" w:cs="Arial" w:eastAsia="Arial" w:hAnsi="Arial"/>
          <w:sz w:val="18"/>
          <w:szCs w:val="18"/>
          <w:color w:val="auto"/>
        </w:rPr>
        <w:t>The following table summarizes our external and internal costs for the three and nine months ended September 30, 2021 and 2020 (in thousands):</w:t>
      </w:r>
    </w:p>
    <w:p>
      <w:pPr>
        <w:spacing w:after="0" w:line="229" w:lineRule="exact"/>
        <w:rPr>
          <w:sz w:val="20"/>
          <w:szCs w:val="20"/>
          <w:color w:val="auto"/>
        </w:rPr>
      </w:pPr>
    </w:p>
    <w:tbl>
      <w:tblPr>
        <w:tblLayout w:type="fixed"/>
        <w:tblInd w:w="300" w:type="dxa"/>
        <w:tblCellMar>
          <w:top w:w="0" w:type="dxa"/>
          <w:left w:w="0" w:type="dxa"/>
          <w:bottom w:w="0" w:type="dxa"/>
          <w:right w:w="0" w:type="dxa"/>
        </w:tblCellMar>
      </w:tblPr>
      <w:tr>
        <w:trPr>
          <w:trHeight w:val="175"/>
        </w:trPr>
        <w:tc>
          <w:tcPr>
            <w:tcW w:w="4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80" w:type="dxa"/>
            <w:vAlign w:val="bottom"/>
            <w:gridSpan w:val="4"/>
          </w:tcPr>
          <w:p>
            <w:pPr>
              <w:jc w:val="right"/>
              <w:ind w:right="253"/>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gridSpan w:val="4"/>
          </w:tcPr>
          <w:p>
            <w:pPr>
              <w:ind w:left="180"/>
              <w:spacing w:after="0"/>
              <w:rPr>
                <w:sz w:val="20"/>
                <w:szCs w:val="20"/>
                <w:color w:val="auto"/>
              </w:rPr>
            </w:pPr>
            <w:r>
              <w:rPr>
                <w:rFonts w:ascii="Arial" w:cs="Arial" w:eastAsia="Arial" w:hAnsi="Arial"/>
                <w:sz w:val="14"/>
                <w:szCs w:val="14"/>
                <w:b w:val="1"/>
                <w:bCs w:val="1"/>
                <w:color w:val="auto"/>
              </w:rPr>
              <w:t>Nine Months Ended</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9"/>
        </w:trPr>
        <w:tc>
          <w:tcPr>
            <w:tcW w:w="40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4"/>
          </w:tcPr>
          <w:p>
            <w:pPr>
              <w:jc w:val="right"/>
              <w:ind w:right="473"/>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78"/>
        </w:trPr>
        <w:tc>
          <w:tcPr>
            <w:tcW w:w="4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ind w:right="217"/>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24"/>
                <w:szCs w:val="24"/>
                <w:color w:val="auto"/>
              </w:rPr>
            </w:pPr>
          </w:p>
        </w:tc>
        <w:tc>
          <w:tcPr>
            <w:tcW w:w="680" w:type="dxa"/>
            <w:vAlign w:val="bottom"/>
          </w:tcPr>
          <w:p>
            <w:pPr>
              <w:ind w:left="100"/>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ind w:right="113"/>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24"/>
                <w:szCs w:val="24"/>
                <w:color w:val="auto"/>
              </w:rPr>
            </w:pPr>
          </w:p>
        </w:tc>
      </w:tr>
      <w:tr>
        <w:trPr>
          <w:trHeight w:val="256"/>
        </w:trPr>
        <w:tc>
          <w:tcPr>
            <w:tcW w:w="4020" w:type="dxa"/>
            <w:vAlign w:val="bottom"/>
            <w:shd w:val="clear" w:color="auto" w:fill="CFF0FC"/>
          </w:tcPr>
          <w:p>
            <w:pPr>
              <w:ind w:left="100"/>
              <w:spacing w:after="0"/>
              <w:rPr>
                <w:sz w:val="20"/>
                <w:szCs w:val="20"/>
                <w:color w:val="auto"/>
              </w:rPr>
            </w:pPr>
            <w:r>
              <w:rPr>
                <w:rFonts w:ascii="Arial" w:cs="Arial" w:eastAsia="Arial" w:hAnsi="Arial"/>
                <w:sz w:val="18"/>
                <w:szCs w:val="18"/>
                <w:color w:val="auto"/>
              </w:rPr>
              <w:t>External costs:</w:t>
            </w:r>
          </w:p>
        </w:tc>
        <w:tc>
          <w:tcPr>
            <w:tcW w:w="220" w:type="dxa"/>
            <w:vAlign w:val="bottom"/>
            <w:tcBorders>
              <w:top w:val="single" w:sz="8" w:color="auto"/>
            </w:tcBorders>
            <w:shd w:val="clear" w:color="auto" w:fill="CFF0FC"/>
          </w:tcPr>
          <w:p>
            <w:pPr>
              <w:spacing w:after="0"/>
              <w:rPr>
                <w:sz w:val="22"/>
                <w:szCs w:val="22"/>
                <w:color w:val="auto"/>
              </w:rPr>
            </w:pPr>
          </w:p>
        </w:tc>
        <w:tc>
          <w:tcPr>
            <w:tcW w:w="700" w:type="dxa"/>
            <w:vAlign w:val="bottom"/>
            <w:tcBorders>
              <w:top w:val="single" w:sz="8" w:color="auto"/>
            </w:tcBorders>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200" w:type="dxa"/>
            <w:vAlign w:val="bottom"/>
            <w:tcBorders>
              <w:top w:val="single" w:sz="8" w:color="auto"/>
            </w:tcBorders>
            <w:shd w:val="clear" w:color="auto" w:fill="CFF0FC"/>
          </w:tcPr>
          <w:p>
            <w:pPr>
              <w:spacing w:after="0"/>
              <w:rPr>
                <w:sz w:val="22"/>
                <w:szCs w:val="22"/>
                <w:color w:val="auto"/>
              </w:rPr>
            </w:pPr>
          </w:p>
        </w:tc>
        <w:tc>
          <w:tcPr>
            <w:tcW w:w="700" w:type="dxa"/>
            <w:vAlign w:val="bottom"/>
            <w:tcBorders>
              <w:top w:val="single" w:sz="8" w:color="auto"/>
            </w:tcBorders>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60" w:type="dxa"/>
            <w:vAlign w:val="bottom"/>
            <w:tcBorders>
              <w:top w:val="single" w:sz="8" w:color="auto"/>
            </w:tcBorders>
            <w:shd w:val="clear" w:color="auto" w:fill="CFF0FC"/>
          </w:tcPr>
          <w:p>
            <w:pPr>
              <w:spacing w:after="0"/>
              <w:rPr>
                <w:sz w:val="22"/>
                <w:szCs w:val="22"/>
                <w:color w:val="auto"/>
              </w:rPr>
            </w:pPr>
          </w:p>
        </w:tc>
        <w:tc>
          <w:tcPr>
            <w:tcW w:w="740" w:type="dxa"/>
            <w:vAlign w:val="bottom"/>
            <w:tcBorders>
              <w:top w:val="single" w:sz="8" w:color="auto"/>
            </w:tcBorders>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20" w:type="dxa"/>
            <w:vAlign w:val="bottom"/>
            <w:tcBorders>
              <w:top w:val="single" w:sz="8" w:color="auto"/>
            </w:tcBorders>
            <w:shd w:val="clear" w:color="auto" w:fill="CFF0FC"/>
          </w:tcPr>
          <w:p>
            <w:pPr>
              <w:spacing w:after="0"/>
              <w:rPr>
                <w:sz w:val="22"/>
                <w:szCs w:val="22"/>
                <w:color w:val="auto"/>
              </w:rPr>
            </w:pPr>
          </w:p>
        </w:tc>
        <w:tc>
          <w:tcPr>
            <w:tcW w:w="680" w:type="dxa"/>
            <w:vAlign w:val="bottom"/>
            <w:tcBorders>
              <w:top w:val="single" w:sz="8" w:color="auto"/>
            </w:tcBorders>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00" w:type="dxa"/>
            <w:vAlign w:val="bottom"/>
            <w:tcBorders>
              <w:top w:val="single" w:sz="8" w:color="auto"/>
            </w:tcBorders>
            <w:shd w:val="clear" w:color="auto" w:fill="CFF0FC"/>
          </w:tcPr>
          <w:p>
            <w:pPr>
              <w:spacing w:after="0"/>
              <w:rPr>
                <w:sz w:val="22"/>
                <w:szCs w:val="22"/>
                <w:color w:val="auto"/>
              </w:rPr>
            </w:pPr>
          </w:p>
        </w:tc>
        <w:tc>
          <w:tcPr>
            <w:tcW w:w="680" w:type="dxa"/>
            <w:vAlign w:val="bottom"/>
            <w:tcBorders>
              <w:top w:val="single" w:sz="8" w:color="auto"/>
            </w:tcBorders>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40" w:type="dxa"/>
            <w:vAlign w:val="bottom"/>
            <w:tcBorders>
              <w:top w:val="single" w:sz="8" w:color="auto"/>
            </w:tcBorders>
            <w:shd w:val="clear" w:color="auto" w:fill="CFF0FC"/>
          </w:tcPr>
          <w:p>
            <w:pPr>
              <w:spacing w:after="0"/>
              <w:rPr>
                <w:sz w:val="22"/>
                <w:szCs w:val="22"/>
                <w:color w:val="auto"/>
              </w:rPr>
            </w:pPr>
          </w:p>
        </w:tc>
        <w:tc>
          <w:tcPr>
            <w:tcW w:w="740" w:type="dxa"/>
            <w:vAlign w:val="bottom"/>
            <w:tcBorders>
              <w:top w:val="single" w:sz="8" w:color="auto"/>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4020" w:type="dxa"/>
            <w:vAlign w:val="bottom"/>
          </w:tcPr>
          <w:p>
            <w:pPr>
              <w:ind w:left="280"/>
              <w:spacing w:after="0"/>
              <w:rPr>
                <w:sz w:val="20"/>
                <w:szCs w:val="20"/>
                <w:color w:val="auto"/>
              </w:rPr>
            </w:pPr>
            <w:r>
              <w:rPr>
                <w:rFonts w:ascii="Arial" w:cs="Arial" w:eastAsia="Arial" w:hAnsi="Arial"/>
                <w:sz w:val="18"/>
                <w:szCs w:val="18"/>
                <w:color w:val="auto"/>
              </w:rPr>
              <w:t>ORIC-101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3,463</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2,281</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1,182</w:t>
            </w:r>
          </w:p>
        </w:tc>
        <w:tc>
          <w:tcPr>
            <w:tcW w:w="24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ind w:left="180"/>
              <w:spacing w:after="0"/>
              <w:rPr>
                <w:sz w:val="20"/>
                <w:szCs w:val="20"/>
                <w:color w:val="auto"/>
              </w:rPr>
            </w:pPr>
            <w:r>
              <w:rPr>
                <w:rFonts w:ascii="Arial" w:cs="Arial" w:eastAsia="Arial" w:hAnsi="Arial"/>
                <w:sz w:val="18"/>
                <w:szCs w:val="18"/>
                <w:color w:val="auto"/>
                <w:w w:val="87"/>
              </w:rPr>
              <w:t>10,567</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5,046</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5,521</w:t>
            </w:r>
          </w:p>
        </w:tc>
        <w:tc>
          <w:tcPr>
            <w:tcW w:w="100" w:type="dxa"/>
            <w:vAlign w:val="bottom"/>
          </w:tcPr>
          <w:p>
            <w:pPr>
              <w:spacing w:after="0"/>
              <w:rPr>
                <w:sz w:val="21"/>
                <w:szCs w:val="21"/>
                <w:color w:val="auto"/>
              </w:rPr>
            </w:pPr>
          </w:p>
        </w:tc>
      </w:tr>
      <w:tr>
        <w:trPr>
          <w:trHeight w:val="257"/>
        </w:trPr>
        <w:tc>
          <w:tcPr>
            <w:tcW w:w="40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Preclinical and other unallocated costs</w:t>
            </w:r>
          </w:p>
        </w:tc>
        <w:tc>
          <w:tcPr>
            <w:tcW w:w="220" w:type="dxa"/>
            <w:vAlign w:val="bottom"/>
            <w:tcBorders>
              <w:bottom w:val="single" w:sz="8" w:color="auto"/>
            </w:tcBorders>
            <w:shd w:val="clear" w:color="auto" w:fill="CFF0FC"/>
          </w:tcPr>
          <w:p>
            <w:pPr>
              <w:spacing w:after="0"/>
              <w:rPr>
                <w:sz w:val="22"/>
                <w:szCs w:val="2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4,919</w:t>
            </w:r>
          </w:p>
        </w:tc>
        <w:tc>
          <w:tcPr>
            <w:tcW w:w="18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3,272</w:t>
            </w:r>
          </w:p>
        </w:tc>
        <w:tc>
          <w:tcPr>
            <w:tcW w:w="26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1,647</w:t>
            </w:r>
          </w:p>
        </w:tc>
        <w:tc>
          <w:tcPr>
            <w:tcW w:w="2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680" w:type="dxa"/>
            <w:vAlign w:val="bottom"/>
            <w:tcBorders>
              <w:bottom w:val="single" w:sz="8" w:color="auto"/>
            </w:tcBorders>
            <w:shd w:val="clear" w:color="auto" w:fill="CFF0FC"/>
          </w:tcPr>
          <w:p>
            <w:pPr>
              <w:ind w:left="180"/>
              <w:spacing w:after="0"/>
              <w:rPr>
                <w:sz w:val="20"/>
                <w:szCs w:val="20"/>
                <w:color w:val="auto"/>
              </w:rPr>
            </w:pPr>
            <w:r>
              <w:rPr>
                <w:rFonts w:ascii="Arial" w:cs="Arial" w:eastAsia="Arial" w:hAnsi="Arial"/>
                <w:sz w:val="18"/>
                <w:szCs w:val="18"/>
                <w:color w:val="auto"/>
                <w:w w:val="87"/>
              </w:rPr>
              <w:t>16,283</w:t>
            </w:r>
          </w:p>
        </w:tc>
        <w:tc>
          <w:tcPr>
            <w:tcW w:w="2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8,986</w:t>
            </w:r>
          </w:p>
        </w:tc>
        <w:tc>
          <w:tcPr>
            <w:tcW w:w="2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7,297</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4020" w:type="dxa"/>
            <w:vAlign w:val="bottom"/>
          </w:tcPr>
          <w:p>
            <w:pPr>
              <w:ind w:left="360"/>
              <w:spacing w:after="0"/>
              <w:rPr>
                <w:sz w:val="20"/>
                <w:szCs w:val="20"/>
                <w:color w:val="auto"/>
              </w:rPr>
            </w:pPr>
            <w:r>
              <w:rPr>
                <w:rFonts w:ascii="Arial" w:cs="Arial" w:eastAsia="Arial" w:hAnsi="Arial"/>
                <w:sz w:val="18"/>
                <w:szCs w:val="18"/>
                <w:color w:val="auto"/>
              </w:rPr>
              <w:t>Total external costs</w:t>
            </w: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8,382</w:t>
            </w:r>
          </w:p>
        </w:tc>
        <w:tc>
          <w:tcPr>
            <w:tcW w:w="1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5,553</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2,829</w:t>
            </w: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87"/>
              </w:rPr>
              <w:t>26,850</w:t>
            </w: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14,032</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12,818</w:t>
            </w:r>
          </w:p>
        </w:tc>
        <w:tc>
          <w:tcPr>
            <w:tcW w:w="100" w:type="dxa"/>
            <w:vAlign w:val="bottom"/>
          </w:tcPr>
          <w:p>
            <w:pPr>
              <w:spacing w:after="0"/>
              <w:rPr>
                <w:sz w:val="21"/>
                <w:szCs w:val="21"/>
                <w:color w:val="auto"/>
              </w:rPr>
            </w:pPr>
          </w:p>
        </w:tc>
      </w:tr>
      <w:tr>
        <w:trPr>
          <w:trHeight w:val="250"/>
        </w:trPr>
        <w:tc>
          <w:tcPr>
            <w:tcW w:w="402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Internal costs</w:t>
            </w:r>
          </w:p>
        </w:tc>
        <w:tc>
          <w:tcPr>
            <w:tcW w:w="22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4,517</w:t>
            </w:r>
          </w:p>
        </w:tc>
        <w:tc>
          <w:tcPr>
            <w:tcW w:w="1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3,278</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1,239</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ind w:left="180"/>
              <w:spacing w:after="0"/>
              <w:rPr>
                <w:sz w:val="20"/>
                <w:szCs w:val="20"/>
                <w:color w:val="auto"/>
              </w:rPr>
            </w:pPr>
            <w:r>
              <w:rPr>
                <w:rFonts w:ascii="Arial" w:cs="Arial" w:eastAsia="Arial" w:hAnsi="Arial"/>
                <w:sz w:val="18"/>
                <w:szCs w:val="18"/>
                <w:color w:val="auto"/>
                <w:w w:val="87"/>
              </w:rPr>
              <w:t>13,263</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9,776</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6"/>
        </w:trPr>
        <w:tc>
          <w:tcPr>
            <w:tcW w:w="4020" w:type="dxa"/>
            <w:vAlign w:val="bottom"/>
          </w:tcPr>
          <w:p>
            <w:pPr>
              <w:ind w:left="100"/>
              <w:spacing w:after="0"/>
              <w:rPr>
                <w:sz w:val="20"/>
                <w:szCs w:val="20"/>
                <w:color w:val="auto"/>
              </w:rPr>
            </w:pPr>
            <w:r>
              <w:rPr>
                <w:rFonts w:ascii="Arial" w:cs="Arial" w:eastAsia="Arial" w:hAnsi="Arial"/>
                <w:sz w:val="18"/>
                <w:szCs w:val="18"/>
                <w:color w:val="auto"/>
              </w:rPr>
              <w:t>Total research and development expenses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12,899</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8,831</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4,068</w:t>
            </w:r>
          </w:p>
        </w:tc>
        <w:tc>
          <w:tcPr>
            <w:tcW w:w="24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ind w:left="180"/>
              <w:spacing w:after="0"/>
              <w:rPr>
                <w:sz w:val="20"/>
                <w:szCs w:val="20"/>
                <w:color w:val="auto"/>
              </w:rPr>
            </w:pPr>
            <w:r>
              <w:rPr>
                <w:rFonts w:ascii="Arial" w:cs="Arial" w:eastAsia="Arial" w:hAnsi="Arial"/>
                <w:sz w:val="18"/>
                <w:szCs w:val="18"/>
                <w:color w:val="auto"/>
                <w:w w:val="87"/>
              </w:rPr>
              <w:t>40,113</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23,808</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16,305</w:t>
            </w:r>
          </w:p>
        </w:tc>
        <w:tc>
          <w:tcPr>
            <w:tcW w:w="100" w:type="dxa"/>
            <w:vAlign w:val="bottom"/>
          </w:tcPr>
          <w:p>
            <w:pPr>
              <w:spacing w:after="0"/>
              <w:rPr>
                <w:sz w:val="22"/>
                <w:szCs w:val="22"/>
                <w:color w:val="auto"/>
              </w:rPr>
            </w:pPr>
          </w:p>
        </w:tc>
      </w:tr>
      <w:tr>
        <w:trPr>
          <w:trHeight w:val="20"/>
        </w:trPr>
        <w:tc>
          <w:tcPr>
            <w:tcW w:w="40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-536575</wp:posOffset>
            </wp:positionV>
            <wp:extent cx="111760"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-536575</wp:posOffset>
            </wp:positionV>
            <wp:extent cx="163195"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-536575</wp:posOffset>
            </wp:positionV>
            <wp:extent cx="154305"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-536575</wp:posOffset>
            </wp:positionV>
            <wp:extent cx="146050"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-536575</wp:posOffset>
            </wp:positionV>
            <wp:extent cx="145415" cy="5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-536575</wp:posOffset>
            </wp:positionV>
            <wp:extent cx="60325"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-193675</wp:posOffset>
            </wp:positionV>
            <wp:extent cx="111760" cy="5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-193675</wp:posOffset>
            </wp:positionV>
            <wp:extent cx="163195" cy="5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-193675</wp:posOffset>
            </wp:positionV>
            <wp:extent cx="154305"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-193675</wp:posOffset>
            </wp:positionV>
            <wp:extent cx="146050"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-193675</wp:posOffset>
            </wp:positionV>
            <wp:extent cx="145415"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-193675</wp:posOffset>
            </wp:positionV>
            <wp:extent cx="60325" cy="5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249" w:lineRule="exact"/>
        <w:rPr>
          <w:sz w:val="20"/>
          <w:szCs w:val="20"/>
          <w:color w:val="auto"/>
        </w:rPr>
      </w:pPr>
    </w:p>
    <w:p>
      <w:pPr>
        <w:ind w:right="120" w:firstLine="749"/>
        <w:spacing w:after="0" w:line="279" w:lineRule="auto"/>
        <w:rPr>
          <w:sz w:val="20"/>
          <w:szCs w:val="20"/>
          <w:color w:val="auto"/>
        </w:rPr>
      </w:pPr>
      <w:r>
        <w:rPr>
          <w:rFonts w:ascii="Arial" w:cs="Arial" w:eastAsia="Arial" w:hAnsi="Arial"/>
          <w:sz w:val="18"/>
          <w:szCs w:val="18"/>
          <w:color w:val="auto"/>
        </w:rPr>
        <w:t>We expect our research and development expenses to increase substantially for the foreseeable future as we continue to invest in research and development activities related to developing our product candidates, including investments in manufacturing, as our programs advance into later stages of development and as we conduct additional clinical trials.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Acquired In-Process Research and Development Expenses</w:t>
      </w:r>
    </w:p>
    <w:p>
      <w:pPr>
        <w:spacing w:after="0" w:line="131" w:lineRule="exact"/>
        <w:rPr>
          <w:sz w:val="20"/>
          <w:szCs w:val="20"/>
          <w:color w:val="auto"/>
        </w:rPr>
      </w:pPr>
    </w:p>
    <w:p>
      <w:pPr>
        <w:ind w:firstLine="749"/>
        <w:spacing w:after="0" w:line="275" w:lineRule="auto"/>
        <w:rPr>
          <w:sz w:val="20"/>
          <w:szCs w:val="20"/>
          <w:color w:val="auto"/>
        </w:rPr>
      </w:pPr>
      <w:r>
        <w:rPr>
          <w:rFonts w:ascii="Arial" w:cs="Arial" w:eastAsia="Arial" w:hAnsi="Arial"/>
          <w:sz w:val="18"/>
          <w:szCs w:val="18"/>
          <w:color w:val="auto"/>
        </w:rPr>
        <w:t>In August 2020, we acquired the rights to certain patents and patent applications know-how from Mirati under the Mirati License Agreement. As the asset was in early development at the time the license was acquired, we concluded that there was no alternative future use for the asset and recorded a charge at the closing of the transaction for the full $13.0 million value assigned to the shares issued. For the three and nine months ended September 30, 2021, we had no similar charges.</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31" w:lineRule="exact"/>
        <w:rPr>
          <w:sz w:val="20"/>
          <w:szCs w:val="20"/>
          <w:color w:val="auto"/>
        </w:rPr>
      </w:pPr>
    </w:p>
    <w:p>
      <w:pPr>
        <w:ind w:right="200" w:firstLine="749"/>
        <w:spacing w:after="0" w:line="292" w:lineRule="auto"/>
        <w:rPr>
          <w:sz w:val="20"/>
          <w:szCs w:val="20"/>
          <w:color w:val="auto"/>
        </w:rPr>
      </w:pPr>
      <w:r>
        <w:rPr>
          <w:rFonts w:ascii="Arial" w:cs="Arial" w:eastAsia="Arial" w:hAnsi="Arial"/>
          <w:sz w:val="17"/>
          <w:szCs w:val="17"/>
          <w:color w:val="auto"/>
        </w:rPr>
        <w:t>General and administrative expenses were $5.6 million for the three months ended September 30, 2021, compared to $3.8 million for the same period in 2020, an increase of $1.8 million. The increase was primarily due to higher personnel costs, including additional non-cash stock-based compensation of $1.1 million. For the nine months ended September 30, 2021, general and administrative expenses were $16.0 million compared to $9.1 million for the same period in 2020, an increase of $6.8 million. The increase was primarily due to higher personnel costs, including additional non-cash stock-based compensation of $3.6 million, and higher related costs to operate as a public company.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31" w:lineRule="exact"/>
        <w:rPr>
          <w:sz w:val="20"/>
          <w:szCs w:val="20"/>
          <w:color w:val="auto"/>
        </w:rPr>
      </w:pPr>
    </w:p>
    <w:p>
      <w:pPr>
        <w:ind w:right="20" w:firstLine="749"/>
        <w:spacing w:after="0" w:line="272" w:lineRule="auto"/>
        <w:rPr>
          <w:sz w:val="20"/>
          <w:szCs w:val="20"/>
          <w:color w:val="auto"/>
        </w:rPr>
      </w:pPr>
      <w:r>
        <w:rPr>
          <w:rFonts w:ascii="Arial" w:cs="Arial" w:eastAsia="Arial" w:hAnsi="Arial"/>
          <w:sz w:val="18"/>
          <w:szCs w:val="18"/>
          <w:color w:val="auto"/>
        </w:rPr>
        <w:t>On May 6, 2021, we entered into an ATM sales agreement with Jefferies LLC as our sales agent, under which we may offer and sell from time to time up to $150 million of our common stock in negotiated transactions or transactions that are deemed to be an ATM offering. On July 8, 2021, we raised gross proceeds of $50.0 million, before deducting commissions and other offering expenses, through the sale of 2,597,402 shares in an ATM offering, with participation based on unsolicited interest received from a healthcare specialist fund. We sold such shares at a purchase price per share of $19.25, a premium to the market price at the time of sale.</w:t>
      </w:r>
    </w:p>
    <w:p>
      <w:pPr>
        <w:spacing w:after="0" w:line="83" w:lineRule="exact"/>
        <w:rPr>
          <w:sz w:val="20"/>
          <w:szCs w:val="20"/>
          <w:color w:val="auto"/>
        </w:rPr>
      </w:pPr>
    </w:p>
    <w:p>
      <w:pPr>
        <w:ind w:right="240" w:firstLine="749"/>
        <w:spacing w:after="0" w:line="279" w:lineRule="auto"/>
        <w:rPr>
          <w:sz w:val="20"/>
          <w:szCs w:val="20"/>
          <w:color w:val="auto"/>
        </w:rPr>
      </w:pPr>
      <w:r>
        <w:rPr>
          <w:rFonts w:ascii="Arial" w:cs="Arial" w:eastAsia="Arial" w:hAnsi="Arial"/>
          <w:sz w:val="18"/>
          <w:szCs w:val="18"/>
          <w:color w:val="auto"/>
        </w:rPr>
        <w:t>On November 17, 2020, we completed our follow-on offering of our common stock. In connection with our follow-on offering, we issued and sold 5,796,000 shares of our common stock at a price to the public of $23.00 per share, resulting in gross proceeds of $133.3 million before deducting underwriting discounts and commissions and other offering expenses.</w:t>
      </w:r>
    </w:p>
    <w:p>
      <w:pPr>
        <w:spacing w:after="0" w:line="75" w:lineRule="exact"/>
        <w:rPr>
          <w:sz w:val="20"/>
          <w:szCs w:val="20"/>
          <w:color w:val="auto"/>
        </w:rPr>
      </w:pPr>
    </w:p>
    <w:p>
      <w:pPr>
        <w:jc w:val="both"/>
        <w:ind w:right="200" w:firstLine="749"/>
        <w:spacing w:after="0" w:line="279" w:lineRule="auto"/>
        <w:rPr>
          <w:sz w:val="20"/>
          <w:szCs w:val="20"/>
          <w:color w:val="auto"/>
        </w:rPr>
      </w:pPr>
      <w:r>
        <w:rPr>
          <w:rFonts w:ascii="Arial" w:cs="Arial" w:eastAsia="Arial" w:hAnsi="Arial"/>
          <w:sz w:val="18"/>
          <w:szCs w:val="18"/>
          <w:color w:val="auto"/>
        </w:rPr>
        <w:t>On April 28, 2020, we completed our IPO. In connection with our IPO, we issued and sold 8,625,000 shares of our common stock at a price to the public of $16.00 per share resulting in gross proceeds of $138.0 million before deducting underwriting discounts and commissions and other offering expenses.</w:t>
      </w:r>
    </w:p>
    <w:p>
      <w:pPr>
        <w:spacing w:after="0" w:line="75" w:lineRule="exact"/>
        <w:rPr>
          <w:sz w:val="20"/>
          <w:szCs w:val="20"/>
          <w:color w:val="auto"/>
        </w:rPr>
      </w:pPr>
    </w:p>
    <w:p>
      <w:pPr>
        <w:ind w:right="80" w:firstLine="749"/>
        <w:spacing w:after="0" w:line="293" w:lineRule="auto"/>
        <w:rPr>
          <w:sz w:val="20"/>
          <w:szCs w:val="20"/>
          <w:color w:val="auto"/>
        </w:rPr>
      </w:pPr>
      <w:r>
        <w:rPr>
          <w:rFonts w:ascii="Arial" w:cs="Arial" w:eastAsia="Arial" w:hAnsi="Arial"/>
          <w:sz w:val="18"/>
          <w:szCs w:val="18"/>
          <w:color w:val="auto"/>
        </w:rPr>
        <w:t>Prior to our IPO, we funded our operations primarily with proceeds from the sale of convertible preferred stock resulting in total net proceeds of approximately $178.1 million.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31" w:lineRule="exact"/>
        <w:rPr>
          <w:sz w:val="20"/>
          <w:szCs w:val="20"/>
          <w:color w:val="auto"/>
        </w:rPr>
      </w:pPr>
    </w:p>
    <w:p>
      <w:pPr>
        <w:ind w:right="20" w:firstLine="749"/>
        <w:spacing w:after="0" w:line="290" w:lineRule="auto"/>
        <w:rPr>
          <w:sz w:val="20"/>
          <w:szCs w:val="20"/>
          <w:color w:val="auto"/>
        </w:rPr>
      </w:pPr>
      <w:r>
        <w:rPr>
          <w:rFonts w:ascii="Arial" w:cs="Arial" w:eastAsia="Arial" w:hAnsi="Arial"/>
          <w:sz w:val="17"/>
          <w:szCs w:val="17"/>
          <w:color w:val="auto"/>
        </w:rPr>
        <w:t>To date, we have not generated any revenue. We do not expect to generate any meaningful revenue unless and until we obtain regulatory approval of and commercialize any of our product candidates, and we do not know when, or if at all, that will occur. We will continue to require substantial additional capital to develop our product candidates and fund operations for the foreseeable future. Moreover, we expect our expenses to increase in connection with our ongoing activities, particularly as we continue the development of and seek regulatory approvals for our product candidates. Further, we are subject to all the risks incident in the development of new pharmaceutical products, and we may encounter unforeseen expenses, difficulties, complications, delays and other unknown factors that may harm our business. Our expenses will increase if, and as, we:</w:t>
      </w:r>
    </w:p>
    <w:p>
      <w:pPr>
        <w:spacing w:after="0" w:line="68"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advance our product candidates through preclinical and clinical development;</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seek regulatory approvals for any product candidates that successfully complete clinical trials;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seek to discover and develop additional product candidates;</w:t>
      </w:r>
    </w:p>
    <w:p>
      <w:pPr>
        <w:spacing w:after="0" w:line="131" w:lineRule="exact"/>
        <w:rPr>
          <w:sz w:val="20"/>
          <w:szCs w:val="20"/>
          <w:color w:val="auto"/>
        </w:rPr>
      </w:pPr>
    </w:p>
    <w:p>
      <w:pPr>
        <w:ind w:left="1200" w:right="360"/>
        <w:spacing w:after="0" w:line="293" w:lineRule="auto"/>
        <w:rPr>
          <w:sz w:val="20"/>
          <w:szCs w:val="20"/>
          <w:color w:val="auto"/>
        </w:rPr>
      </w:pPr>
      <w:r>
        <w:rPr>
          <w:rFonts w:ascii="Arial" w:cs="Arial" w:eastAsia="Arial" w:hAnsi="Arial"/>
          <w:sz w:val="18"/>
          <w:szCs w:val="18"/>
          <w:color w:val="auto"/>
        </w:rPr>
        <w:t>establish a sales, marketing, medical affairs and distribution infrastructure to commercialize any product candidates for which we may obtain marketing approval and intend to commercialize on our own or jointly;</w:t>
      </w:r>
    </w:p>
    <w:p>
      <w:pPr>
        <w:spacing w:after="0" w:line="62" w:lineRule="exact"/>
        <w:rPr>
          <w:sz w:val="20"/>
          <w:szCs w:val="20"/>
          <w:color w:val="auto"/>
        </w:rPr>
      </w:pPr>
    </w:p>
    <w:p>
      <w:pPr>
        <w:ind w:left="1200" w:right="480"/>
        <w:spacing w:after="0" w:line="293" w:lineRule="auto"/>
        <w:rPr>
          <w:sz w:val="20"/>
          <w:szCs w:val="20"/>
          <w:color w:val="auto"/>
        </w:rPr>
      </w:pPr>
      <w:r>
        <w:rPr>
          <w:rFonts w:ascii="Arial" w:cs="Arial" w:eastAsia="Arial" w:hAnsi="Arial"/>
          <w:sz w:val="18"/>
          <w:szCs w:val="18"/>
          <w:color w:val="auto"/>
        </w:rPr>
        <w:t>expand our operational, financial and management systems and increase personnel, including personnel to support our development, manufacturing and commercialization efforts and our operations as a public company;</w:t>
      </w:r>
    </w:p>
    <w:p>
      <w:pPr>
        <w:spacing w:after="0" w:line="6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maintain, expand, protect and enforce our intellectual property portfolio; and</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acquire or in-license other product candidates and technologies.</w:t>
      </w:r>
    </w:p>
    <w:p>
      <w:pPr>
        <w:spacing w:after="0" w:line="131" w:lineRule="exact"/>
        <w:rPr>
          <w:sz w:val="20"/>
          <w:szCs w:val="20"/>
          <w:color w:val="auto"/>
        </w:rPr>
      </w:pPr>
    </w:p>
    <w:p>
      <w:pPr>
        <w:ind w:firstLine="749"/>
        <w:spacing w:after="0" w:line="287" w:lineRule="auto"/>
        <w:rPr>
          <w:sz w:val="20"/>
          <w:szCs w:val="20"/>
          <w:color w:val="auto"/>
        </w:rPr>
      </w:pPr>
      <w:r>
        <w:rPr>
          <w:rFonts w:ascii="Arial" w:cs="Arial" w:eastAsia="Arial" w:hAnsi="Arial"/>
          <w:sz w:val="17"/>
          <w:szCs w:val="17"/>
          <w:color w:val="auto"/>
        </w:rPr>
        <w:t>We expect our current cash, cash equivalents and available-for-sale investments will be sufficient to fund our current operating plan into 2024. However, our forecast of the period of time through which our financial resources will be adequate to support our operations is a forward-looking statement that involves risks and uncertainties, and actual results could vary materially. In order to complete the development of our product candidates and to build the sales, marketing and distribution infrastructure that we believe will be necessary to commercialize our product candidates, if approved, we will require substantial additional funding. Until we can generate a sufficient amount of revenue from the commercialization of our product candidates, we may seek to raise any necessary additional capital through the sale of equity, debt financings or other capital sources, which could include income from collaborations, strategic partnerships or marketing, distribution or licensing arrangements with third parties or from grants. To the extent that we raise additional capital through the sale of equity or convertible debt securities, the ownership interest of our stockholders will be or could be diluted, and the terms of these securities may include liquidation or other preferences that adversely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21" w:name="page22"/>
    <w:bookmarkEnd w:id="21"/>
    <w:p>
      <w:pPr>
        <w:ind w:right="40"/>
        <w:spacing w:after="0" w:line="288" w:lineRule="auto"/>
        <w:rPr>
          <w:sz w:val="20"/>
          <w:szCs w:val="20"/>
          <w:color w:val="auto"/>
        </w:rPr>
      </w:pPr>
      <w:r>
        <w:rPr>
          <w:rFonts w:ascii="Arial" w:cs="Arial" w:eastAsia="Arial" w:hAnsi="Arial"/>
          <w:sz w:val="17"/>
          <w:szCs w:val="17"/>
          <w:color w:val="auto"/>
        </w:rPr>
        <w:t>affect the rights of our common stockholders. Debt financing and preferred equity financing, if available, may involve agreements that include covenants limiting or restricting our ability to take specific actions, including restricting our operations and limiting our ability to incur liens, issue additional debt, pay dividends, repurchase our common stock, make certain investments or engage in merger, consolidation, licensing or asset sale transactions. If we raise funds through collaborations, strategic partnerships and other similar arrangements with third parties, we may be required to grant rights to develop and market product candidates that we would otherwise prefer to develop and market ourselves. We may be unable to raise additional funds or to enter into such agreements or arrangements on favorable terms, or at all. If we are unable to raise additional funds when needed, we may be required to delay, reduce or eliminate our product development or future commercialization efforts.</w:t>
      </w:r>
    </w:p>
    <w:p>
      <w:pPr>
        <w:spacing w:after="0" w:line="73" w:lineRule="exact"/>
        <w:rPr>
          <w:sz w:val="20"/>
          <w:szCs w:val="20"/>
          <w:color w:val="auto"/>
        </w:rPr>
      </w:pPr>
    </w:p>
    <w:p>
      <w:pPr>
        <w:ind w:firstLine="749"/>
        <w:spacing w:after="0" w:line="296" w:lineRule="auto"/>
        <w:rPr>
          <w:sz w:val="20"/>
          <w:szCs w:val="20"/>
          <w:color w:val="auto"/>
        </w:rPr>
      </w:pPr>
      <w:r>
        <w:rPr>
          <w:rFonts w:ascii="Arial" w:cs="Arial" w:eastAsia="Arial" w:hAnsi="Arial"/>
          <w:sz w:val="17"/>
          <w:szCs w:val="17"/>
          <w:color w:val="auto"/>
        </w:rPr>
        <w:t>We have based our projections of operating capital requirements on our current operating plan, which is based on several assumptions that may prove to be incorrect and we may use all of our available capital resources sooner than we expect. Because of the numerous risks and uncertainties associated with research, development and commercialization of product candidates, we are unable to estimate the exact amount and timing of our working capital requirements. Our future funding requirements will depend on many factors, including:</w:t>
      </w:r>
    </w:p>
    <w:p>
      <w:pPr>
        <w:spacing w:after="0" w:line="89" w:lineRule="exact"/>
        <w:rPr>
          <w:sz w:val="20"/>
          <w:szCs w:val="20"/>
          <w:color w:val="auto"/>
        </w:rPr>
      </w:pPr>
    </w:p>
    <w:p>
      <w:pPr>
        <w:ind w:left="1200" w:right="40"/>
        <w:spacing w:after="0" w:line="293" w:lineRule="auto"/>
        <w:rPr>
          <w:sz w:val="20"/>
          <w:szCs w:val="20"/>
          <w:color w:val="auto"/>
        </w:rPr>
      </w:pPr>
      <w:r>
        <w:rPr>
          <w:rFonts w:ascii="Arial" w:cs="Arial" w:eastAsia="Arial" w:hAnsi="Arial"/>
          <w:sz w:val="18"/>
          <w:szCs w:val="18"/>
          <w:color w:val="auto"/>
        </w:rPr>
        <w:t>the scope, progress, results and costs of researching and developing our product candidates, and conducting preclinical studies and clinical trials;</w:t>
      </w:r>
    </w:p>
    <w:p>
      <w:pPr>
        <w:spacing w:after="0" w:line="6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costs, timing and outcome of regulatory review of our product candidates;</w:t>
      </w:r>
    </w:p>
    <w:p>
      <w:pPr>
        <w:spacing w:after="0" w:line="131" w:lineRule="exact"/>
        <w:rPr>
          <w:sz w:val="20"/>
          <w:szCs w:val="20"/>
          <w:color w:val="auto"/>
        </w:rPr>
      </w:pPr>
    </w:p>
    <w:p>
      <w:pPr>
        <w:ind w:left="1200" w:right="280"/>
        <w:spacing w:after="0" w:line="293" w:lineRule="auto"/>
        <w:rPr>
          <w:sz w:val="20"/>
          <w:szCs w:val="20"/>
          <w:color w:val="auto"/>
        </w:rPr>
      </w:pPr>
      <w:r>
        <w:rPr>
          <w:rFonts w:ascii="Arial" w:cs="Arial" w:eastAsia="Arial" w:hAnsi="Arial"/>
          <w:sz w:val="18"/>
          <w:szCs w:val="18"/>
          <w:color w:val="auto"/>
        </w:rPr>
        <w:t>the costs of future activities, including product sales, medical affairs, marketing, manufacturing and distribution, for any of our product candidates for which we receive marketing approval;</w:t>
      </w:r>
    </w:p>
    <w:p>
      <w:pPr>
        <w:spacing w:after="0" w:line="6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costs of manufacturing commercial-grade products and sufficient inventory to support commercial launch;</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the revenue, if any, received from commercial sale of our products, should any of our product candidates receive marketing approval;</w:t>
      </w:r>
    </w:p>
    <w:p>
      <w:pPr>
        <w:spacing w:after="0" w:line="14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cost and timing of hiring new employees to support our continued growth;</w:t>
      </w:r>
    </w:p>
    <w:p>
      <w:pPr>
        <w:spacing w:after="0" w:line="131" w:lineRule="exact"/>
        <w:rPr>
          <w:sz w:val="20"/>
          <w:szCs w:val="20"/>
          <w:color w:val="auto"/>
        </w:rPr>
      </w:pPr>
    </w:p>
    <w:p>
      <w:pPr>
        <w:ind w:left="1200" w:right="80"/>
        <w:spacing w:after="0" w:line="293" w:lineRule="auto"/>
        <w:rPr>
          <w:sz w:val="20"/>
          <w:szCs w:val="20"/>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6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ability to establish and maintain collaborations on favorable terms, if at all;</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extent to which we acquire or in-license other product candidates and technologies; and</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the timing, receipt and amount of sales of, or milestone payments related to or royalties on, our current or future product candidates, if any.</w:t>
      </w:r>
    </w:p>
    <w:p>
      <w:pPr>
        <w:spacing w:after="0" w:line="181" w:lineRule="exact"/>
        <w:rPr>
          <w:sz w:val="20"/>
          <w:szCs w:val="20"/>
          <w:color w:val="auto"/>
        </w:rPr>
      </w:pPr>
    </w:p>
    <w:p>
      <w:pPr>
        <w:ind w:right="120" w:firstLine="749"/>
        <w:spacing w:after="0" w:line="303" w:lineRule="auto"/>
        <w:rPr>
          <w:sz w:val="20"/>
          <w:szCs w:val="20"/>
          <w:color w:val="auto"/>
        </w:rPr>
      </w:pPr>
      <w:r>
        <w:rPr>
          <w:rFonts w:ascii="Arial" w:cs="Arial" w:eastAsia="Arial" w:hAnsi="Arial"/>
          <w:sz w:val="17"/>
          <w:szCs w:val="17"/>
          <w:color w:val="auto"/>
        </w:rPr>
        <w:t>A change in the outcome of any of these or other factors with respect to the development of any of our product candidates could significantly change the costs and timing associated with the development of that product candidate. Furthermore, our operating plan may change in the future, and we may need additional funds to meet operational needs and capital requirements associated with such operating plan.</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3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the sources and uses of our cash (in thousands):</w:t>
      </w:r>
    </w:p>
    <w:p>
      <w:pPr>
        <w:spacing w:after="0" w:line="338" w:lineRule="exact"/>
        <w:rPr>
          <w:sz w:val="20"/>
          <w:szCs w:val="20"/>
          <w:color w:val="auto"/>
        </w:rPr>
      </w:pPr>
    </w:p>
    <w:tbl>
      <w:tblPr>
        <w:tblLayout w:type="fixed"/>
        <w:tblInd w:w="1140" w:type="dxa"/>
        <w:tblCellMar>
          <w:top w:w="0" w:type="dxa"/>
          <w:left w:w="0" w:type="dxa"/>
          <w:bottom w:w="0" w:type="dxa"/>
          <w:right w:w="0" w:type="dxa"/>
        </w:tblCellMar>
      </w:tblPr>
      <w:tr>
        <w:trPr>
          <w:trHeight w:val="219"/>
        </w:trPr>
        <w:tc>
          <w:tcPr>
            <w:tcW w:w="5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8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78"/>
        </w:trPr>
        <w:tc>
          <w:tcPr>
            <w:tcW w:w="5820" w:type="dxa"/>
            <w:vAlign w:val="bottom"/>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4"/>
                <w:szCs w:val="24"/>
                <w:color w:val="auto"/>
              </w:rPr>
            </w:pPr>
          </w:p>
        </w:tc>
      </w:tr>
      <w:tr>
        <w:trPr>
          <w:trHeight w:val="25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(43,257 )</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(27,443 )</w:t>
            </w:r>
          </w:p>
        </w:tc>
      </w:tr>
      <w:tr>
        <w:trPr>
          <w:trHeight w:val="250"/>
        </w:trPr>
        <w:tc>
          <w:tcPr>
            <w:tcW w:w="582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158,084</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(124,703 )</w:t>
            </w:r>
          </w:p>
        </w:tc>
      </w:tr>
      <w:tr>
        <w:trPr>
          <w:trHeight w:val="263"/>
        </w:trPr>
        <w:tc>
          <w:tcPr>
            <w:tcW w:w="5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48,321</w:t>
            </w:r>
          </w:p>
        </w:tc>
        <w:tc>
          <w:tcPr>
            <w:tcW w:w="22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125,018</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5820" w:type="dxa"/>
            <w:vAlign w:val="bottom"/>
          </w:tcPr>
          <w:p>
            <w:pPr>
              <w:ind w:left="18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163,148</w:t>
            </w:r>
          </w:p>
        </w:tc>
        <w:tc>
          <w:tcPr>
            <w:tcW w:w="2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(27,128 )</w:t>
            </w:r>
          </w:p>
        </w:tc>
      </w:tr>
      <w:tr>
        <w:trPr>
          <w:trHeight w:val="20"/>
        </w:trPr>
        <w:tc>
          <w:tcPr>
            <w:tcW w:w="58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-193675</wp:posOffset>
            </wp:positionV>
            <wp:extent cx="145415" cy="57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-193675</wp:posOffset>
            </wp:positionV>
            <wp:extent cx="68580" cy="57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31" w:lineRule="exact"/>
        <w:rPr>
          <w:sz w:val="20"/>
          <w:szCs w:val="20"/>
          <w:color w:val="auto"/>
        </w:rPr>
      </w:pPr>
    </w:p>
    <w:p>
      <w:pPr>
        <w:ind w:right="60" w:firstLine="749"/>
        <w:spacing w:after="0" w:line="293" w:lineRule="auto"/>
        <w:rPr>
          <w:sz w:val="20"/>
          <w:szCs w:val="20"/>
          <w:color w:val="auto"/>
        </w:rPr>
      </w:pPr>
      <w:r>
        <w:rPr>
          <w:rFonts w:ascii="Arial" w:cs="Arial" w:eastAsia="Arial" w:hAnsi="Arial"/>
          <w:sz w:val="18"/>
          <w:szCs w:val="18"/>
          <w:color w:val="auto"/>
        </w:rPr>
        <w:t>Net cash used in operating activities during the nine months ended September 30, 2021 of $43.3 million was attributable to our net loss of $55.9 million, offset by non-cash expenses of $11.2 million, which was primarily driven by stock-based compensation.</w:t>
      </w:r>
    </w:p>
    <w:p>
      <w:pPr>
        <w:spacing w:after="0" w:line="62" w:lineRule="exact"/>
        <w:rPr>
          <w:sz w:val="20"/>
          <w:szCs w:val="20"/>
          <w:color w:val="auto"/>
        </w:rPr>
      </w:pPr>
    </w:p>
    <w:p>
      <w:pPr>
        <w:ind w:firstLine="749"/>
        <w:spacing w:after="0" w:line="279" w:lineRule="auto"/>
        <w:rPr>
          <w:sz w:val="20"/>
          <w:szCs w:val="20"/>
          <w:color w:val="auto"/>
        </w:rPr>
      </w:pPr>
      <w:r>
        <w:rPr>
          <w:rFonts w:ascii="Arial" w:cs="Arial" w:eastAsia="Arial" w:hAnsi="Arial"/>
          <w:sz w:val="18"/>
          <w:szCs w:val="18"/>
          <w:color w:val="auto"/>
        </w:rPr>
        <w:t>Net cash used in operating activities during the nine months ended September 30, 2020 of $27.4 million was primarily attributable to our net loss of $45.4 million, offset by non-cash expenses of $17.3 million, which included $13.0 million of stock consideration paid to enter into the Mirati License Agreement and $3.6 million of stock based-compensation.</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31" w:lineRule="exact"/>
        <w:rPr>
          <w:sz w:val="20"/>
          <w:szCs w:val="20"/>
          <w:color w:val="auto"/>
        </w:rPr>
      </w:pPr>
    </w:p>
    <w:p>
      <w:pPr>
        <w:ind w:right="100" w:firstLine="749"/>
        <w:spacing w:after="0" w:line="293" w:lineRule="auto"/>
        <w:rPr>
          <w:sz w:val="20"/>
          <w:szCs w:val="20"/>
          <w:color w:val="auto"/>
        </w:rPr>
      </w:pPr>
      <w:r>
        <w:rPr>
          <w:rFonts w:ascii="Arial" w:cs="Arial" w:eastAsia="Arial" w:hAnsi="Arial"/>
          <w:sz w:val="18"/>
          <w:szCs w:val="18"/>
          <w:color w:val="auto"/>
        </w:rPr>
        <w:t>Net cash provided by investing activities during the nine months ended September 30, 2021 of $158.1 million was primarily attributable to sales and maturities of investments, offset by purchases.</w:t>
      </w:r>
    </w:p>
    <w:p>
      <w:pPr>
        <w:spacing w:after="0" w:line="62" w:lineRule="exact"/>
        <w:rPr>
          <w:sz w:val="20"/>
          <w:szCs w:val="20"/>
          <w:color w:val="auto"/>
        </w:rPr>
      </w:pPr>
    </w:p>
    <w:p>
      <w:pPr>
        <w:ind w:right="580" w:firstLine="749"/>
        <w:spacing w:after="0" w:line="293" w:lineRule="auto"/>
        <w:rPr>
          <w:sz w:val="20"/>
          <w:szCs w:val="20"/>
          <w:color w:val="auto"/>
        </w:rPr>
      </w:pPr>
      <w:r>
        <w:rPr>
          <w:rFonts w:ascii="Arial" w:cs="Arial" w:eastAsia="Arial" w:hAnsi="Arial"/>
          <w:sz w:val="18"/>
          <w:szCs w:val="18"/>
          <w:color w:val="auto"/>
        </w:rPr>
        <w:t>Net cash used in investing activities during the nine months ended September 30, 2020 of $124.7 million was primarily attributable to the purchase of investments.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31" w:lineRule="exact"/>
        <w:rPr>
          <w:sz w:val="20"/>
          <w:szCs w:val="20"/>
          <w:color w:val="auto"/>
        </w:rPr>
      </w:pPr>
    </w:p>
    <w:p>
      <w:pPr>
        <w:ind w:right="20" w:firstLine="749"/>
        <w:spacing w:after="0" w:line="293" w:lineRule="auto"/>
        <w:rPr>
          <w:sz w:val="20"/>
          <w:szCs w:val="20"/>
          <w:color w:val="auto"/>
        </w:rPr>
      </w:pPr>
      <w:r>
        <w:rPr>
          <w:rFonts w:ascii="Arial" w:cs="Arial" w:eastAsia="Arial" w:hAnsi="Arial"/>
          <w:sz w:val="18"/>
          <w:szCs w:val="18"/>
          <w:color w:val="auto"/>
        </w:rPr>
        <w:t>Net cash provided by financing activities during the nine months ended September 30, 2021 of $48.3 million was primarily attributable to the net proceeds received in connection with our ATM offering.</w:t>
      </w:r>
    </w:p>
    <w:p>
      <w:pPr>
        <w:spacing w:after="0" w:line="62" w:lineRule="exact"/>
        <w:rPr>
          <w:sz w:val="20"/>
          <w:szCs w:val="20"/>
          <w:color w:val="auto"/>
        </w:rPr>
      </w:pPr>
    </w:p>
    <w:p>
      <w:pPr>
        <w:ind w:right="200" w:firstLine="749"/>
        <w:spacing w:after="0" w:line="293" w:lineRule="auto"/>
        <w:rPr>
          <w:sz w:val="20"/>
          <w:szCs w:val="20"/>
          <w:color w:val="auto"/>
        </w:rPr>
      </w:pPr>
      <w:r>
        <w:rPr>
          <w:rFonts w:ascii="Arial" w:cs="Arial" w:eastAsia="Arial" w:hAnsi="Arial"/>
          <w:sz w:val="18"/>
          <w:szCs w:val="18"/>
          <w:color w:val="auto"/>
        </w:rPr>
        <w:t>Net cash provided by financing activities during the nine months ended September 30, 2020 of $125.0 million was primarily attributable to the net proceeds received in connection with our IPO.</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31" w:lineRule="exact"/>
        <w:rPr>
          <w:sz w:val="20"/>
          <w:szCs w:val="20"/>
          <w:color w:val="auto"/>
        </w:rPr>
      </w:pPr>
    </w:p>
    <w:p>
      <w:pPr>
        <w:ind w:right="360" w:firstLine="749"/>
        <w:spacing w:after="0" w:line="293" w:lineRule="auto"/>
        <w:rPr>
          <w:sz w:val="20"/>
          <w:szCs w:val="20"/>
          <w:color w:val="auto"/>
        </w:rPr>
      </w:pPr>
      <w:r>
        <w:rPr>
          <w:rFonts w:ascii="Arial" w:cs="Arial" w:eastAsia="Arial" w:hAnsi="Arial"/>
          <w:sz w:val="18"/>
          <w:szCs w:val="18"/>
          <w:color w:val="auto"/>
        </w:rPr>
        <w:t>We do not currently have, nor did we have any off-balance sheet arrangements, as defined in the rules and regulations of the SEC, during the periods presented</w:t>
      </w:r>
      <w:r>
        <w:rPr>
          <w:rFonts w:ascii="Arial" w:cs="Arial" w:eastAsia="Arial" w:hAnsi="Arial"/>
          <w:sz w:val="18"/>
          <w:szCs w:val="18"/>
          <w:color w:val="231F20"/>
        </w:rPr>
        <w: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Significant Judgements and Estimates</w:t>
      </w:r>
    </w:p>
    <w:p>
      <w:pPr>
        <w:spacing w:after="0" w:line="131" w:lineRule="exact"/>
        <w:rPr>
          <w:sz w:val="20"/>
          <w:szCs w:val="20"/>
          <w:color w:val="auto"/>
        </w:rPr>
      </w:pPr>
    </w:p>
    <w:p>
      <w:pPr>
        <w:ind w:right="80" w:firstLine="749"/>
        <w:spacing w:after="0" w:line="287" w:lineRule="auto"/>
        <w:rPr>
          <w:sz w:val="20"/>
          <w:szCs w:val="20"/>
          <w:color w:val="auto"/>
        </w:rPr>
      </w:pPr>
      <w:r>
        <w:rPr>
          <w:rFonts w:ascii="Arial" w:cs="Arial" w:eastAsia="Arial" w:hAnsi="Arial"/>
          <w:sz w:val="17"/>
          <w:szCs w:val="17"/>
          <w:color w:val="auto"/>
        </w:rPr>
        <w:t>Our management’s discussion and analysis of our financial condition and results of operations are based on our financial statements, which have been prepared in accordance with generally accepted accounting principles in the United States (US GAAP). The preparation of these financial statements in conformity with US GAAP requires management to make estimates and assumptions that impact the reported amounts of assets, liabilities, expenses, and the disclosure of contingent assets and liabilities in our financial statements and accompanying notes.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Actual results may differ materially from these estimates under different assumptions or conditions. There have been no significant changes in our critical accounting policies as discussed in our Annual Report on Form 10-K for the year ended December 31, 2020.</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31" w:lineRule="exact"/>
        <w:rPr>
          <w:sz w:val="20"/>
          <w:szCs w:val="20"/>
          <w:color w:val="auto"/>
        </w:rPr>
      </w:pPr>
    </w:p>
    <w:p>
      <w:pPr>
        <w:ind w:right="60" w:firstLine="749"/>
        <w:spacing w:after="0" w:line="272" w:lineRule="auto"/>
        <w:rPr>
          <w:sz w:val="20"/>
          <w:szCs w:val="20"/>
          <w:color w:val="auto"/>
        </w:rPr>
      </w:pPr>
      <w:r>
        <w:rPr>
          <w:rFonts w:ascii="Arial" w:cs="Arial" w:eastAsia="Arial" w:hAnsi="Arial"/>
          <w:sz w:val="18"/>
          <w:szCs w:val="18"/>
          <w:color w:val="auto"/>
        </w:rPr>
        <w:t>Section 107 of the JOBS Act permits an “emerging growth company” such as us to take advantage of an extended transition time to comply with new or revised accounting standards as applicable to public companies. Thus, an emerging growth company can delay the adoption of certain accounting standards until those standards would otherwise apply to private companies. We have elected not to use the extended transition, which election is irrevocable. As a result, our financial statements may not be comparable to other emerging growth companies that elect to take advantage of the extended transition period.</w:t>
      </w:r>
    </w:p>
    <w:p>
      <w:pPr>
        <w:spacing w:after="0" w:line="83" w:lineRule="exact"/>
        <w:rPr>
          <w:sz w:val="20"/>
          <w:szCs w:val="20"/>
          <w:color w:val="auto"/>
        </w:rPr>
      </w:pPr>
    </w:p>
    <w:p>
      <w:pPr>
        <w:ind w:right="20" w:firstLine="749"/>
        <w:spacing w:after="0" w:line="329" w:lineRule="auto"/>
        <w:rPr>
          <w:sz w:val="20"/>
          <w:szCs w:val="20"/>
          <w:color w:val="auto"/>
        </w:rPr>
      </w:pPr>
      <w:r>
        <w:rPr>
          <w:rFonts w:ascii="Arial" w:cs="Arial" w:eastAsia="Arial" w:hAnsi="Arial"/>
          <w:sz w:val="16"/>
          <w:szCs w:val="16"/>
          <w:color w:val="auto"/>
        </w:rPr>
        <w:t>We will remain an emerging growth company until the earliest to occur of: (1) the last day of the fiscal year in which we have more than $1.07 billion in annual revenue; (2) the date we qualify as a “large accelerated filer,” with at least $700.0 million of equity securities held by non-affiliates; (3) the date on which we have issued more than $1.0 billion in non-convertible debt securities during the prior three-year period; and (4) December 31, 2025.</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31" w:lineRule="exact"/>
        <w:rPr>
          <w:sz w:val="20"/>
          <w:szCs w:val="20"/>
          <w:color w:val="auto"/>
        </w:rPr>
      </w:pPr>
    </w:p>
    <w:p>
      <w:pPr>
        <w:ind w:firstLine="749"/>
        <w:spacing w:after="0" w:line="286" w:lineRule="auto"/>
        <w:rPr>
          <w:sz w:val="20"/>
          <w:szCs w:val="20"/>
          <w:color w:val="auto"/>
        </w:rPr>
      </w:pPr>
      <w:r>
        <w:rPr>
          <w:rFonts w:ascii="Arial" w:cs="Arial" w:eastAsia="Arial" w:hAnsi="Arial"/>
          <w:sz w:val="17"/>
          <w:szCs w:val="17"/>
          <w:color w:val="auto"/>
        </w:rPr>
        <w:t>The primary objective of our investment activities is to preserve principal and liquidity while at the same time maximizing the income we receive without significantly increasing risk. To achieve this objective, we may invest in money market funds, U.S. Treasury notes, and high-quality marketable debt instruments of corporations and government sponsored enterprises with contractual maturity dates of generally less than two years, in accordance with an investment policy approved by our audit committee. Some of the financial instruments that we invest in could be subject to market risk, meaning that a change in prevailing interest rates may cause the value of the instruments to fluctuate. For example, if we purchase a security that was issued with a fixed interest rate and the prevailing interest rate later rises, the value of that security will probably decline. To minimize this risk, we intend to maintain a portfolio which may include a variety of securities, including money market funds, government debt securities, certificates of deposit and commercial paper, all with various maturity dates. As of September 30, 2021, we had cash equivalents and available-for-sale investments of $296.5 million, consisting of interest-bearing money market funds and securities issued by the U.S. Treasury. Due to the nature of our cash equivalents and available-for-sale investments, an immediate 100 basis point change in interest rates would not have a material effect on the fair market value of our cash and cash equivalents.</w:t>
      </w:r>
    </w:p>
    <w:p>
      <w:pPr>
        <w:spacing w:after="0" w:line="70" w:lineRule="exact"/>
        <w:rPr>
          <w:sz w:val="20"/>
          <w:szCs w:val="20"/>
          <w:color w:val="auto"/>
        </w:rPr>
      </w:pPr>
    </w:p>
    <w:p>
      <w:pPr>
        <w:ind w:right="180" w:firstLine="749"/>
        <w:spacing w:after="0" w:line="293" w:lineRule="auto"/>
        <w:rPr>
          <w:sz w:val="20"/>
          <w:szCs w:val="20"/>
          <w:color w:val="auto"/>
        </w:rPr>
      </w:pPr>
      <w:r>
        <w:rPr>
          <w:rFonts w:ascii="Arial" w:cs="Arial" w:eastAsia="Arial" w:hAnsi="Arial"/>
          <w:sz w:val="18"/>
          <w:szCs w:val="18"/>
          <w:color w:val="auto"/>
        </w:rPr>
        <w:t>We do not believe that inflation, interest rate changes or exchange rate fluctuations had a significant impact on our results of operations for any periods presented herein.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31" w:lineRule="exact"/>
        <w:rPr>
          <w:sz w:val="20"/>
          <w:szCs w:val="20"/>
          <w:color w:val="auto"/>
        </w:rPr>
      </w:pPr>
    </w:p>
    <w:p>
      <w:pPr>
        <w:ind w:firstLine="749"/>
        <w:spacing w:after="0" w:line="287"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reports filed or submitted under the Securities Exchange Act of 1934 is recorded, processed, summarized and reported within the time period specified in the SEC's rules and forms, and that such information is accumulated and communicated to management including our Chief Executive Officer and Chief Financial Officer, as appropriate, to allow timely decisions regarding required disclosure. As of September 30, 2021, we carried out an evaluation under the supervision and with the participation of our management, including our Chief Executive Officer and Chief Financial Officer, of the effectiveness of the design and operation of our disclosure controls and procedures, as defined in Rules 13a-15(e) and 15d-15(e) under the Securities Exchange Act of 1934. Based upon that evaluation, our Chief Executive Officer and Chief Financial Officer concluded that our disclosure controls and procedures were effective at a reasonable assurance level as of September 30, 2021.</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44" w:lineRule="exact"/>
        <w:rPr>
          <w:sz w:val="20"/>
          <w:szCs w:val="20"/>
          <w:color w:val="auto"/>
        </w:rPr>
      </w:pPr>
    </w:p>
    <w:p>
      <w:pPr>
        <w:jc w:val="both"/>
        <w:ind w:right="40" w:firstLine="749"/>
        <w:spacing w:after="0" w:line="279"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 13a-15(d) and 15d-15(d) of the Securities Exchange Act of 1934 that occurred during the quarter ended September 30, 2021 that has materially affected, or is reasonably likely to materially affect, our internal control over financial reporting.</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59" w:right="39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35" w:lineRule="exact"/>
        <w:rPr>
          <w:sz w:val="20"/>
          <w:szCs w:val="20"/>
          <w:color w:val="auto"/>
        </w:rPr>
      </w:pPr>
    </w:p>
    <w:p>
      <w:pPr>
        <w:ind w:right="100" w:firstLine="749"/>
        <w:spacing w:after="0" w:line="275" w:lineRule="auto"/>
        <w:rPr>
          <w:sz w:val="20"/>
          <w:szCs w:val="20"/>
          <w:color w:val="auto"/>
        </w:rPr>
      </w:pPr>
      <w:r>
        <w:rPr>
          <w:rFonts w:ascii="Arial" w:cs="Arial" w:eastAsia="Arial" w:hAnsi="Arial"/>
          <w:sz w:val="18"/>
          <w:szCs w:val="18"/>
          <w:color w:val="auto"/>
        </w:rPr>
        <w:t>From time to time, we may become involved in litigation or other legal proceedings arising in the ordinary course of our business. We are not currently a party to any material litigation or legal proceedings that, in the opinion of our management, are likely to have a material adverse effect on our business. Regardless of outcome, litigation can have an adverse impact on us because of defense and settlement costs, diversion of management resources, negative publicity, reputational harm and other factors.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35" w:lineRule="exact"/>
        <w:rPr>
          <w:sz w:val="20"/>
          <w:szCs w:val="20"/>
          <w:color w:val="auto"/>
        </w:rPr>
      </w:pPr>
    </w:p>
    <w:p>
      <w:pPr>
        <w:ind w:right="40" w:firstLine="749"/>
        <w:spacing w:after="0" w:line="271" w:lineRule="auto"/>
        <w:rPr>
          <w:sz w:val="20"/>
          <w:szCs w:val="20"/>
          <w:color w:val="auto"/>
        </w:rPr>
      </w:pPr>
      <w:r>
        <w:rPr>
          <w:rFonts w:ascii="Arial" w:cs="Arial" w:eastAsia="Arial" w:hAnsi="Arial"/>
          <w:sz w:val="18"/>
          <w:szCs w:val="18"/>
          <w:i w:val="1"/>
          <w:iCs w:val="1"/>
          <w:color w:val="auto"/>
        </w:rPr>
        <w:t>You should carefully consider the risks described below, as well as the other information in this quarterly report on Form 10-Q, including our financial statements and related notes and the section titled “Management’s Discussion and Analysis of Financial Condition and Results of Operations,” and in our other public filings in evaluating our business. The occurrence of any of the events or developments described below could harm our business, financial condition, results of operations and growth prospects. In such an event, the market price of our common stock could decline. Additional risks and uncertainties not presently known to us or that we currently deem immaterial also may impair our business operations and the market price of our common stock.</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 summary</w:t>
      </w:r>
    </w:p>
    <w:p>
      <w:pPr>
        <w:spacing w:after="0" w:line="162"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8"/>
          <w:szCs w:val="18"/>
          <w:i w:val="1"/>
          <w:iCs w:val="1"/>
          <w:color w:val="auto"/>
        </w:rPr>
        <w:t>The following summarizes the most material risks that make an investment in our securities risky or speculative. If any of the following risks occur or persist, our business, financial condition, results of operations and prospects could be materially harmed and the market price of our common stock could significantly decline:</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40"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our limited operating history;</w:t>
      </w:r>
    </w:p>
    <w:p>
      <w:pPr>
        <w:spacing w:after="0" w:line="50"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our past and anticipated future net losses;</w:t>
      </w:r>
    </w:p>
    <w:p>
      <w:pPr>
        <w:spacing w:after="0" w:line="36" w:lineRule="exact"/>
        <w:rPr>
          <w:sz w:val="20"/>
          <w:szCs w:val="20"/>
          <w:color w:val="auto"/>
        </w:rPr>
      </w:pPr>
    </w:p>
    <w:p>
      <w:pPr>
        <w:ind w:left="1200" w:right="4120"/>
        <w:spacing w:after="0" w:line="341" w:lineRule="auto"/>
        <w:rPr>
          <w:sz w:val="20"/>
          <w:szCs w:val="20"/>
          <w:color w:val="auto"/>
        </w:rPr>
      </w:pPr>
      <w:r>
        <w:rPr>
          <w:rFonts w:ascii="Arial" w:cs="Arial" w:eastAsia="Arial" w:hAnsi="Arial"/>
          <w:sz w:val="17"/>
          <w:szCs w:val="17"/>
          <w:color w:val="auto"/>
        </w:rPr>
        <w:t>uncertainty related to our ability to generate revenue and achieve profitability; and our need for substantial additional capital to finance our operations.</w:t>
      </w:r>
    </w:p>
    <w:p>
      <w:pPr>
        <w:spacing w:after="0" w:line="48" w:lineRule="exact"/>
        <w:rPr>
          <w:sz w:val="20"/>
          <w:szCs w:val="20"/>
          <w:color w:val="auto"/>
        </w:rPr>
      </w:pPr>
    </w:p>
    <w:p>
      <w:pPr>
        <w:ind w:left="1200" w:right="4380" w:hanging="1189"/>
        <w:spacing w:after="0" w:line="268" w:lineRule="auto"/>
        <w:rPr>
          <w:sz w:val="20"/>
          <w:szCs w:val="20"/>
          <w:color w:val="auto"/>
        </w:rPr>
      </w:pPr>
      <w:r>
        <w:rPr>
          <w:rFonts w:ascii="Arial" w:cs="Arial" w:eastAsia="Arial" w:hAnsi="Arial"/>
          <w:sz w:val="18"/>
          <w:szCs w:val="18"/>
          <w:b w:val="1"/>
          <w:bCs w:val="1"/>
          <w:color w:val="auto"/>
        </w:rPr>
        <w:t xml:space="preserve">Risks related to discovery, development and commercialization of our product candidates </w:t>
      </w:r>
      <w:r>
        <w:rPr>
          <w:rFonts w:ascii="Arial" w:cs="Arial" w:eastAsia="Arial" w:hAnsi="Arial"/>
          <w:sz w:val="18"/>
          <w:szCs w:val="18"/>
          <w:color w:val="auto"/>
        </w:rPr>
        <w:t>our substantial dependence on ORIC-101;</w:t>
      </w:r>
    </w:p>
    <w:p>
      <w:pPr>
        <w:spacing w:after="0" w:line="2" w:lineRule="exact"/>
        <w:rPr>
          <w:sz w:val="20"/>
          <w:szCs w:val="20"/>
          <w:color w:val="auto"/>
        </w:rPr>
      </w:pPr>
    </w:p>
    <w:p>
      <w:pPr>
        <w:ind w:left="1200" w:right="3260"/>
        <w:spacing w:after="0" w:line="281" w:lineRule="auto"/>
        <w:rPr>
          <w:sz w:val="20"/>
          <w:szCs w:val="20"/>
          <w:color w:val="auto"/>
        </w:rPr>
      </w:pPr>
      <w:r>
        <w:rPr>
          <w:rFonts w:ascii="Arial" w:cs="Arial" w:eastAsia="Arial" w:hAnsi="Arial"/>
          <w:sz w:val="17"/>
          <w:szCs w:val="17"/>
          <w:color w:val="auto"/>
        </w:rPr>
        <w:t>our challenges in discovering, developing and commercializing additional product candidates; limitations in regulatory approval processes and product candidate approvals; our clinical trials that may fail to satisfactorily demonstrate safety and efficacy;</w:t>
      </w:r>
    </w:p>
    <w:p>
      <w:pPr>
        <w:spacing w:after="0" w:line="2" w:lineRule="exact"/>
        <w:rPr>
          <w:sz w:val="20"/>
          <w:szCs w:val="20"/>
          <w:color w:val="auto"/>
        </w:rPr>
      </w:pPr>
    </w:p>
    <w:p>
      <w:pPr>
        <w:ind w:left="1200" w:right="1940"/>
        <w:spacing w:after="0" w:line="266" w:lineRule="auto"/>
        <w:rPr>
          <w:sz w:val="20"/>
          <w:szCs w:val="20"/>
          <w:color w:val="auto"/>
        </w:rPr>
      </w:pPr>
      <w:r>
        <w:rPr>
          <w:rFonts w:ascii="Arial" w:cs="Arial" w:eastAsia="Arial" w:hAnsi="Arial"/>
          <w:sz w:val="18"/>
          <w:szCs w:val="18"/>
          <w:color w:val="auto"/>
        </w:rPr>
        <w:t>our product candidates that may cause significant adverse events, toxicities or other undesirable side effects; potentially negative clinical trial results and challenges related to FDA, EMA and other regulatory requirements; deficiencies in audits and verification procedures of our clinical trial data;</w:t>
      </w:r>
    </w:p>
    <w:p>
      <w:pPr>
        <w:ind w:left="1200" w:right="2480"/>
        <w:spacing w:after="0" w:line="266" w:lineRule="auto"/>
        <w:rPr>
          <w:sz w:val="20"/>
          <w:szCs w:val="20"/>
          <w:color w:val="auto"/>
        </w:rPr>
      </w:pPr>
      <w:r>
        <w:rPr>
          <w:rFonts w:ascii="Arial" w:cs="Arial" w:eastAsia="Arial" w:hAnsi="Arial"/>
          <w:sz w:val="18"/>
          <w:szCs w:val="18"/>
          <w:color w:val="auto"/>
        </w:rPr>
        <w:t>adverse effects due to third parties investigating the same product candidates as us in different territories; potential delays or difficulties in enrollment and/or maintenance of patients in clinical trials; the impact of the COVID-19 pandemic on our operations;</w:t>
      </w:r>
    </w:p>
    <w:p>
      <w:pPr>
        <w:ind w:left="1200" w:right="3700"/>
        <w:spacing w:after="0" w:line="299" w:lineRule="auto"/>
        <w:rPr>
          <w:sz w:val="20"/>
          <w:szCs w:val="20"/>
          <w:color w:val="auto"/>
        </w:rPr>
      </w:pPr>
      <w:r>
        <w:rPr>
          <w:rFonts w:ascii="Arial" w:cs="Arial" w:eastAsia="Arial" w:hAnsi="Arial"/>
          <w:sz w:val="16"/>
          <w:szCs w:val="16"/>
          <w:color w:val="auto"/>
        </w:rPr>
        <w:t>our inability to develop effective companion diagnostic tests for our product candidates; unexpected difficulties in developing ORIC-101 and other potential programs;</w:t>
      </w:r>
    </w:p>
    <w:p>
      <w:pPr>
        <w:spacing w:after="0" w:line="1" w:lineRule="exact"/>
        <w:rPr>
          <w:sz w:val="20"/>
          <w:szCs w:val="20"/>
          <w:color w:val="auto"/>
        </w:rPr>
      </w:pPr>
    </w:p>
    <w:p>
      <w:pPr>
        <w:ind w:left="1200" w:right="3200"/>
        <w:spacing w:after="0" w:line="266" w:lineRule="auto"/>
        <w:rPr>
          <w:sz w:val="20"/>
          <w:szCs w:val="20"/>
          <w:color w:val="auto"/>
        </w:rPr>
      </w:pPr>
      <w:r>
        <w:rPr>
          <w:rFonts w:ascii="Arial" w:cs="Arial" w:eastAsia="Arial" w:hAnsi="Arial"/>
          <w:sz w:val="18"/>
          <w:szCs w:val="18"/>
          <w:color w:val="auto"/>
        </w:rPr>
        <w:t>profitability challenges related to our focus on developing ORIC-101 for particular indications; significant competition in the markets in which we operate; production difficulties encountered by our third-party manufacturers;</w:t>
      </w:r>
    </w:p>
    <w:p>
      <w:pPr>
        <w:ind w:left="1200"/>
        <w:spacing w:after="0"/>
        <w:rPr>
          <w:sz w:val="20"/>
          <w:szCs w:val="20"/>
          <w:color w:val="auto"/>
        </w:rPr>
      </w:pPr>
      <w:r>
        <w:rPr>
          <w:rFonts w:ascii="Arial" w:cs="Arial" w:eastAsia="Arial" w:hAnsi="Arial"/>
          <w:sz w:val="18"/>
          <w:szCs w:val="18"/>
          <w:color w:val="auto"/>
        </w:rPr>
        <w:t>changes in methods of product candidate manufacturing or formulation;</w:t>
      </w:r>
    </w:p>
    <w:p>
      <w:pPr>
        <w:spacing w:after="0" w:line="2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market unacceptance of our product candidates in the medical community;</w:t>
      </w:r>
    </w:p>
    <w:p>
      <w:pPr>
        <w:spacing w:after="0" w:line="2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limited market opportunities for ORIC-101 and other product candidates;</w:t>
      </w:r>
    </w:p>
    <w:p>
      <w:pPr>
        <w:spacing w:after="0" w:line="2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our inability to augment our product pipeline through acquisitions and in-licenses;</w:t>
      </w:r>
    </w:p>
    <w:p>
      <w:pPr>
        <w:spacing w:after="0" w:line="23" w:lineRule="exact"/>
        <w:rPr>
          <w:sz w:val="20"/>
          <w:szCs w:val="20"/>
          <w:color w:val="auto"/>
        </w:rPr>
      </w:pPr>
    </w:p>
    <w:p>
      <w:pPr>
        <w:ind w:left="1200" w:right="2400"/>
        <w:spacing w:after="0" w:line="292" w:lineRule="auto"/>
        <w:rPr>
          <w:sz w:val="20"/>
          <w:szCs w:val="20"/>
          <w:color w:val="auto"/>
        </w:rPr>
      </w:pPr>
      <w:r>
        <w:rPr>
          <w:rFonts w:ascii="Arial" w:cs="Arial" w:eastAsia="Arial" w:hAnsi="Arial"/>
          <w:sz w:val="18"/>
          <w:szCs w:val="18"/>
          <w:color w:val="auto"/>
        </w:rPr>
        <w:t>potential for unfavorable third-party coverage and reimbursement practices of our product candidates; and limitations of our product liability and insurance coverage.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legal and other compliance matters</w:t>
      </w:r>
    </w:p>
    <w:p>
      <w:pPr>
        <w:spacing w:after="0" w:line="2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difficulties in our ability to obtain regulatory approval of our product candidates;</w:t>
      </w:r>
    </w:p>
    <w:p>
      <w:pPr>
        <w:spacing w:after="0" w:line="23" w:lineRule="exact"/>
        <w:rPr>
          <w:sz w:val="20"/>
          <w:szCs w:val="20"/>
          <w:color w:val="auto"/>
        </w:rPr>
      </w:pPr>
    </w:p>
    <w:p>
      <w:pPr>
        <w:ind w:left="1200" w:right="1840"/>
        <w:spacing w:after="0" w:line="299" w:lineRule="auto"/>
        <w:rPr>
          <w:sz w:val="20"/>
          <w:szCs w:val="20"/>
          <w:color w:val="auto"/>
        </w:rPr>
      </w:pPr>
      <w:r>
        <w:rPr>
          <w:rFonts w:ascii="Arial" w:cs="Arial" w:eastAsia="Arial" w:hAnsi="Arial"/>
          <w:sz w:val="16"/>
          <w:szCs w:val="16"/>
          <w:color w:val="auto"/>
        </w:rPr>
        <w:t>FDA, EMA and other regulatory authorities’ unacceptance of data from trials conducted outside their jurisdiction; our inability to obtain and maintain regulatory approval of our product candidates in various jurisdictions; burdens related to post-marketing regulatory requirements and oversight of our product candidates;</w:t>
      </w:r>
    </w:p>
    <w:p>
      <w:pPr>
        <w:spacing w:after="0" w:line="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impacts of regulatory authorities’ enforcement of laws and regulations prohibiting promotion of off-label uses;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5" w:name="page26"/>
    <w:bookmarkEnd w:id="25"/>
    <w:p>
      <w:pPr>
        <w:ind w:left="1200"/>
        <w:spacing w:after="0"/>
        <w:rPr>
          <w:sz w:val="20"/>
          <w:szCs w:val="20"/>
          <w:color w:val="auto"/>
        </w:rPr>
      </w:pPr>
      <w:r>
        <w:rPr>
          <w:rFonts w:ascii="Arial" w:cs="Arial" w:eastAsia="Arial" w:hAnsi="Arial"/>
          <w:sz w:val="18"/>
          <w:szCs w:val="18"/>
          <w:color w:val="auto"/>
        </w:rPr>
        <w:t>challenges related to FDA approval of required companion diagnostic tests;</w:t>
      </w:r>
    </w:p>
    <w:p>
      <w:pPr>
        <w:spacing w:after="0" w:line="2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challenges related to our ability to obtain Fast Track designation from the FDA for our product candidates;</w:t>
      </w:r>
    </w:p>
    <w:p>
      <w:pPr>
        <w:spacing w:after="0" w:line="23" w:lineRule="exact"/>
        <w:rPr>
          <w:sz w:val="20"/>
          <w:szCs w:val="20"/>
          <w:color w:val="auto"/>
        </w:rPr>
      </w:pPr>
    </w:p>
    <w:p>
      <w:pPr>
        <w:ind w:left="1200" w:right="1220"/>
        <w:spacing w:after="0" w:line="266" w:lineRule="auto"/>
        <w:rPr>
          <w:sz w:val="20"/>
          <w:szCs w:val="20"/>
          <w:color w:val="auto"/>
        </w:rPr>
      </w:pPr>
      <w:r>
        <w:rPr>
          <w:rFonts w:ascii="Arial" w:cs="Arial" w:eastAsia="Arial" w:hAnsi="Arial"/>
          <w:sz w:val="18"/>
          <w:szCs w:val="18"/>
          <w:color w:val="auto"/>
        </w:rPr>
        <w:t>limitations to our ability to obtain orphan drug designation or maintain orphan drug exclusivity for our product candidates; any delays or barriers to secure approval for accelerated registration pathways; changes to current regulations and future legislation that impact us adversely;</w:t>
      </w:r>
    </w:p>
    <w:p>
      <w:pPr>
        <w:jc w:val="both"/>
        <w:ind w:left="1200" w:right="2140"/>
        <w:spacing w:after="0" w:line="281" w:lineRule="auto"/>
        <w:rPr>
          <w:sz w:val="20"/>
          <w:szCs w:val="20"/>
          <w:color w:val="auto"/>
        </w:rPr>
      </w:pPr>
      <w:r>
        <w:rPr>
          <w:rFonts w:ascii="Arial" w:cs="Arial" w:eastAsia="Arial" w:hAnsi="Arial"/>
          <w:sz w:val="17"/>
          <w:szCs w:val="17"/>
          <w:color w:val="auto"/>
        </w:rPr>
        <w:t>inadequate funding of regulatory agencies that may hinder timely product development or commercialization; potential misconduct or noncompliance with regulatory standards by our employees and certain third parties; any potential incompliance with U.S. healthcare laws and requirements;</w:t>
      </w:r>
    </w:p>
    <w:p>
      <w:pPr>
        <w:spacing w:after="0" w:line="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any potential incompliance with environmental, health and safety laws and regulations;</w:t>
      </w:r>
    </w:p>
    <w:p>
      <w:pPr>
        <w:spacing w:after="0" w:line="2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any potential incompliance with anti-bribery, anti-corruption, export, trade sanctions and import laws or regulations; and</w:t>
      </w:r>
    </w:p>
    <w:p>
      <w:pPr>
        <w:spacing w:after="0" w:line="23" w:lineRule="exact"/>
        <w:rPr>
          <w:sz w:val="20"/>
          <w:szCs w:val="20"/>
          <w:color w:val="auto"/>
        </w:rPr>
      </w:pPr>
    </w:p>
    <w:p>
      <w:pPr>
        <w:ind w:left="1200"/>
        <w:spacing w:after="0" w:line="292" w:lineRule="auto"/>
        <w:rPr>
          <w:sz w:val="20"/>
          <w:szCs w:val="20"/>
          <w:color w:val="auto"/>
        </w:rPr>
      </w:pPr>
      <w:r>
        <w:rPr>
          <w:rFonts w:ascii="Arial" w:cs="Arial" w:eastAsia="Arial" w:hAnsi="Arial"/>
          <w:sz w:val="18"/>
          <w:szCs w:val="18"/>
          <w:color w:val="auto"/>
        </w:rPr>
        <w:t>any potential incompliance with California laws or The NASDAQ Global Select Market (Nasdaq) rules governing diversity of our board of directors.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management of our growth</w:t>
      </w:r>
    </w:p>
    <w:p>
      <w:pPr>
        <w:spacing w:after="0" w:line="27" w:lineRule="exact"/>
        <w:rPr>
          <w:sz w:val="20"/>
          <w:szCs w:val="20"/>
          <w:color w:val="auto"/>
        </w:rPr>
      </w:pPr>
    </w:p>
    <w:p>
      <w:pPr>
        <w:ind w:left="1200" w:right="3340"/>
        <w:spacing w:after="0" w:line="266" w:lineRule="auto"/>
        <w:rPr>
          <w:sz w:val="20"/>
          <w:szCs w:val="20"/>
          <w:color w:val="auto"/>
        </w:rPr>
      </w:pPr>
      <w:r>
        <w:rPr>
          <w:rFonts w:ascii="Arial" w:cs="Arial" w:eastAsia="Arial" w:hAnsi="Arial"/>
          <w:sz w:val="18"/>
          <w:szCs w:val="18"/>
          <w:color w:val="auto"/>
        </w:rPr>
        <w:t>challenges to our ability to attract and retain highly skilled executive officers and employees; difficulties in our ability to sell or market our product candidates;</w:t>
      </w:r>
    </w:p>
    <w:p>
      <w:pPr>
        <w:ind w:left="1200"/>
        <w:spacing w:after="0"/>
        <w:rPr>
          <w:sz w:val="20"/>
          <w:szCs w:val="20"/>
          <w:color w:val="auto"/>
        </w:rPr>
      </w:pPr>
      <w:r>
        <w:rPr>
          <w:rFonts w:ascii="Arial" w:cs="Arial" w:eastAsia="Arial" w:hAnsi="Arial"/>
          <w:sz w:val="18"/>
          <w:szCs w:val="18"/>
          <w:color w:val="auto"/>
        </w:rPr>
        <w:t>our potential inability to grow and manage growth of our organization;</w:t>
      </w:r>
    </w:p>
    <w:p>
      <w:pPr>
        <w:spacing w:after="0" w:line="23" w:lineRule="exact"/>
        <w:rPr>
          <w:sz w:val="20"/>
          <w:szCs w:val="20"/>
          <w:color w:val="auto"/>
        </w:rPr>
      </w:pPr>
    </w:p>
    <w:p>
      <w:pPr>
        <w:ind w:left="1200" w:right="3320"/>
        <w:spacing w:after="0" w:line="299" w:lineRule="auto"/>
        <w:rPr>
          <w:sz w:val="20"/>
          <w:szCs w:val="20"/>
          <w:color w:val="auto"/>
        </w:rPr>
      </w:pPr>
      <w:r>
        <w:rPr>
          <w:rFonts w:ascii="Arial" w:cs="Arial" w:eastAsia="Arial" w:hAnsi="Arial"/>
          <w:sz w:val="16"/>
          <w:szCs w:val="16"/>
          <w:color w:val="auto"/>
        </w:rPr>
        <w:t>security or data privacy breaches of our internal systems or those of commercial third parties; natural disasters and other catastrophic events that may cause damage or disruption;</w:t>
      </w:r>
    </w:p>
    <w:p>
      <w:pPr>
        <w:spacing w:after="0" w:line="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Securities and Exchange Commission civil enforcement action against one of our officers;</w:t>
      </w:r>
    </w:p>
    <w:p>
      <w:pPr>
        <w:spacing w:after="0" w:line="23" w:lineRule="exact"/>
        <w:rPr>
          <w:sz w:val="20"/>
          <w:szCs w:val="20"/>
          <w:color w:val="auto"/>
        </w:rPr>
      </w:pPr>
    </w:p>
    <w:p>
      <w:pPr>
        <w:ind w:left="1200" w:right="2880"/>
        <w:spacing w:after="0" w:line="302" w:lineRule="auto"/>
        <w:rPr>
          <w:sz w:val="20"/>
          <w:szCs w:val="20"/>
          <w:color w:val="auto"/>
        </w:rPr>
      </w:pPr>
      <w:r>
        <w:rPr>
          <w:rFonts w:ascii="Arial" w:cs="Arial" w:eastAsia="Arial" w:hAnsi="Arial"/>
          <w:sz w:val="17"/>
          <w:szCs w:val="17"/>
          <w:color w:val="auto"/>
        </w:rPr>
        <w:t>our potential inability to use our net operating losses and tax credits to offset future taxable income; U.S. federal income tax reform and additional effort and expenses incurred as a result; and complexities related to international marketing of our product candidates.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7" w:lineRule="exact"/>
        <w:rPr>
          <w:sz w:val="20"/>
          <w:szCs w:val="20"/>
          <w:color w:val="auto"/>
        </w:rPr>
      </w:pPr>
    </w:p>
    <w:p>
      <w:pPr>
        <w:ind w:left="1200" w:right="3640"/>
        <w:spacing w:after="0" w:line="266" w:lineRule="auto"/>
        <w:rPr>
          <w:sz w:val="20"/>
          <w:szCs w:val="20"/>
          <w:color w:val="auto"/>
        </w:rPr>
      </w:pPr>
      <w:r>
        <w:rPr>
          <w:rFonts w:ascii="Arial" w:cs="Arial" w:eastAsia="Arial" w:hAnsi="Arial"/>
          <w:sz w:val="18"/>
          <w:szCs w:val="18"/>
          <w:color w:val="auto"/>
        </w:rPr>
        <w:t>challenges to our ability to protect our intellectual property and proprietary technologies; the potentially narrow scope of patent protection we receive; potential threats to our competitive advantage;</w:t>
      </w:r>
    </w:p>
    <w:p>
      <w:pPr>
        <w:ind w:left="1200" w:right="1940"/>
        <w:spacing w:after="0" w:line="266" w:lineRule="auto"/>
        <w:rPr>
          <w:sz w:val="20"/>
          <w:szCs w:val="20"/>
          <w:color w:val="auto"/>
        </w:rPr>
      </w:pPr>
      <w:r>
        <w:rPr>
          <w:rFonts w:ascii="Arial" w:cs="Arial" w:eastAsia="Arial" w:hAnsi="Arial"/>
          <w:sz w:val="18"/>
          <w:szCs w:val="18"/>
          <w:color w:val="auto"/>
        </w:rPr>
        <w:t>our ability to operate without infringing intellectual property rights and claims of infringement by third parties; our potential inability to obtain or maintain rights to our product candidates through acquisitions and in-licenses; costs associated with protecting or enforcing our patents and our licensors’ patents; intellectual property litigation that may lead to unfavorable publicity;</w:t>
      </w:r>
    </w:p>
    <w:p>
      <w:pPr>
        <w:ind w:left="1200"/>
        <w:spacing w:after="0"/>
        <w:rPr>
          <w:sz w:val="20"/>
          <w:szCs w:val="20"/>
          <w:color w:val="auto"/>
        </w:rPr>
      </w:pPr>
      <w:r>
        <w:rPr>
          <w:rFonts w:ascii="Arial" w:cs="Arial" w:eastAsia="Arial" w:hAnsi="Arial"/>
          <w:sz w:val="18"/>
          <w:szCs w:val="18"/>
          <w:color w:val="auto"/>
        </w:rPr>
        <w:t>unfavorable outcomes from necessary derivation proceedings;</w:t>
      </w:r>
    </w:p>
    <w:p>
      <w:pPr>
        <w:spacing w:after="0" w:line="2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patent reform legislation and related uncertainties and costs;</w:t>
      </w:r>
    </w:p>
    <w:p>
      <w:pPr>
        <w:spacing w:after="0" w:line="23" w:lineRule="exact"/>
        <w:rPr>
          <w:sz w:val="20"/>
          <w:szCs w:val="20"/>
          <w:color w:val="auto"/>
        </w:rPr>
      </w:pPr>
    </w:p>
    <w:p>
      <w:pPr>
        <w:ind w:left="1200" w:right="4020"/>
        <w:spacing w:after="0" w:line="299" w:lineRule="auto"/>
        <w:rPr>
          <w:sz w:val="20"/>
          <w:szCs w:val="20"/>
          <w:color w:val="auto"/>
        </w:rPr>
      </w:pPr>
      <w:r>
        <w:rPr>
          <w:rFonts w:ascii="Arial" w:cs="Arial" w:eastAsia="Arial" w:hAnsi="Arial"/>
          <w:sz w:val="16"/>
          <w:szCs w:val="16"/>
          <w:color w:val="auto"/>
        </w:rPr>
        <w:t>changes in U.S. and international intellectual property laws and related challenges; claims challenging ownership of our intellectual property, including internationally;</w:t>
      </w:r>
    </w:p>
    <w:p>
      <w:pPr>
        <w:spacing w:after="0" w:line="1" w:lineRule="exact"/>
        <w:rPr>
          <w:sz w:val="20"/>
          <w:szCs w:val="20"/>
          <w:color w:val="auto"/>
        </w:rPr>
      </w:pPr>
    </w:p>
    <w:p>
      <w:pPr>
        <w:ind w:left="1200" w:right="3200"/>
        <w:spacing w:after="0" w:line="281" w:lineRule="auto"/>
        <w:rPr>
          <w:sz w:val="20"/>
          <w:szCs w:val="20"/>
          <w:color w:val="auto"/>
        </w:rPr>
      </w:pPr>
      <w:r>
        <w:rPr>
          <w:rFonts w:ascii="Arial" w:cs="Arial" w:eastAsia="Arial" w:hAnsi="Arial"/>
          <w:sz w:val="17"/>
          <w:szCs w:val="17"/>
          <w:color w:val="auto"/>
        </w:rPr>
        <w:t>patent terms and access to extensions that may not adequately protect our competitive position; our patent protection and dependence on compliance with various regulations;</w:t>
      </w:r>
    </w:p>
    <w:p>
      <w:pPr>
        <w:spacing w:after="0" w:line="1" w:lineRule="exact"/>
        <w:rPr>
          <w:sz w:val="20"/>
          <w:szCs w:val="20"/>
          <w:color w:val="auto"/>
        </w:rPr>
      </w:pPr>
    </w:p>
    <w:p>
      <w:pPr>
        <w:ind w:left="1200" w:right="1860"/>
        <w:spacing w:after="0" w:line="266" w:lineRule="auto"/>
        <w:rPr>
          <w:sz w:val="20"/>
          <w:szCs w:val="20"/>
          <w:color w:val="auto"/>
        </w:rPr>
      </w:pPr>
      <w:r>
        <w:rPr>
          <w:rFonts w:ascii="Arial" w:cs="Arial" w:eastAsia="Arial" w:hAnsi="Arial"/>
          <w:sz w:val="18"/>
          <w:szCs w:val="18"/>
          <w:color w:val="auto"/>
        </w:rPr>
        <w:t>potentially limited name recognition in our markets that depend on protection of our trademarks and trade names; difficulties in protecting confidentiality of our trade secrets;</w:t>
      </w:r>
    </w:p>
    <w:p>
      <w:pPr>
        <w:ind w:left="1200"/>
        <w:spacing w:after="0"/>
        <w:rPr>
          <w:sz w:val="20"/>
          <w:szCs w:val="20"/>
          <w:color w:val="auto"/>
        </w:rPr>
      </w:pPr>
      <w:r>
        <w:rPr>
          <w:rFonts w:ascii="Arial" w:cs="Arial" w:eastAsia="Arial" w:hAnsi="Arial"/>
          <w:sz w:val="18"/>
          <w:szCs w:val="18"/>
          <w:color w:val="auto"/>
        </w:rPr>
        <w:t>claims of wrongful disclosure of our confidential information or trade secrets;</w:t>
      </w:r>
    </w:p>
    <w:p>
      <w:pPr>
        <w:spacing w:after="0" w:line="2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claims of wrongful hiring or disclosure or use of competitors’ confidential information or trade secrets;</w:t>
      </w:r>
    </w:p>
    <w:p>
      <w:pPr>
        <w:spacing w:after="0" w:line="23" w:lineRule="exact"/>
        <w:rPr>
          <w:sz w:val="20"/>
          <w:szCs w:val="20"/>
          <w:color w:val="auto"/>
        </w:rPr>
      </w:pPr>
    </w:p>
    <w:p>
      <w:pPr>
        <w:ind w:left="1200" w:right="1400"/>
        <w:spacing w:after="0" w:line="266" w:lineRule="auto"/>
        <w:rPr>
          <w:sz w:val="20"/>
          <w:szCs w:val="20"/>
          <w:color w:val="auto"/>
        </w:rPr>
      </w:pPr>
      <w:r>
        <w:rPr>
          <w:rFonts w:ascii="Arial" w:cs="Arial" w:eastAsia="Arial" w:hAnsi="Arial"/>
          <w:sz w:val="18"/>
          <w:szCs w:val="18"/>
          <w:color w:val="auto"/>
        </w:rPr>
        <w:t>our product development and commercialization rights that are subject to unfavorable terms and conditions of licensors; potential business relationship disruptions due to failure to comply with license agreement obligations; our patent protection and prosecution that may be dependent on third parties; and</w:t>
      </w:r>
    </w:p>
    <w:p>
      <w:pPr>
        <w:ind w:left="1200"/>
        <w:spacing w:after="0"/>
        <w:rPr>
          <w:sz w:val="20"/>
          <w:szCs w:val="20"/>
          <w:color w:val="auto"/>
        </w:rPr>
      </w:pPr>
      <w:r>
        <w:rPr>
          <w:rFonts w:ascii="Arial" w:cs="Arial" w:eastAsia="Arial" w:hAnsi="Arial"/>
          <w:sz w:val="18"/>
          <w:szCs w:val="18"/>
          <w:color w:val="auto"/>
        </w:rPr>
        <w:t>intellectual property discovered through government funding and potential limits on our exclusive rights.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dependence on third parties</w:t>
      </w:r>
    </w:p>
    <w:p>
      <w:pPr>
        <w:spacing w:after="0" w:line="27" w:lineRule="exact"/>
        <w:rPr>
          <w:sz w:val="20"/>
          <w:szCs w:val="20"/>
          <w:color w:val="auto"/>
        </w:rPr>
      </w:pPr>
    </w:p>
    <w:p>
      <w:pPr>
        <w:ind w:left="1200" w:right="2080"/>
        <w:spacing w:after="0" w:line="266" w:lineRule="auto"/>
        <w:rPr>
          <w:sz w:val="20"/>
          <w:szCs w:val="20"/>
          <w:color w:val="auto"/>
        </w:rPr>
      </w:pPr>
      <w:r>
        <w:rPr>
          <w:rFonts w:ascii="Arial" w:cs="Arial" w:eastAsia="Arial" w:hAnsi="Arial"/>
          <w:sz w:val="18"/>
          <w:szCs w:val="18"/>
          <w:color w:val="auto"/>
        </w:rPr>
        <w:t>our dependence on third parties for production, preclinical studies and clinical trials of our product candidates; acquisitions or strategic partnerships that may increase capital requirements, dilution and debt; failure to establish commercially reasonable collaborations; and</w:t>
      </w:r>
    </w:p>
    <w:p>
      <w:pPr>
        <w:ind w:left="1200"/>
        <w:spacing w:after="0"/>
        <w:rPr>
          <w:sz w:val="20"/>
          <w:szCs w:val="20"/>
          <w:color w:val="auto"/>
        </w:rPr>
      </w:pPr>
      <w:r>
        <w:rPr>
          <w:rFonts w:ascii="Arial" w:cs="Arial" w:eastAsia="Arial" w:hAnsi="Arial"/>
          <w:sz w:val="18"/>
          <w:szCs w:val="18"/>
          <w:color w:val="auto"/>
        </w:rPr>
        <w:t>difficulties related to collaborations for development and commercialization of product candidates.</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Risks related to the securities markets and ownership of our common stock</w:t>
      </w:r>
    </w:p>
    <w:p>
      <w:pPr>
        <w:spacing w:after="0" w:line="27" w:lineRule="exact"/>
        <w:rPr>
          <w:sz w:val="20"/>
          <w:szCs w:val="20"/>
          <w:color w:val="auto"/>
        </w:rPr>
      </w:pPr>
    </w:p>
    <w:p>
      <w:pPr>
        <w:ind w:left="1200" w:right="4180"/>
        <w:spacing w:after="0" w:line="266" w:lineRule="auto"/>
        <w:rPr>
          <w:sz w:val="20"/>
          <w:szCs w:val="20"/>
          <w:color w:val="auto"/>
        </w:rPr>
      </w:pPr>
      <w:r>
        <w:rPr>
          <w:rFonts w:ascii="Arial" w:cs="Arial" w:eastAsia="Arial" w:hAnsi="Arial"/>
          <w:sz w:val="18"/>
          <w:szCs w:val="18"/>
          <w:color w:val="auto"/>
        </w:rPr>
        <w:t>market conditions and price that may limit your ability to sell our common stock; the volatility of our stock price;</w:t>
      </w:r>
    </w:p>
    <w:p>
      <w:pPr>
        <w:ind w:left="1200" w:right="3860"/>
        <w:spacing w:after="0" w:line="266" w:lineRule="auto"/>
        <w:rPr>
          <w:sz w:val="20"/>
          <w:szCs w:val="20"/>
          <w:color w:val="auto"/>
        </w:rPr>
      </w:pPr>
      <w:r>
        <w:rPr>
          <w:rFonts w:ascii="Arial" w:cs="Arial" w:eastAsia="Arial" w:hAnsi="Arial"/>
          <w:sz w:val="18"/>
          <w:szCs w:val="18"/>
          <w:color w:val="auto"/>
        </w:rPr>
        <w:t>adverse or misleading industry analyst publications regarding our business or market; significant fluctuations in our operating results;</w:t>
      </w:r>
    </w:p>
    <w:p>
      <w:pPr>
        <w:ind w:left="1200" w:right="2180"/>
        <w:spacing w:after="0" w:line="266" w:lineRule="auto"/>
        <w:rPr>
          <w:sz w:val="20"/>
          <w:szCs w:val="20"/>
          <w:color w:val="auto"/>
        </w:rPr>
      </w:pPr>
      <w:r>
        <w:rPr>
          <w:rFonts w:ascii="Arial" w:cs="Arial" w:eastAsia="Arial" w:hAnsi="Arial"/>
          <w:sz w:val="18"/>
          <w:szCs w:val="18"/>
          <w:color w:val="auto"/>
        </w:rPr>
        <w:t>principal stockholders and management that may exert significant control over stockholder approval matters; large sales of our stock that could cause our stock price to fall;</w:t>
      </w:r>
    </w:p>
    <w:p>
      <w:pPr>
        <w:ind w:left="1200" w:right="2800"/>
        <w:spacing w:after="0" w:line="266" w:lineRule="auto"/>
        <w:rPr>
          <w:sz w:val="20"/>
          <w:szCs w:val="20"/>
          <w:color w:val="auto"/>
        </w:rPr>
      </w:pPr>
      <w:r>
        <w:rPr>
          <w:rFonts w:ascii="Arial" w:cs="Arial" w:eastAsia="Arial" w:hAnsi="Arial"/>
          <w:sz w:val="18"/>
          <w:szCs w:val="18"/>
          <w:color w:val="auto"/>
        </w:rPr>
        <w:t>limitations related to our status as an emerging growth company and our transition after such status; failure of our internal controls that could impair our ability to produce accurate financial statements; limitations of our disclosure controls and procedures; liabilities related to securities litigation;</w:t>
      </w:r>
    </w:p>
    <w:p>
      <w:pPr>
        <w:ind w:left="1200"/>
        <w:spacing w:after="0"/>
        <w:rPr>
          <w:sz w:val="20"/>
          <w:szCs w:val="20"/>
          <w:color w:val="auto"/>
        </w:rPr>
      </w:pPr>
      <w:r>
        <w:rPr>
          <w:rFonts w:ascii="Arial" w:cs="Arial" w:eastAsia="Arial" w:hAnsi="Arial"/>
          <w:sz w:val="18"/>
          <w:szCs w:val="18"/>
          <w:color w:val="auto"/>
        </w:rPr>
        <w:t>our intention not to pay dividends;</w:t>
      </w:r>
    </w:p>
    <w:p>
      <w:pPr>
        <w:spacing w:after="0" w:line="23" w:lineRule="exact"/>
        <w:rPr>
          <w:sz w:val="20"/>
          <w:szCs w:val="20"/>
          <w:color w:val="auto"/>
        </w:rPr>
      </w:pPr>
    </w:p>
    <w:p>
      <w:pPr>
        <w:ind w:left="1200" w:right="1960"/>
        <w:spacing w:after="0" w:line="358" w:lineRule="auto"/>
        <w:rPr>
          <w:sz w:val="20"/>
          <w:szCs w:val="20"/>
          <w:color w:val="auto"/>
        </w:rPr>
      </w:pPr>
      <w:r>
        <w:rPr>
          <w:rFonts w:ascii="Arial" w:cs="Arial" w:eastAsia="Arial" w:hAnsi="Arial"/>
          <w:sz w:val="16"/>
          <w:szCs w:val="16"/>
          <w:color w:val="auto"/>
        </w:rPr>
        <w:t>provisions of our certificate of incorporation and bylaws that may prevent or delay a change in control; and exclusive forum provisions in our bylaws that may limit stockholder ability to obtain a favorable judicial forum.</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35" w:lineRule="exact"/>
        <w:rPr>
          <w:sz w:val="20"/>
          <w:szCs w:val="20"/>
          <w:color w:val="auto"/>
        </w:rPr>
      </w:pPr>
    </w:p>
    <w:p>
      <w:pPr>
        <w:ind w:right="600"/>
        <w:spacing w:after="0" w:line="359" w:lineRule="auto"/>
        <w:rPr>
          <w:sz w:val="20"/>
          <w:szCs w:val="20"/>
          <w:color w:val="auto"/>
        </w:rPr>
      </w:pPr>
      <w:r>
        <w:rPr>
          <w:rFonts w:ascii="Arial" w:cs="Arial" w:eastAsia="Arial" w:hAnsi="Arial"/>
          <w:sz w:val="16"/>
          <w:szCs w:val="16"/>
          <w:b w:val="1"/>
          <w:bCs w:val="1"/>
          <w:i w:val="1"/>
          <w:iCs w:val="1"/>
          <w:color w:val="auto"/>
        </w:rPr>
        <w:t>We have a limited operating history, have not initiated or completed any large-scale or pivotal clinical trials, and have no products approved for commercial sale, which may make it difficult for you to evaluate our current business and likelihood of success and viability.</w:t>
      </w:r>
    </w:p>
    <w:p>
      <w:pPr>
        <w:spacing w:after="0" w:line="17" w:lineRule="exact"/>
        <w:rPr>
          <w:sz w:val="20"/>
          <w:szCs w:val="20"/>
          <w:color w:val="auto"/>
        </w:rPr>
      </w:pPr>
    </w:p>
    <w:p>
      <w:pPr>
        <w:ind w:firstLine="749"/>
        <w:spacing w:after="0" w:line="288" w:lineRule="auto"/>
        <w:rPr>
          <w:sz w:val="20"/>
          <w:szCs w:val="20"/>
          <w:color w:val="auto"/>
        </w:rPr>
      </w:pPr>
      <w:r>
        <w:rPr>
          <w:rFonts w:ascii="Arial" w:cs="Arial" w:eastAsia="Arial" w:hAnsi="Arial"/>
          <w:sz w:val="17"/>
          <w:szCs w:val="17"/>
          <w:color w:val="auto"/>
        </w:rPr>
        <w:t>We are a clinical-stage biopharmaceutical company with a limited operating history upon which you can evaluate our business and prospects. We commenced operations in 2014, have no products approved for commercial sale and have not generated any revenue. Drug development is a highly uncertain undertaking and involves a substantial degree of risk. In 2019, we initiated our first two Phase 1b clinical trials for our lead product candidate, ORIC-101, and have not initiated clinical trials for any other product candidate. To date, we have devoted substantially all of our resources to research and development activities, including with respect to the preclinical and clinical development of ORIC-101, ORIC-533, ORIC-944, ORIC-114 and our other future product candidates, in-licensing of external programs, business planning, establishing and maintaining our intellectual property portfolio, hiring personnel, raising capital and providing general and administrative support for these operations.</w:t>
      </w:r>
    </w:p>
    <w:p>
      <w:pPr>
        <w:spacing w:after="0" w:line="73" w:lineRule="exact"/>
        <w:rPr>
          <w:sz w:val="20"/>
          <w:szCs w:val="20"/>
          <w:color w:val="auto"/>
        </w:rPr>
      </w:pPr>
    </w:p>
    <w:p>
      <w:pPr>
        <w:ind w:right="140" w:firstLine="749"/>
        <w:spacing w:after="0" w:line="275" w:lineRule="auto"/>
        <w:rPr>
          <w:sz w:val="20"/>
          <w:szCs w:val="20"/>
          <w:color w:val="auto"/>
        </w:rPr>
      </w:pPr>
      <w:r>
        <w:rPr>
          <w:rFonts w:ascii="Arial" w:cs="Arial" w:eastAsia="Arial" w:hAnsi="Arial"/>
          <w:sz w:val="18"/>
          <w:szCs w:val="18"/>
          <w:color w:val="auto"/>
        </w:rPr>
        <w:t>We have not yet demonstrated our ability to successfully initiate and complete any large-scale or pivotal clinical trials, obtain marketing approvals, manufacture a commercial-scale product or arrange for a third party to do so on our behalf, or conduct sales and marketing activities necessary for successful product commercialization. As a result, it may be more difficult for you to accurately predict our likelihood of success and viability than it could be if we had a longer operating history.</w:t>
      </w:r>
    </w:p>
    <w:p>
      <w:pPr>
        <w:spacing w:after="0" w:line="77" w:lineRule="exact"/>
        <w:rPr>
          <w:sz w:val="20"/>
          <w:szCs w:val="20"/>
          <w:color w:val="auto"/>
        </w:rPr>
      </w:pPr>
    </w:p>
    <w:p>
      <w:pPr>
        <w:ind w:right="180" w:firstLine="749"/>
        <w:spacing w:after="0" w:line="272" w:lineRule="auto"/>
        <w:rPr>
          <w:sz w:val="20"/>
          <w:szCs w:val="20"/>
          <w:color w:val="auto"/>
        </w:rPr>
      </w:pPr>
      <w:r>
        <w:rPr>
          <w:rFonts w:ascii="Arial" w:cs="Arial" w:eastAsia="Arial" w:hAnsi="Arial"/>
          <w:sz w:val="18"/>
          <w:szCs w:val="18"/>
          <w:color w:val="auto"/>
        </w:rPr>
        <w:t>In addition, we may encounter unforeseen expenses, difficulties, complications, delays and other known and unknown factors and risks frequently experienced by clinical-stage biopharmaceutical companies in rapidly evolving fields. We also may need to transition from a company with a research and development focus to a company capable of supporting commercial activities. We have not yet demonstrated an ability to successfully overcome such risks and difficulties, or to make such a transition. If we do not adequately address these risks and difficulties or successfully make such a transition, our business will suffer.</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incurred significant net losses since our inception, and we expect to continue to incur significant net losses for the foreseeable future.</w:t>
      </w:r>
    </w:p>
    <w:p>
      <w:pPr>
        <w:spacing w:after="0" w:line="154" w:lineRule="exact"/>
        <w:rPr>
          <w:sz w:val="20"/>
          <w:szCs w:val="20"/>
          <w:color w:val="auto"/>
        </w:rPr>
      </w:pPr>
    </w:p>
    <w:p>
      <w:pPr>
        <w:ind w:firstLine="749"/>
        <w:spacing w:after="0" w:line="286" w:lineRule="auto"/>
        <w:rPr>
          <w:sz w:val="20"/>
          <w:szCs w:val="20"/>
          <w:color w:val="auto"/>
        </w:rPr>
      </w:pPr>
      <w:r>
        <w:rPr>
          <w:rFonts w:ascii="Arial" w:cs="Arial" w:eastAsia="Arial" w:hAnsi="Arial"/>
          <w:sz w:val="17"/>
          <w:szCs w:val="17"/>
          <w:color w:val="auto"/>
        </w:rPr>
        <w:t>We have incurred significant net losses since our inception, have not generated any revenue from product sales to date and have financed our operations principally through private placements of our convertible preferred stock and the sale of our common stock in our initial public offering (IPO) in April 2020 and our public offering in November 2020. Our net loss was $55.9 million for the nine months ended September 30, 2021, and as of September 30, 2021, we had an accumulated deficit of $222.3 million. Our lead product candidate, ORIC-101, is in early-stage clinical trials and in June 2021, the U.S. Food and Drug Administration (FDA) cleared an Investigational New Drug Application (IND) for our product candidate, ORIC-533. In November 2021, we filed a Clinical Trail Application (CTA) for our product candidate, ORIC-114. In the fourth quarter of 2021, we plan on filing an IND with the FDA for our product candidate, ORIC-944. Our other programs are in preclinical discovery and research stages. As a result, we expect that it will be several years, if ever, before we have a commercialized product and generate revenue from product sales. Even if we succeed in receiving marketing approval for and commercializing one or more of our product candidates, we expect that we will continue to incur substantial research and development and other expenses in order to discover, develop and market additional potential products.</w:t>
      </w:r>
    </w:p>
    <w:p>
      <w:pPr>
        <w:spacing w:after="0" w:line="74" w:lineRule="exact"/>
        <w:rPr>
          <w:sz w:val="20"/>
          <w:szCs w:val="20"/>
          <w:color w:val="auto"/>
        </w:rPr>
      </w:pPr>
    </w:p>
    <w:p>
      <w:pPr>
        <w:ind w:firstLine="749"/>
        <w:spacing w:after="0" w:line="292" w:lineRule="auto"/>
        <w:rPr>
          <w:sz w:val="20"/>
          <w:szCs w:val="20"/>
          <w:color w:val="auto"/>
        </w:rPr>
      </w:pPr>
      <w:r>
        <w:rPr>
          <w:rFonts w:ascii="Arial" w:cs="Arial" w:eastAsia="Arial" w:hAnsi="Arial"/>
          <w:sz w:val="17"/>
          <w:szCs w:val="17"/>
          <w:color w:val="auto"/>
        </w:rPr>
        <w:t>We expect to continue to incur significant expenses and increasing operating losses for the foreseeable future. 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our ability to fund the development of our product candidates and our ability to achieve and maintain profitability and the performance of our stock.</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27" w:name="page28"/>
    <w:bookmarkEnd w:id="27"/>
    <w:p>
      <w:pPr>
        <w:ind w:right="440"/>
        <w:spacing w:after="0" w:line="293" w:lineRule="auto"/>
        <w:rPr>
          <w:sz w:val="20"/>
          <w:szCs w:val="20"/>
          <w:color w:val="auto"/>
        </w:rPr>
      </w:pPr>
      <w:r>
        <w:rPr>
          <w:rFonts w:ascii="Arial" w:cs="Arial" w:eastAsia="Arial" w:hAnsi="Arial"/>
          <w:sz w:val="18"/>
          <w:szCs w:val="18"/>
          <w:b w:val="1"/>
          <w:bCs w:val="1"/>
          <w:i w:val="1"/>
          <w:iCs w:val="1"/>
          <w:color w:val="auto"/>
        </w:rPr>
        <w:t>Our ability to generate revenue and achieve profitability depends significantly on our ability to achieve several objectives relating to the discovery, development and commercialization of our product candidates.</w:t>
      </w:r>
    </w:p>
    <w:p>
      <w:pPr>
        <w:spacing w:after="0" w:line="62" w:lineRule="exact"/>
        <w:rPr>
          <w:sz w:val="20"/>
          <w:szCs w:val="20"/>
          <w:color w:val="auto"/>
        </w:rPr>
      </w:pPr>
    </w:p>
    <w:p>
      <w:pPr>
        <w:ind w:firstLine="749"/>
        <w:spacing w:after="0" w:line="329" w:lineRule="auto"/>
        <w:rPr>
          <w:sz w:val="20"/>
          <w:szCs w:val="20"/>
          <w:color w:val="auto"/>
        </w:rPr>
      </w:pPr>
      <w:r>
        <w:rPr>
          <w:rFonts w:ascii="Arial" w:cs="Arial" w:eastAsia="Arial" w:hAnsi="Arial"/>
          <w:sz w:val="16"/>
          <w:szCs w:val="16"/>
          <w:color w:val="auto"/>
        </w:rPr>
        <w:t>Our business depends entirely on the successful discovery, development and commercialization of product candidates. We have no products approved for commercial sale and do not anticipate generating any revenue from product sales for the next several years, if ever. Our ability to generate revenue and achieve profitability depends significantly on our ability, or any current or future collaborator’s ability, to achieve several objectives, including:</w:t>
      </w:r>
    </w:p>
    <w:p>
      <w:pPr>
        <w:spacing w:after="0" w:line="26" w:lineRule="exact"/>
        <w:rPr>
          <w:sz w:val="20"/>
          <w:szCs w:val="20"/>
          <w:color w:val="auto"/>
        </w:rPr>
      </w:pPr>
    </w:p>
    <w:p>
      <w:pPr>
        <w:ind w:left="1200" w:right="240"/>
        <w:spacing w:after="0" w:line="277" w:lineRule="auto"/>
        <w:rPr>
          <w:sz w:val="20"/>
          <w:szCs w:val="20"/>
          <w:color w:val="auto"/>
        </w:rPr>
      </w:pPr>
      <w:r>
        <w:rPr>
          <w:rFonts w:ascii="Arial" w:cs="Arial" w:eastAsia="Arial" w:hAnsi="Arial"/>
          <w:sz w:val="18"/>
          <w:szCs w:val="18"/>
          <w:color w:val="auto"/>
        </w:rPr>
        <w:t>successful and timely completion of preclinical and clinical development of ORIC-101, ORIC-533, ORIC-944, ORIC-114 and our other future product candidates;</w:t>
      </w:r>
    </w:p>
    <w:p>
      <w:pPr>
        <w:spacing w:after="0" w:line="62" w:lineRule="exact"/>
        <w:rPr>
          <w:sz w:val="20"/>
          <w:szCs w:val="20"/>
          <w:color w:val="auto"/>
        </w:rPr>
      </w:pPr>
    </w:p>
    <w:p>
      <w:pPr>
        <w:ind w:left="1200" w:right="260"/>
        <w:spacing w:after="0" w:line="277" w:lineRule="auto"/>
        <w:rPr>
          <w:sz w:val="20"/>
          <w:szCs w:val="20"/>
          <w:color w:val="auto"/>
        </w:rPr>
      </w:pPr>
      <w:r>
        <w:rPr>
          <w:rFonts w:ascii="Arial" w:cs="Arial" w:eastAsia="Arial" w:hAnsi="Arial"/>
          <w:sz w:val="18"/>
          <w:szCs w:val="18"/>
          <w:color w:val="auto"/>
        </w:rPr>
        <w:t>establishing and maintaining relationships with contract research organizations (CROs) and clinical sites for the clinical development of ORIC-101, ORIC-533, ORIC-944, ORIC-114 and our other future product candidates;</w:t>
      </w:r>
    </w:p>
    <w:p>
      <w:pPr>
        <w:spacing w:after="0" w:line="62" w:lineRule="exact"/>
        <w:rPr>
          <w:sz w:val="20"/>
          <w:szCs w:val="20"/>
          <w:color w:val="auto"/>
        </w:rPr>
      </w:pPr>
    </w:p>
    <w:p>
      <w:pPr>
        <w:ind w:left="1200" w:right="680"/>
        <w:spacing w:after="0" w:line="277" w:lineRule="auto"/>
        <w:rPr>
          <w:sz w:val="20"/>
          <w:szCs w:val="20"/>
          <w:color w:val="auto"/>
        </w:rPr>
      </w:pPr>
      <w:r>
        <w:rPr>
          <w:rFonts w:ascii="Arial" w:cs="Arial" w:eastAsia="Arial" w:hAnsi="Arial"/>
          <w:sz w:val="18"/>
          <w:szCs w:val="18"/>
          <w:color w:val="auto"/>
        </w:rPr>
        <w:t>timely receipt of marketing approvals from applicable regulatory authorities for any product candidates for which we successfully complete clinical development;</w:t>
      </w:r>
    </w:p>
    <w:p>
      <w:pPr>
        <w:spacing w:after="0" w:line="62" w:lineRule="exact"/>
        <w:rPr>
          <w:sz w:val="20"/>
          <w:szCs w:val="20"/>
          <w:color w:val="auto"/>
        </w:rPr>
      </w:pPr>
    </w:p>
    <w:p>
      <w:pPr>
        <w:ind w:left="1200" w:right="480"/>
        <w:spacing w:after="0" w:line="277" w:lineRule="auto"/>
        <w:rPr>
          <w:sz w:val="20"/>
          <w:szCs w:val="20"/>
          <w:color w:val="auto"/>
        </w:rPr>
      </w:pPr>
      <w:r>
        <w:rPr>
          <w:rFonts w:ascii="Arial" w:cs="Arial" w:eastAsia="Arial" w:hAnsi="Arial"/>
          <w:sz w:val="18"/>
          <w:szCs w:val="18"/>
          <w:color w:val="auto"/>
        </w:rPr>
        <w:t>developing an efficient and scalable manufacturing process for our product candidates, including obtaining finished products that are appropriately packaged for sale;</w:t>
      </w:r>
    </w:p>
    <w:p>
      <w:pPr>
        <w:spacing w:after="0" w:line="62" w:lineRule="exact"/>
        <w:rPr>
          <w:sz w:val="20"/>
          <w:szCs w:val="20"/>
          <w:color w:val="auto"/>
        </w:rPr>
      </w:pPr>
    </w:p>
    <w:p>
      <w:pPr>
        <w:jc w:val="both"/>
        <w:ind w:left="1200" w:right="80"/>
        <w:spacing w:after="0" w:line="263" w:lineRule="auto"/>
        <w:rPr>
          <w:sz w:val="20"/>
          <w:szCs w:val="20"/>
          <w:color w:val="auto"/>
        </w:rPr>
      </w:pPr>
      <w:r>
        <w:rPr>
          <w:rFonts w:ascii="Arial" w:cs="Arial" w:eastAsia="Arial" w:hAnsi="Arial"/>
          <w:sz w:val="18"/>
          <w:szCs w:val="18"/>
          <w:color w:val="auto"/>
        </w:rPr>
        <w:t>establishing and maintaining commercially viable supply and manufacturing relationships with third parties that can provide adequate, in both amount and quality, products and services to support clinical development and meet the market demand for our product candidates, if approved;</w:t>
      </w:r>
    </w:p>
    <w:p>
      <w:pPr>
        <w:spacing w:after="0" w:line="76" w:lineRule="exact"/>
        <w:rPr>
          <w:sz w:val="20"/>
          <w:szCs w:val="20"/>
          <w:color w:val="auto"/>
        </w:rPr>
      </w:pPr>
    </w:p>
    <w:p>
      <w:pPr>
        <w:ind w:left="1200" w:right="240"/>
        <w:spacing w:after="0" w:line="277" w:lineRule="auto"/>
        <w:rPr>
          <w:sz w:val="20"/>
          <w:szCs w:val="20"/>
          <w:color w:val="auto"/>
        </w:rPr>
      </w:pPr>
      <w:r>
        <w:rPr>
          <w:rFonts w:ascii="Arial" w:cs="Arial" w:eastAsia="Arial" w:hAnsi="Arial"/>
          <w:sz w:val="18"/>
          <w:szCs w:val="18"/>
          <w:color w:val="auto"/>
        </w:rPr>
        <w:t>successful commercial launch following any marketing approval, including the development of a commercial infrastructure, whether in-house or with one or more collaborators;</w:t>
      </w:r>
    </w:p>
    <w:p>
      <w:pPr>
        <w:spacing w:after="0" w:line="62" w:lineRule="exact"/>
        <w:rPr>
          <w:sz w:val="20"/>
          <w:szCs w:val="20"/>
          <w:color w:val="auto"/>
        </w:rPr>
      </w:pPr>
    </w:p>
    <w:p>
      <w:pPr>
        <w:ind w:left="1200" w:right="2160"/>
        <w:spacing w:after="0" w:line="375" w:lineRule="auto"/>
        <w:rPr>
          <w:sz w:val="20"/>
          <w:szCs w:val="20"/>
          <w:color w:val="auto"/>
        </w:rPr>
      </w:pPr>
      <w:r>
        <w:rPr>
          <w:rFonts w:ascii="Arial" w:cs="Arial" w:eastAsia="Arial" w:hAnsi="Arial"/>
          <w:sz w:val="18"/>
          <w:szCs w:val="18"/>
          <w:color w:val="auto"/>
        </w:rPr>
        <w:t>a continued acceptable safety profile following any marketing approval of our product candidates; commercial acceptance of our product candidates by patients, the medical community and third-party payors; satisfying any required post-marketing approval commitments to applicable regulatory authorities; identifying, assessing and developing new product candidates;</w:t>
      </w:r>
    </w:p>
    <w:p>
      <w:pPr>
        <w:spacing w:after="0" w:line="2" w:lineRule="exact"/>
        <w:rPr>
          <w:sz w:val="20"/>
          <w:szCs w:val="20"/>
          <w:color w:val="auto"/>
        </w:rPr>
      </w:pPr>
    </w:p>
    <w:p>
      <w:pPr>
        <w:ind w:left="1200" w:right="280"/>
        <w:spacing w:after="0" w:line="277" w:lineRule="auto"/>
        <w:rPr>
          <w:sz w:val="20"/>
          <w:szCs w:val="20"/>
          <w:color w:val="auto"/>
        </w:rPr>
      </w:pPr>
      <w:r>
        <w:rPr>
          <w:rFonts w:ascii="Arial" w:cs="Arial" w:eastAsia="Arial" w:hAnsi="Arial"/>
          <w:sz w:val="18"/>
          <w:szCs w:val="18"/>
          <w:color w:val="auto"/>
        </w:rPr>
        <w:t>obtaining, maintaining and expanding patent protection, trade secret protection and regulatory exclusivity, both in the United States and internationally;</w:t>
      </w:r>
    </w:p>
    <w:p>
      <w:pPr>
        <w:spacing w:after="0" w:line="6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protecting our rights in our intellectual property portfolio;</w:t>
      </w:r>
    </w:p>
    <w:p>
      <w:pPr>
        <w:spacing w:after="0" w:line="11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defending against third-party interference or infringement claims, if any;</w:t>
      </w:r>
    </w:p>
    <w:p>
      <w:pPr>
        <w:spacing w:after="0" w:line="117" w:lineRule="exact"/>
        <w:rPr>
          <w:sz w:val="20"/>
          <w:szCs w:val="20"/>
          <w:color w:val="auto"/>
        </w:rPr>
      </w:pPr>
    </w:p>
    <w:p>
      <w:pPr>
        <w:ind w:left="1200" w:right="620"/>
        <w:spacing w:after="0" w:line="277" w:lineRule="auto"/>
        <w:rPr>
          <w:sz w:val="20"/>
          <w:szCs w:val="20"/>
          <w:color w:val="auto"/>
        </w:rPr>
      </w:pPr>
      <w:r>
        <w:rPr>
          <w:rFonts w:ascii="Arial" w:cs="Arial" w:eastAsia="Arial" w:hAnsi="Arial"/>
          <w:sz w:val="18"/>
          <w:szCs w:val="18"/>
          <w:color w:val="auto"/>
        </w:rPr>
        <w:t>entering into, on favorable terms, any collaboration, licensing or other arrangements that may be necessary or desirable to develop, manufacture or commercialize our product candidates;</w:t>
      </w:r>
    </w:p>
    <w:p>
      <w:pPr>
        <w:spacing w:after="0" w:line="62" w:lineRule="exact"/>
        <w:rPr>
          <w:sz w:val="20"/>
          <w:szCs w:val="20"/>
          <w:color w:val="auto"/>
        </w:rPr>
      </w:pPr>
    </w:p>
    <w:p>
      <w:pPr>
        <w:ind w:left="1200" w:right="3000"/>
        <w:spacing w:after="0" w:line="375" w:lineRule="auto"/>
        <w:rPr>
          <w:sz w:val="20"/>
          <w:szCs w:val="20"/>
          <w:color w:val="auto"/>
        </w:rPr>
      </w:pPr>
      <w:r>
        <w:rPr>
          <w:rFonts w:ascii="Arial" w:cs="Arial" w:eastAsia="Arial" w:hAnsi="Arial"/>
          <w:sz w:val="18"/>
          <w:szCs w:val="18"/>
          <w:color w:val="auto"/>
        </w:rPr>
        <w:t>obtaining coverage and adequate reimbursement by third-party payors for our product candidates; addressing any competing therapies and technological and market developments; and attracting, hiring and retaining qualified personnel.</w:t>
      </w:r>
    </w:p>
    <w:p>
      <w:pPr>
        <w:spacing w:after="0" w:line="2" w:lineRule="exact"/>
        <w:rPr>
          <w:sz w:val="20"/>
          <w:szCs w:val="20"/>
          <w:color w:val="auto"/>
        </w:rPr>
      </w:pPr>
    </w:p>
    <w:p>
      <w:pPr>
        <w:ind w:right="180" w:firstLine="749"/>
        <w:spacing w:after="0" w:line="279" w:lineRule="auto"/>
        <w:rPr>
          <w:sz w:val="20"/>
          <w:szCs w:val="20"/>
          <w:color w:val="auto"/>
        </w:rPr>
      </w:pPr>
      <w:r>
        <w:rPr>
          <w:rFonts w:ascii="Arial" w:cs="Arial" w:eastAsia="Arial" w:hAnsi="Arial"/>
          <w:sz w:val="17"/>
          <w:szCs w:val="17"/>
          <w:color w:val="auto"/>
        </w:rPr>
        <w:t>We may never be successful in achieving our objectives and, even if we do,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maintain or further our research and development efforts, raise additional necessary capital, grow our business and continue our operations.</w:t>
      </w:r>
    </w:p>
    <w:p>
      <w:pPr>
        <w:spacing w:after="0" w:line="77" w:lineRule="exact"/>
        <w:rPr>
          <w:sz w:val="20"/>
          <w:szCs w:val="20"/>
          <w:color w:val="auto"/>
        </w:rPr>
      </w:pPr>
    </w:p>
    <w:p>
      <w:pPr>
        <w:ind w:right="100"/>
        <w:spacing w:after="0" w:line="394" w:lineRule="auto"/>
        <w:rPr>
          <w:sz w:val="20"/>
          <w:szCs w:val="20"/>
          <w:color w:val="auto"/>
        </w:rPr>
      </w:pPr>
      <w:r>
        <w:rPr>
          <w:rFonts w:ascii="Arial" w:cs="Arial" w:eastAsia="Arial" w:hAnsi="Arial"/>
          <w:sz w:val="15"/>
          <w:szCs w:val="15"/>
          <w:b w:val="1"/>
          <w:bCs w:val="1"/>
          <w:i w:val="1"/>
          <w:iCs w:val="1"/>
          <w:color w:val="auto"/>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1" w:lineRule="exact"/>
        <w:rPr>
          <w:sz w:val="20"/>
          <w:szCs w:val="20"/>
          <w:color w:val="auto"/>
        </w:rPr>
      </w:pPr>
    </w:p>
    <w:p>
      <w:pPr>
        <w:ind w:firstLine="749"/>
        <w:spacing w:after="0" w:line="309" w:lineRule="auto"/>
        <w:rPr>
          <w:sz w:val="20"/>
          <w:szCs w:val="20"/>
          <w:color w:val="auto"/>
        </w:rPr>
      </w:pPr>
      <w:r>
        <w:rPr>
          <w:rFonts w:ascii="Arial" w:cs="Arial" w:eastAsia="Arial" w:hAnsi="Arial"/>
          <w:sz w:val="16"/>
          <w:szCs w:val="16"/>
          <w:color w:val="auto"/>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conduct clinical trials of, and seek marketing approval for, ORIC-101 and advance our other programs. Even if one or more of the product candidates that we develop is approved for commercial sale, we anticipate incurring significant costs associated with sales, marketing, manufacturing and distribution activities. Our expenses could increase beyond expectations if we are required by the FDA, the European Medicines Agency (EMA) or other regulatory agencies to perform clinical trials or preclinical studies in addition to those that we currently anticipate. Other unanticipated costs may also arise. Because the design and outcome of our planned and anticipated clinical trials are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8" w:name="page29"/>
    <w:bookmarkEnd w:id="28"/>
    <w:p>
      <w:pPr>
        <w:ind w:right="180"/>
        <w:spacing w:after="0" w:line="296" w:lineRule="auto"/>
        <w:rPr>
          <w:sz w:val="20"/>
          <w:szCs w:val="20"/>
          <w:color w:val="auto"/>
        </w:rPr>
      </w:pPr>
      <w:r>
        <w:rPr>
          <w:rFonts w:ascii="Arial" w:cs="Arial" w:eastAsia="Arial" w:hAnsi="Arial"/>
          <w:sz w:val="17"/>
          <w:szCs w:val="17"/>
          <w:color w:val="auto"/>
        </w:rPr>
        <w:t>highly uncertain, we cannot reasonably estimate the actual amount of resources and funding that will be necessary to successfully complete the development and commercialization of any product candidate we develop. We have not yet met with the FDA to discuss any of our product candidates or development programs, and we are not permitted to market or promote ORIC-101, or any other product candidate, before we receive marketing approval from the FDA. Accordingly, we will need to obtain substantial additional funding in order to continue our operations.</w:t>
      </w:r>
    </w:p>
    <w:p>
      <w:pPr>
        <w:spacing w:after="0" w:line="62" w:lineRule="exact"/>
        <w:rPr>
          <w:sz w:val="20"/>
          <w:szCs w:val="20"/>
          <w:color w:val="auto"/>
        </w:rPr>
      </w:pPr>
    </w:p>
    <w:p>
      <w:pPr>
        <w:ind w:right="60" w:firstLine="749"/>
        <w:spacing w:after="0" w:line="271" w:lineRule="auto"/>
        <w:rPr>
          <w:sz w:val="20"/>
          <w:szCs w:val="20"/>
          <w:color w:val="auto"/>
        </w:rPr>
      </w:pPr>
      <w:r>
        <w:rPr>
          <w:rFonts w:ascii="Arial" w:cs="Arial" w:eastAsia="Arial" w:hAnsi="Arial"/>
          <w:sz w:val="18"/>
          <w:szCs w:val="18"/>
          <w:color w:val="auto"/>
        </w:rPr>
        <w:t>As of September 30, 2021, we had $296.5 million in cash, cash equivalents and available-for-sale investments. Based on our current operating plan, we believe that our existing cash, cash equivalents and available-for-sale investments will be sufficient to fund our operations into 2024. Our estimate as to how long we expect our existing cash, cash equivalents, and available-for-sale investments, to be able to continue to fund our operations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83" w:lineRule="exact"/>
        <w:rPr>
          <w:sz w:val="20"/>
          <w:szCs w:val="20"/>
          <w:color w:val="auto"/>
        </w:rPr>
      </w:pPr>
    </w:p>
    <w:p>
      <w:pPr>
        <w:ind w:right="60" w:firstLine="749"/>
        <w:spacing w:after="0" w:line="269" w:lineRule="auto"/>
        <w:rPr>
          <w:sz w:val="20"/>
          <w:szCs w:val="20"/>
          <w:color w:val="auto"/>
        </w:rPr>
      </w:pPr>
      <w:r>
        <w:rPr>
          <w:rFonts w:ascii="Arial" w:cs="Arial" w:eastAsia="Arial" w:hAnsi="Arial"/>
          <w:sz w:val="18"/>
          <w:szCs w:val="18"/>
          <w:color w:val="auto"/>
        </w:rPr>
        <w:t>We will be required to obtain further funding through public or private equity offerings, debt financings, collaborations and licensing arrangements or other sources, which may dilute our stockholders or restrict our operating activities. We do not have any committed external source of funds. Adequate additional financing may not be available to us on acceptable terms, or at all. To the extent that we raise additional capital through the sale of equity or convertible debt securities, your ownership interest will be diluted, and the terms may include liquidation or other preferences that adversely affect your rights as a stockholder. Debt financing may result in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86" w:lineRule="exact"/>
        <w:rPr>
          <w:sz w:val="20"/>
          <w:szCs w:val="20"/>
          <w:color w:val="auto"/>
        </w:rPr>
      </w:pPr>
    </w:p>
    <w:p>
      <w:pPr>
        <w:ind w:right="60" w:firstLine="749"/>
        <w:spacing w:after="0" w:line="279" w:lineRule="auto"/>
        <w:rPr>
          <w:sz w:val="20"/>
          <w:szCs w:val="20"/>
          <w:color w:val="auto"/>
        </w:rPr>
      </w:pPr>
      <w:r>
        <w:rPr>
          <w:rFonts w:ascii="Arial" w:cs="Arial" w:eastAsia="Arial" w:hAnsi="Arial"/>
          <w:sz w:val="18"/>
          <w:szCs w:val="18"/>
          <w:color w:val="auto"/>
        </w:rPr>
        <w:t>Our failure to raise capital as and when needed or on acceptable terms would have a negative impact on our financial condition and our ability to pursue our business strategy, and we may have to delay, reduce the scope of, suspend or eliminate one or more of our research-stage programs, clinical trials or future commercialization efforts.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development and commercialization of our product candidates</w:t>
      </w:r>
    </w:p>
    <w:p>
      <w:pPr>
        <w:spacing w:after="0" w:line="135" w:lineRule="exact"/>
        <w:rPr>
          <w:sz w:val="20"/>
          <w:szCs w:val="20"/>
          <w:color w:val="auto"/>
        </w:rPr>
      </w:pPr>
    </w:p>
    <w:p>
      <w:pPr>
        <w:ind w:right="40"/>
        <w:spacing w:after="0" w:line="279" w:lineRule="auto"/>
        <w:rPr>
          <w:sz w:val="20"/>
          <w:szCs w:val="20"/>
          <w:color w:val="auto"/>
        </w:rPr>
      </w:pPr>
      <w:r>
        <w:rPr>
          <w:rFonts w:ascii="Arial" w:cs="Arial" w:eastAsia="Arial" w:hAnsi="Arial"/>
          <w:sz w:val="18"/>
          <w:szCs w:val="18"/>
          <w:b w:val="1"/>
          <w:bCs w:val="1"/>
          <w:i w:val="1"/>
          <w:iCs w:val="1"/>
          <w:color w:val="auto"/>
        </w:rPr>
        <w:t>We are substantially dependent on the success of our lead product candidate, ORIC-101, which is currently in early stage clinical trials. If we are unable to complete development of, obtain approval for and commercialize ORIC-101 for one or more indications in a timely manner, our business will be harmed.</w:t>
      </w:r>
    </w:p>
    <w:p>
      <w:pPr>
        <w:spacing w:after="0" w:line="75" w:lineRule="exact"/>
        <w:rPr>
          <w:sz w:val="20"/>
          <w:szCs w:val="20"/>
          <w:color w:val="auto"/>
        </w:rPr>
      </w:pPr>
    </w:p>
    <w:p>
      <w:pPr>
        <w:ind w:firstLine="749"/>
        <w:spacing w:after="0" w:line="306" w:lineRule="auto"/>
        <w:rPr>
          <w:sz w:val="20"/>
          <w:szCs w:val="20"/>
          <w:color w:val="auto"/>
        </w:rPr>
      </w:pPr>
      <w:r>
        <w:rPr>
          <w:rFonts w:ascii="Arial" w:cs="Arial" w:eastAsia="Arial" w:hAnsi="Arial"/>
          <w:sz w:val="16"/>
          <w:szCs w:val="16"/>
          <w:color w:val="auto"/>
        </w:rPr>
        <w:t>Our future success is dependent on our ability to timely and successfully complete clinical trials, obtain marketing approval for and successfully commercialize ORIC-101, our lead product candidate. We are investing the majority of our efforts and financial resources in the research and development of ORIC-101 for multiple indications. ORIC-101 is a potent and selective small molecule antagonist of GR, which has been linked to resistance to multiple classes of cancer therapeutics across a variety of solid tumors. In 2019, we initiated a Phase 1b clinical trial evaluating ORIC-101 in combination with nab-paclitaxel in patients with advanced or metastatic solid tumors. In the fourth quarter of 2019, we also initiated a Phase 1b clinical trial evaluating ORIC-101 in combination with enzalutamide in patients with metastatic prostate cancer progressing on enzalutamide. Prior to these two Phase 1b trials, ORIC-101 has only been studied in two Phase 1a trials in healthy volunteers. ORIC-101 will require additional clinical development, expansion of manufacturing capabilities, marketing approval from government regulators, substantial investment and significant marketing efforts before we can generate any revenues from product sales. We are not permitted to market or promote ORIC-101, or any other product candidate, before we receive marketing approval from the FDA and comparable foreign regulatory authorities, and we may never receive such marketing approvals.</w:t>
      </w:r>
    </w:p>
    <w:p>
      <w:pPr>
        <w:spacing w:after="0" w:line="5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success of ORIC-101 will depend on several factors, including the following:</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successful and timely completion of our ongoing clinical trials of ORIC-101;</w:t>
      </w:r>
    </w:p>
    <w:p>
      <w:pPr>
        <w:spacing w:after="0" w:line="131" w:lineRule="exact"/>
        <w:rPr>
          <w:sz w:val="20"/>
          <w:szCs w:val="20"/>
          <w:color w:val="auto"/>
        </w:rPr>
      </w:pPr>
    </w:p>
    <w:p>
      <w:pPr>
        <w:ind w:left="1200" w:right="40"/>
        <w:spacing w:after="0" w:line="293" w:lineRule="auto"/>
        <w:rPr>
          <w:sz w:val="20"/>
          <w:szCs w:val="20"/>
          <w:color w:val="auto"/>
        </w:rPr>
      </w:pPr>
      <w:r>
        <w:rPr>
          <w:rFonts w:ascii="Arial" w:cs="Arial" w:eastAsia="Arial" w:hAnsi="Arial"/>
          <w:sz w:val="18"/>
          <w:szCs w:val="18"/>
          <w:color w:val="auto"/>
        </w:rPr>
        <w:t>addressing any delays in our clinical trials and additional costs incurred as a result of the coronavirus-19 (COVID-19) pandemic, including those resulting from preclinical study delays and adjustment to our clinical trials;</w:t>
      </w:r>
    </w:p>
    <w:p>
      <w:pPr>
        <w:spacing w:after="0" w:line="6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initiation and successful patient enrollment and completion of additional clinical trials of ORIC-101 on a timely basis;</w:t>
      </w:r>
    </w:p>
    <w:p>
      <w:pPr>
        <w:spacing w:after="0" w:line="131" w:lineRule="exact"/>
        <w:rPr>
          <w:sz w:val="20"/>
          <w:szCs w:val="20"/>
          <w:color w:val="auto"/>
        </w:rPr>
      </w:pPr>
    </w:p>
    <w:p>
      <w:pPr>
        <w:ind w:left="1200" w:right="20"/>
        <w:spacing w:after="0" w:line="293" w:lineRule="auto"/>
        <w:rPr>
          <w:sz w:val="20"/>
          <w:szCs w:val="20"/>
          <w:color w:val="auto"/>
        </w:rPr>
      </w:pPr>
      <w:r>
        <w:rPr>
          <w:rFonts w:ascii="Arial" w:cs="Arial" w:eastAsia="Arial" w:hAnsi="Arial"/>
          <w:sz w:val="18"/>
          <w:szCs w:val="18"/>
          <w:color w:val="auto"/>
        </w:rPr>
        <w:t>maintaining and establishing relationships with CROs and clinical sites for the clinical development of ORIC-101 both in the United States and internationally;</w:t>
      </w:r>
    </w:p>
    <w:p>
      <w:pPr>
        <w:spacing w:after="0" w:line="6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frequency and severity of adverse events in clinical trials;</w:t>
      </w:r>
    </w:p>
    <w:p>
      <w:pPr>
        <w:spacing w:after="0" w:line="131" w:lineRule="exact"/>
        <w:rPr>
          <w:sz w:val="20"/>
          <w:szCs w:val="20"/>
          <w:color w:val="auto"/>
        </w:rPr>
      </w:pPr>
    </w:p>
    <w:p>
      <w:pPr>
        <w:ind w:left="1200" w:right="620"/>
        <w:spacing w:after="0" w:line="293" w:lineRule="auto"/>
        <w:rPr>
          <w:sz w:val="20"/>
          <w:szCs w:val="20"/>
          <w:color w:val="auto"/>
        </w:rPr>
      </w:pPr>
      <w:r>
        <w:rPr>
          <w:rFonts w:ascii="Arial" w:cs="Arial" w:eastAsia="Arial" w:hAnsi="Arial"/>
          <w:sz w:val="18"/>
          <w:szCs w:val="18"/>
          <w:color w:val="auto"/>
        </w:rPr>
        <w:t>demonstrating efficacy, safety and tolerability profiles that are satisfactory to the FDA, EMA or any comparable foreign regulatory authority for marketing approval;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9" w:name="page30"/>
    <w:bookmarkEnd w:id="29"/>
    <w:p>
      <w:pPr>
        <w:ind w:left="1200"/>
        <w:spacing w:after="0"/>
        <w:rPr>
          <w:sz w:val="20"/>
          <w:szCs w:val="20"/>
          <w:color w:val="auto"/>
        </w:rPr>
      </w:pPr>
      <w:r>
        <w:rPr>
          <w:rFonts w:ascii="Arial" w:cs="Arial" w:eastAsia="Arial" w:hAnsi="Arial"/>
          <w:sz w:val="18"/>
          <w:szCs w:val="18"/>
          <w:color w:val="auto"/>
        </w:rPr>
        <w:t>the timely receipt of marketing approvals for ORIC-101 from applicable regulatory authorities;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timely identification, development and approval of companion diagnostic tests, if required;</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extent of any required post-marketing approval commitments to applicable regulatory authorities;</w:t>
      </w:r>
    </w:p>
    <w:p>
      <w:pPr>
        <w:spacing w:after="0" w:line="131" w:lineRule="exact"/>
        <w:rPr>
          <w:sz w:val="20"/>
          <w:szCs w:val="20"/>
          <w:color w:val="auto"/>
        </w:rPr>
      </w:pPr>
    </w:p>
    <w:p>
      <w:pPr>
        <w:ind w:left="1200"/>
        <w:spacing w:after="0" w:line="293" w:lineRule="auto"/>
        <w:rPr>
          <w:sz w:val="20"/>
          <w:szCs w:val="20"/>
          <w:color w:val="auto"/>
        </w:rPr>
      </w:pPr>
      <w:r>
        <w:rPr>
          <w:rFonts w:ascii="Arial" w:cs="Arial" w:eastAsia="Arial" w:hAnsi="Arial"/>
          <w:sz w:val="18"/>
          <w:szCs w:val="18"/>
          <w:color w:val="auto"/>
        </w:rPr>
        <w:t>the maintenance of existing or the establishment of new supply arrangements with third-party drug product suppliers and manufacturers for clinical development and, if approved, commercialization of ORIC-101;</w:t>
      </w:r>
    </w:p>
    <w:p>
      <w:pPr>
        <w:spacing w:after="0" w:line="62" w:lineRule="exact"/>
        <w:rPr>
          <w:sz w:val="20"/>
          <w:szCs w:val="20"/>
          <w:color w:val="auto"/>
        </w:rPr>
      </w:pPr>
    </w:p>
    <w:p>
      <w:pPr>
        <w:ind w:left="1200" w:right="1120"/>
        <w:spacing w:after="0" w:line="293" w:lineRule="auto"/>
        <w:rPr>
          <w:sz w:val="20"/>
          <w:szCs w:val="20"/>
          <w:color w:val="auto"/>
        </w:rPr>
      </w:pPr>
      <w:r>
        <w:rPr>
          <w:rFonts w:ascii="Arial" w:cs="Arial" w:eastAsia="Arial" w:hAnsi="Arial"/>
          <w:sz w:val="18"/>
          <w:szCs w:val="18"/>
          <w:color w:val="auto"/>
        </w:rPr>
        <w:t>obtaining and maintaining patent protection, trade secret protection and regulatory exclusivity, both in the United States and internationally;</w:t>
      </w:r>
    </w:p>
    <w:p>
      <w:pPr>
        <w:spacing w:after="0" w:line="6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protection of our rights in our intellectual property portfolio;</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successful launch of commercial sales following any marketing approval;</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a continued acceptable safety profile following any marketing approval;</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commercial acceptance by patients, the medical community and third-party payors; and</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our ability to compete with other therapies.</w:t>
      </w:r>
    </w:p>
    <w:p>
      <w:pPr>
        <w:spacing w:after="0" w:line="131" w:lineRule="exact"/>
        <w:rPr>
          <w:sz w:val="20"/>
          <w:szCs w:val="20"/>
          <w:color w:val="auto"/>
        </w:rPr>
      </w:pPr>
    </w:p>
    <w:p>
      <w:pPr>
        <w:ind w:right="40" w:firstLine="749"/>
        <w:spacing w:after="0" w:line="272" w:lineRule="auto"/>
        <w:rPr>
          <w:sz w:val="20"/>
          <w:szCs w:val="20"/>
          <w:color w:val="auto"/>
        </w:rPr>
      </w:pPr>
      <w:r>
        <w:rPr>
          <w:rFonts w:ascii="Arial" w:cs="Arial" w:eastAsia="Arial" w:hAnsi="Arial"/>
          <w:sz w:val="18"/>
          <w:szCs w:val="18"/>
          <w:color w:val="auto"/>
        </w:rPr>
        <w:t>We do not have complete control over many of these factors, including certain aspects of clinical development and the regulatory submission process, potential threats to our intellectual property rights and the manufacturing, marketing, distribution and sales efforts of any future collaborator. If we are not successful with respect to one or more of these factors in a timely manner or at all, we could experience significant delays or an inability to successfully commercialize ORIC-101, which would materially harm our business. If we do not receive marketing approvals for ORIC-101, we may not be able to continue our operations.</w:t>
      </w:r>
    </w:p>
    <w:p>
      <w:pPr>
        <w:spacing w:after="0" w:line="83" w:lineRule="exact"/>
        <w:rPr>
          <w:sz w:val="20"/>
          <w:szCs w:val="20"/>
          <w:color w:val="auto"/>
        </w:rPr>
      </w:pPr>
    </w:p>
    <w:p>
      <w:pPr>
        <w:ind w:right="260"/>
        <w:spacing w:after="0" w:line="293" w:lineRule="auto"/>
        <w:rPr>
          <w:sz w:val="20"/>
          <w:szCs w:val="20"/>
          <w:color w:val="auto"/>
        </w:rPr>
      </w:pPr>
      <w:r>
        <w:rPr>
          <w:rFonts w:ascii="Arial" w:cs="Arial" w:eastAsia="Arial" w:hAnsi="Arial"/>
          <w:sz w:val="18"/>
          <w:szCs w:val="18"/>
          <w:b w:val="1"/>
          <w:bCs w:val="1"/>
          <w:i w:val="1"/>
          <w:iCs w:val="1"/>
          <w:color w:val="auto"/>
        </w:rPr>
        <w:t>In addition to ORIC-101, our prospects depend in part upon discovering, developing and commercializing additional product candidates, which may fail in development or suffer delays that adversely affect their commercial viability.</w:t>
      </w:r>
    </w:p>
    <w:p>
      <w:pPr>
        <w:spacing w:after="0" w:line="62" w:lineRule="exact"/>
        <w:rPr>
          <w:sz w:val="20"/>
          <w:szCs w:val="20"/>
          <w:color w:val="auto"/>
        </w:rPr>
      </w:pPr>
    </w:p>
    <w:p>
      <w:pPr>
        <w:ind w:right="280" w:firstLine="749"/>
        <w:spacing w:after="0" w:line="271" w:lineRule="auto"/>
        <w:rPr>
          <w:sz w:val="20"/>
          <w:szCs w:val="20"/>
          <w:color w:val="auto"/>
        </w:rPr>
      </w:pPr>
      <w:r>
        <w:rPr>
          <w:rFonts w:ascii="Arial" w:cs="Arial" w:eastAsia="Arial" w:hAnsi="Arial"/>
          <w:sz w:val="18"/>
          <w:szCs w:val="18"/>
          <w:color w:val="auto"/>
        </w:rPr>
        <w:t>Our future operating results are dependent on our ability to successfully discover, develop, obtain regulatory approval for and commercialize product candidates other than ORIC-101. All of our current programs other than ORIC-101, including ORIC-533, ORIC-944 and ORIC-114, are in research or preclinical development. A product candidate can unexpectedly fail at any stage of preclinical and/or clinical development. The historical failure rate for product candidates is high due to risks relating to safety, efficacy, clinical execution, changing standards of medical care and other unpredictable variables. The results from preclinical testing or early clinical trials of a product candidate may not be predictive of the results that will be obtained in later stage clinical trials of the product candidate.</w:t>
      </w:r>
    </w:p>
    <w:p>
      <w:pPr>
        <w:spacing w:after="0" w:line="8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success of other product candidates we may develop will depend on many factors, including the following:</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generating sufficient data to support the initiation or continuation of clinical trials;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addressing any delays in our research programs resulting from factors related to the COVID-19 pandemic;</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obtaining regulatory permission to initiate clinical trials;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contracting with the necessary parties to conduct clinical trials;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successful enrollment of patients in, and the completion of, clinical trials on a timely basis;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timely manufacture of sufficient quantities of a product candidate for use in clinical trials; and</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adverse events in clinical trials.</w:t>
      </w:r>
    </w:p>
    <w:p>
      <w:pPr>
        <w:spacing w:after="0" w:line="131" w:lineRule="exact"/>
        <w:rPr>
          <w:sz w:val="20"/>
          <w:szCs w:val="20"/>
          <w:color w:val="auto"/>
        </w:rPr>
      </w:pPr>
    </w:p>
    <w:p>
      <w:pPr>
        <w:ind w:right="560" w:firstLine="749"/>
        <w:spacing w:after="0" w:line="303" w:lineRule="auto"/>
        <w:rPr>
          <w:sz w:val="20"/>
          <w:szCs w:val="20"/>
          <w:color w:val="auto"/>
        </w:rPr>
      </w:pPr>
      <w:r>
        <w:rPr>
          <w:rFonts w:ascii="Arial" w:cs="Arial" w:eastAsia="Arial" w:hAnsi="Arial"/>
          <w:sz w:val="17"/>
          <w:szCs w:val="17"/>
          <w:color w:val="auto"/>
        </w:rPr>
        <w:t>Even if we successfully advance any other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commercialize or generate significant revenue from any product candidates.</w:t>
      </w:r>
    </w:p>
    <w:p>
      <w:pPr>
        <w:spacing w:after="0" w:line="56" w:lineRule="exact"/>
        <w:rPr>
          <w:sz w:val="20"/>
          <w:szCs w:val="20"/>
          <w:color w:val="auto"/>
        </w:rPr>
      </w:pPr>
    </w:p>
    <w:p>
      <w:pPr>
        <w:jc w:val="both"/>
        <w:ind w:right="120"/>
        <w:spacing w:after="0" w:line="279" w:lineRule="auto"/>
        <w:rPr>
          <w:sz w:val="20"/>
          <w:szCs w:val="20"/>
          <w:color w:val="auto"/>
        </w:rPr>
      </w:pPr>
      <w:r>
        <w:rPr>
          <w:rFonts w:ascii="Arial" w:cs="Arial" w:eastAsia="Arial" w:hAnsi="Arial"/>
          <w:sz w:val="18"/>
          <w:szCs w:val="18"/>
          <w:b w:val="1"/>
          <w:bCs w:val="1"/>
          <w:i w:val="1"/>
          <w:iCs w:val="1"/>
          <w:color w:val="auto"/>
        </w:rPr>
        <w:t>The regulatory approval processes of the FDA, EMA and other comparable foreign regulatory authorities are lengthy, time consuming and inherently unpredictable. If we are ultimately unable to obtain regulatory approval of our product candidates, we will be unable to generate product revenue and our business will be substantially harmed.</w:t>
      </w:r>
    </w:p>
    <w:p>
      <w:pPr>
        <w:spacing w:after="0" w:line="75" w:lineRule="exact"/>
        <w:rPr>
          <w:sz w:val="20"/>
          <w:szCs w:val="20"/>
          <w:color w:val="auto"/>
        </w:rPr>
      </w:pPr>
    </w:p>
    <w:p>
      <w:pPr>
        <w:ind w:right="20" w:firstLine="749"/>
        <w:spacing w:after="0" w:line="272" w:lineRule="auto"/>
        <w:rPr>
          <w:sz w:val="20"/>
          <w:szCs w:val="20"/>
          <w:color w:val="auto"/>
        </w:rPr>
      </w:pPr>
      <w:r>
        <w:rPr>
          <w:rFonts w:ascii="Arial" w:cs="Arial" w:eastAsia="Arial" w:hAnsi="Arial"/>
          <w:sz w:val="18"/>
          <w:szCs w:val="18"/>
          <w:color w:val="auto"/>
        </w:rPr>
        <w:t>Obtaining approval by the FDA, EMA and other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0" w:name="page31"/>
    <w:bookmarkEnd w:id="30"/>
    <w:p>
      <w:pPr>
        <w:ind w:right="40"/>
        <w:spacing w:after="0" w:line="311" w:lineRule="auto"/>
        <w:rPr>
          <w:sz w:val="20"/>
          <w:szCs w:val="20"/>
          <w:color w:val="auto"/>
        </w:rPr>
      </w:pPr>
      <w:r>
        <w:rPr>
          <w:rFonts w:ascii="Arial" w:cs="Arial" w:eastAsia="Arial" w:hAnsi="Arial"/>
          <w:sz w:val="16"/>
          <w:szCs w:val="16"/>
          <w:color w:val="auto"/>
        </w:rPr>
        <w:t>substantial discretion in the approval process and may refuse to accept any application or may decide that our data are insufficient for approval and require additional preclinical, clinical or other data. Even if we eventually complete clinical testing and receive approval for our product candidates, the FDA, EMA and other comparable foreign regulatory authorities may approve our product candidates for a more limited indication or a narrower patient population than we originally requested or may impose other prescribing limitations or warnings that limit the product’s commercial potential. We have not submitted for, or obtained, regulatory approval for any product candidate, and it is possible that none of our product candidates will ever obtain regulatory approval. Further, development of our product candidates and/or regulatory approval may be delayed for reasons beyond our control.</w:t>
      </w:r>
    </w:p>
    <w:p>
      <w:pPr>
        <w:spacing w:after="0" w:line="5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Applications for our product candidates could fail to receive regulatory approval for many reasons, including the following:</w:t>
      </w:r>
    </w:p>
    <w:p>
      <w:pPr>
        <w:spacing w:after="0" w:line="131" w:lineRule="exact"/>
        <w:rPr>
          <w:sz w:val="20"/>
          <w:szCs w:val="20"/>
          <w:color w:val="auto"/>
        </w:rPr>
      </w:pPr>
    </w:p>
    <w:p>
      <w:pPr>
        <w:ind w:left="1200" w:right="160"/>
        <w:spacing w:after="0" w:line="293" w:lineRule="auto"/>
        <w:rPr>
          <w:sz w:val="20"/>
          <w:szCs w:val="20"/>
          <w:color w:val="auto"/>
        </w:rPr>
      </w:pPr>
      <w:r>
        <w:rPr>
          <w:rFonts w:ascii="Arial" w:cs="Arial" w:eastAsia="Arial" w:hAnsi="Arial"/>
          <w:sz w:val="18"/>
          <w:szCs w:val="18"/>
          <w:color w:val="auto"/>
        </w:rPr>
        <w:t>the FDA, EMA or other comparable foreign regulatory authorities may disagree with the design, implementation or results of our clinical trials;</w:t>
      </w:r>
    </w:p>
    <w:p>
      <w:pPr>
        <w:spacing w:after="0" w:line="62" w:lineRule="exact"/>
        <w:rPr>
          <w:sz w:val="20"/>
          <w:szCs w:val="20"/>
          <w:color w:val="auto"/>
        </w:rPr>
      </w:pPr>
    </w:p>
    <w:p>
      <w:pPr>
        <w:ind w:left="1200"/>
        <w:spacing w:after="0" w:line="279" w:lineRule="auto"/>
        <w:rPr>
          <w:sz w:val="20"/>
          <w:szCs w:val="20"/>
          <w:color w:val="auto"/>
        </w:rPr>
      </w:pPr>
      <w:r>
        <w:rPr>
          <w:rFonts w:ascii="Arial" w:cs="Arial" w:eastAsia="Arial" w:hAnsi="Arial"/>
          <w:sz w:val="18"/>
          <w:szCs w:val="18"/>
          <w:color w:val="auto"/>
        </w:rPr>
        <w:t>the FDA, EMA or other comparable foreign regulatory authorities may determine that our product candidates are not safe and effective, are only moderately effective or have undesirable or unintended side effects, toxicities or other characteristics that preclude our obtaining marketing approval or prevent or limit commercial use;</w:t>
      </w:r>
    </w:p>
    <w:p>
      <w:pPr>
        <w:spacing w:after="0" w:line="75" w:lineRule="exact"/>
        <w:rPr>
          <w:sz w:val="20"/>
          <w:szCs w:val="20"/>
          <w:color w:val="auto"/>
        </w:rPr>
      </w:pPr>
    </w:p>
    <w:p>
      <w:pPr>
        <w:ind w:left="1200" w:right="40"/>
        <w:spacing w:after="0" w:line="293" w:lineRule="auto"/>
        <w:rPr>
          <w:sz w:val="20"/>
          <w:szCs w:val="20"/>
          <w:color w:val="auto"/>
        </w:rPr>
      </w:pPr>
      <w:r>
        <w:rPr>
          <w:rFonts w:ascii="Arial" w:cs="Arial" w:eastAsia="Arial" w:hAnsi="Arial"/>
          <w:sz w:val="18"/>
          <w:szCs w:val="18"/>
          <w:color w:val="auto"/>
        </w:rPr>
        <w:t>the population studied in the clinical trial may not be sufficiently broad or representative to assure efficacy and safety in the full population for which we seek approval;</w:t>
      </w:r>
    </w:p>
    <w:p>
      <w:pPr>
        <w:spacing w:after="0" w:line="62" w:lineRule="exact"/>
        <w:rPr>
          <w:sz w:val="20"/>
          <w:szCs w:val="20"/>
          <w:color w:val="auto"/>
        </w:rPr>
      </w:pPr>
    </w:p>
    <w:p>
      <w:pPr>
        <w:ind w:left="1200" w:right="140"/>
        <w:spacing w:after="0" w:line="293" w:lineRule="auto"/>
        <w:rPr>
          <w:sz w:val="20"/>
          <w:szCs w:val="20"/>
          <w:color w:val="auto"/>
        </w:rPr>
      </w:pPr>
      <w:r>
        <w:rPr>
          <w:rFonts w:ascii="Arial" w:cs="Arial" w:eastAsia="Arial" w:hAnsi="Arial"/>
          <w:sz w:val="18"/>
          <w:szCs w:val="18"/>
          <w:color w:val="auto"/>
        </w:rPr>
        <w:t>the FDA, EMA or other comparable foreign regulatory authorities may disagree with our interpretation of data from preclinical studies or clinical trials;</w:t>
      </w:r>
    </w:p>
    <w:p>
      <w:pPr>
        <w:spacing w:after="0" w:line="62" w:lineRule="exact"/>
        <w:rPr>
          <w:sz w:val="20"/>
          <w:szCs w:val="20"/>
          <w:color w:val="auto"/>
        </w:rPr>
      </w:pPr>
    </w:p>
    <w:p>
      <w:pPr>
        <w:ind w:left="1200" w:right="220"/>
        <w:spacing w:after="0" w:line="293" w:lineRule="auto"/>
        <w:rPr>
          <w:sz w:val="20"/>
          <w:szCs w:val="20"/>
          <w:color w:val="auto"/>
        </w:rPr>
      </w:pPr>
      <w:r>
        <w:rPr>
          <w:rFonts w:ascii="Arial" w:cs="Arial" w:eastAsia="Arial" w:hAnsi="Arial"/>
          <w:sz w:val="18"/>
          <w:szCs w:val="18"/>
          <w:color w:val="auto"/>
        </w:rPr>
        <w:t>we may be unable to demonstrate to the FDA, EMA or other comparable foreign regulatory authorities that our product candidate’s risk-benefit ratio for its proposed indication is acceptable;</w:t>
      </w:r>
    </w:p>
    <w:p>
      <w:pPr>
        <w:spacing w:after="0" w:line="62" w:lineRule="exact"/>
        <w:rPr>
          <w:sz w:val="20"/>
          <w:szCs w:val="20"/>
          <w:color w:val="auto"/>
        </w:rPr>
      </w:pPr>
    </w:p>
    <w:p>
      <w:pPr>
        <w:ind w:left="1200" w:right="260"/>
        <w:spacing w:after="0" w:line="324" w:lineRule="auto"/>
        <w:rPr>
          <w:sz w:val="20"/>
          <w:szCs w:val="20"/>
          <w:color w:val="auto"/>
        </w:rPr>
      </w:pPr>
      <w:r>
        <w:rPr>
          <w:rFonts w:ascii="Arial" w:cs="Arial" w:eastAsia="Arial" w:hAnsi="Arial"/>
          <w:sz w:val="17"/>
          <w:szCs w:val="17"/>
          <w:color w:val="auto"/>
        </w:rPr>
        <w:t>the FDA, EMA or other comparable foreign regulatory authorities may fail to approve the manufacturing processes, test procedures and specifications or facilities of third-party manufacturers with which we contract for clinical and commercial supplies;</w:t>
      </w:r>
    </w:p>
    <w:p>
      <w:pPr>
        <w:spacing w:after="0" w:line="39" w:lineRule="exact"/>
        <w:rPr>
          <w:sz w:val="20"/>
          <w:szCs w:val="20"/>
          <w:color w:val="auto"/>
        </w:rPr>
      </w:pPr>
    </w:p>
    <w:p>
      <w:pPr>
        <w:ind w:left="1200" w:right="40"/>
        <w:spacing w:after="0" w:line="293" w:lineRule="auto"/>
        <w:rPr>
          <w:sz w:val="20"/>
          <w:szCs w:val="20"/>
          <w:color w:val="auto"/>
        </w:rPr>
      </w:pPr>
      <w:r>
        <w:rPr>
          <w:rFonts w:ascii="Arial" w:cs="Arial" w:eastAsia="Arial" w:hAnsi="Arial"/>
          <w:sz w:val="18"/>
          <w:szCs w:val="18"/>
          <w:color w:val="auto"/>
        </w:rPr>
        <w:t>the FDA, EMA or other comparable regulatory authorities may fail to approve companion diagnostic tests that are required for our product candidates; and</w:t>
      </w:r>
    </w:p>
    <w:p>
      <w:pPr>
        <w:spacing w:after="0" w:line="62" w:lineRule="exact"/>
        <w:rPr>
          <w:sz w:val="20"/>
          <w:szCs w:val="20"/>
          <w:color w:val="auto"/>
        </w:rPr>
      </w:pPr>
    </w:p>
    <w:p>
      <w:pPr>
        <w:ind w:left="1200" w:right="340"/>
        <w:spacing w:after="0" w:line="293" w:lineRule="auto"/>
        <w:rPr>
          <w:sz w:val="20"/>
          <w:szCs w:val="20"/>
          <w:color w:val="auto"/>
        </w:rPr>
      </w:pPr>
      <w:r>
        <w:rPr>
          <w:rFonts w:ascii="Arial" w:cs="Arial" w:eastAsia="Arial" w:hAnsi="Arial"/>
          <w:sz w:val="18"/>
          <w:szCs w:val="18"/>
          <w:color w:val="auto"/>
        </w:rPr>
        <w:t>the approval policies or regulations of the FDA, EMA or other comparable foreign regulatory authorities may significantly change in a manner rendering our clinical data insufficient for approval.</w:t>
      </w:r>
    </w:p>
    <w:p>
      <w:pPr>
        <w:spacing w:after="0" w:line="62" w:lineRule="exact"/>
        <w:rPr>
          <w:sz w:val="20"/>
          <w:szCs w:val="20"/>
          <w:color w:val="auto"/>
        </w:rPr>
      </w:pPr>
    </w:p>
    <w:p>
      <w:pPr>
        <w:ind w:right="640" w:firstLine="749"/>
        <w:spacing w:after="0" w:line="359" w:lineRule="auto"/>
        <w:rPr>
          <w:sz w:val="20"/>
          <w:szCs w:val="20"/>
          <w:color w:val="auto"/>
        </w:rPr>
      </w:pPr>
      <w:r>
        <w:rPr>
          <w:rFonts w:ascii="Arial" w:cs="Arial" w:eastAsia="Arial" w:hAnsi="Arial"/>
          <w:sz w:val="16"/>
          <w:szCs w:val="16"/>
          <w:color w:val="auto"/>
        </w:rPr>
        <w:t>This lengthy approval process, as well as the unpredictability of the results of clinical trials, may result in our failing to obtain regulatory approval to market any of our product candidates, which would significantly harm our business, results of operations and prospects.</w:t>
      </w:r>
    </w:p>
    <w:p>
      <w:pPr>
        <w:spacing w:after="0" w:line="17" w:lineRule="exact"/>
        <w:rPr>
          <w:sz w:val="20"/>
          <w:szCs w:val="20"/>
          <w:color w:val="auto"/>
        </w:rPr>
      </w:pPr>
    </w:p>
    <w:p>
      <w:pPr>
        <w:ind w:right="80"/>
        <w:spacing w:after="0" w:line="293" w:lineRule="auto"/>
        <w:rPr>
          <w:sz w:val="20"/>
          <w:szCs w:val="20"/>
          <w:color w:val="auto"/>
        </w:rPr>
      </w:pPr>
      <w:r>
        <w:rPr>
          <w:rFonts w:ascii="Arial" w:cs="Arial" w:eastAsia="Arial" w:hAnsi="Arial"/>
          <w:sz w:val="18"/>
          <w:szCs w:val="18"/>
          <w:b w:val="1"/>
          <w:bCs w:val="1"/>
          <w:i w:val="1"/>
          <w:iCs w:val="1"/>
          <w:color w:val="auto"/>
        </w:rPr>
        <w:t>The clinical trials of our product candidates may not demonstrate safety and efficacy to the satisfaction of the FDA, EMA or other comparable foreign regulatory authorities or otherwise produce positive results.</w:t>
      </w:r>
    </w:p>
    <w:p>
      <w:pPr>
        <w:spacing w:after="0" w:line="62" w:lineRule="exact"/>
        <w:rPr>
          <w:sz w:val="20"/>
          <w:szCs w:val="20"/>
          <w:color w:val="auto"/>
        </w:rPr>
      </w:pPr>
    </w:p>
    <w:p>
      <w:pPr>
        <w:ind w:right="80" w:firstLine="749"/>
        <w:spacing w:after="0" w:line="270" w:lineRule="auto"/>
        <w:rPr>
          <w:sz w:val="20"/>
          <w:szCs w:val="20"/>
          <w:color w:val="auto"/>
        </w:rPr>
      </w:pPr>
      <w:r>
        <w:rPr>
          <w:rFonts w:ascii="Arial" w:cs="Arial" w:eastAsia="Arial" w:hAnsi="Arial"/>
          <w:sz w:val="18"/>
          <w:szCs w:val="18"/>
          <w:color w:val="auto"/>
        </w:rPr>
        <w:t>Before obtaining marketing approval from the FDA, EMA or other comparable foreign regulatory authorities for the sale of our product candidates, we must complete preclinical development and extensive clinical trials to demonstrate with substantial evidence the safety and efficacy of such product candidates. Clinical testing is expensive, difficult to design and implement, can take many years to complete and its ultimate outcome is uncertain. A failure of one or more clinical trials can occur at any stage of the process. The outcome of preclinical studies and early-stage clinical trials may not be predictive of the success of later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w:t>
      </w:r>
    </w:p>
    <w:p>
      <w:pPr>
        <w:spacing w:after="0" w:line="84" w:lineRule="exact"/>
        <w:rPr>
          <w:sz w:val="20"/>
          <w:szCs w:val="20"/>
          <w:color w:val="auto"/>
        </w:rPr>
      </w:pPr>
    </w:p>
    <w:p>
      <w:pPr>
        <w:ind w:right="80" w:firstLine="749"/>
        <w:spacing w:after="0" w:line="293" w:lineRule="auto"/>
        <w:rPr>
          <w:sz w:val="20"/>
          <w:szCs w:val="20"/>
          <w:color w:val="auto"/>
        </w:rPr>
      </w:pPr>
      <w:r>
        <w:rPr>
          <w:rFonts w:ascii="Arial" w:cs="Arial" w:eastAsia="Arial" w:hAnsi="Arial"/>
          <w:sz w:val="18"/>
          <w:szCs w:val="18"/>
          <w:color w:val="auto"/>
        </w:rPr>
        <w:t>We may experience numerous unforeseen events during, or as a result of, clinical trials that could delay or prevent receipt of marketing approval or our ability to commercialize our product candidates, including:</w:t>
      </w:r>
    </w:p>
    <w:p>
      <w:pPr>
        <w:spacing w:after="0" w:line="48"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receipt of feedback from regulatory authorities that requires us to modify the design of our clinical trials;</w:t>
      </w:r>
    </w:p>
    <w:p>
      <w:pPr>
        <w:spacing w:after="0" w:line="104" w:lineRule="exact"/>
        <w:rPr>
          <w:sz w:val="20"/>
          <w:szCs w:val="20"/>
          <w:color w:val="auto"/>
        </w:rPr>
      </w:pPr>
    </w:p>
    <w:p>
      <w:pPr>
        <w:ind w:left="1200" w:right="160"/>
        <w:spacing w:after="0" w:line="261" w:lineRule="auto"/>
        <w:rPr>
          <w:sz w:val="20"/>
          <w:szCs w:val="20"/>
          <w:color w:val="auto"/>
        </w:rPr>
      </w:pPr>
      <w:r>
        <w:rPr>
          <w:rFonts w:ascii="Arial" w:cs="Arial" w:eastAsia="Arial" w:hAnsi="Arial"/>
          <w:sz w:val="18"/>
          <w:szCs w:val="18"/>
          <w:color w:val="auto"/>
        </w:rPr>
        <w:t>negative or inconclusive clinical trial results that may require us to conduct additional clinical trials or abandon certain drug development programs;</w:t>
      </w:r>
    </w:p>
    <w:p>
      <w:pPr>
        <w:spacing w:after="0" w:line="63" w:lineRule="exact"/>
        <w:rPr>
          <w:sz w:val="20"/>
          <w:szCs w:val="20"/>
          <w:color w:val="auto"/>
        </w:rPr>
      </w:pPr>
    </w:p>
    <w:p>
      <w:pPr>
        <w:ind w:left="1200" w:right="680"/>
        <w:spacing w:after="0" w:line="261" w:lineRule="auto"/>
        <w:rPr>
          <w:sz w:val="20"/>
          <w:szCs w:val="20"/>
          <w:color w:val="auto"/>
        </w:rPr>
      </w:pPr>
      <w:r>
        <w:rPr>
          <w:rFonts w:ascii="Arial" w:cs="Arial" w:eastAsia="Arial" w:hAnsi="Arial"/>
          <w:sz w:val="18"/>
          <w:szCs w:val="18"/>
          <w:color w:val="auto"/>
        </w:rPr>
        <w:t>the number of patients required for clinical trials being larger than anticipated, enrollment in these clinical trials being slower than anticipated or participants dropping out of these clinical trials at a higher rate than anticipated;</w:t>
      </w:r>
    </w:p>
    <w:p>
      <w:pPr>
        <w:spacing w:after="0" w:line="63" w:lineRule="exact"/>
        <w:rPr>
          <w:sz w:val="20"/>
          <w:szCs w:val="20"/>
          <w:color w:val="auto"/>
        </w:rPr>
      </w:pPr>
    </w:p>
    <w:p>
      <w:pPr>
        <w:ind w:left="1200" w:right="160"/>
        <w:spacing w:after="0" w:line="261" w:lineRule="auto"/>
        <w:rPr>
          <w:sz w:val="20"/>
          <w:szCs w:val="20"/>
          <w:color w:val="auto"/>
        </w:rPr>
      </w:pPr>
      <w:r>
        <w:rPr>
          <w:rFonts w:ascii="Arial" w:cs="Arial" w:eastAsia="Arial" w:hAnsi="Arial"/>
          <w:sz w:val="18"/>
          <w:szCs w:val="18"/>
          <w:color w:val="auto"/>
        </w:rPr>
        <w:t>third-party contractors failing to comply with regulatory requirements or meet their contractual obligations to us in a timely manner, or at all;</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1" w:name="page32"/>
    <w:bookmarkEnd w:id="31"/>
    <w:p>
      <w:pPr>
        <w:ind w:left="1200" w:right="60"/>
        <w:spacing w:after="0" w:line="261" w:lineRule="auto"/>
        <w:rPr>
          <w:sz w:val="20"/>
          <w:szCs w:val="20"/>
          <w:color w:val="auto"/>
        </w:rPr>
      </w:pPr>
      <w:r>
        <w:rPr>
          <w:rFonts w:ascii="Arial" w:cs="Arial" w:eastAsia="Arial" w:hAnsi="Arial"/>
          <w:sz w:val="18"/>
          <w:szCs w:val="18"/>
          <w:color w:val="auto"/>
        </w:rPr>
        <w:t>the suspension or termination of our clinical trials for various reasons, including non-compliance with regulatory requirements or a finding that our product candidates have undesirable side effects or other unexpected characteristics or risks;</w:t>
      </w:r>
    </w:p>
    <w:p>
      <w:pPr>
        <w:spacing w:after="0" w:line="6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cost of clinical trials of our product candidates being greater than anticipated;</w:t>
      </w:r>
    </w:p>
    <w:p>
      <w:pPr>
        <w:spacing w:after="0" w:line="104" w:lineRule="exact"/>
        <w:rPr>
          <w:sz w:val="20"/>
          <w:szCs w:val="20"/>
          <w:color w:val="auto"/>
        </w:rPr>
      </w:pPr>
    </w:p>
    <w:p>
      <w:pPr>
        <w:ind w:left="1200" w:right="520"/>
        <w:spacing w:after="0" w:line="261" w:lineRule="auto"/>
        <w:rPr>
          <w:sz w:val="20"/>
          <w:szCs w:val="20"/>
          <w:color w:val="auto"/>
        </w:rPr>
      </w:pPr>
      <w:r>
        <w:rPr>
          <w:rFonts w:ascii="Arial" w:cs="Arial" w:eastAsia="Arial" w:hAnsi="Arial"/>
          <w:sz w:val="18"/>
          <w:szCs w:val="18"/>
          <w:color w:val="auto"/>
        </w:rPr>
        <w:t>the supply or quality of our product candidates or other materials necessary to conduct clinical trials of our product candidates being insufficient or inadequate; and</w:t>
      </w:r>
    </w:p>
    <w:p>
      <w:pPr>
        <w:spacing w:after="0" w:line="6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regulators revising the requirements for approving our product candidates.</w:t>
      </w:r>
    </w:p>
    <w:p>
      <w:pPr>
        <w:spacing w:after="0" w:line="117" w:lineRule="exact"/>
        <w:rPr>
          <w:sz w:val="20"/>
          <w:szCs w:val="20"/>
          <w:color w:val="auto"/>
        </w:rPr>
      </w:pPr>
    </w:p>
    <w:p>
      <w:pPr>
        <w:ind w:firstLine="749"/>
        <w:spacing w:after="0" w:line="292" w:lineRule="auto"/>
        <w:rPr>
          <w:sz w:val="20"/>
          <w:szCs w:val="20"/>
          <w:color w:val="auto"/>
        </w:rPr>
      </w:pPr>
      <w:r>
        <w:rPr>
          <w:rFonts w:ascii="Arial" w:cs="Arial" w:eastAsia="Arial" w:hAnsi="Arial"/>
          <w:sz w:val="17"/>
          <w:szCs w:val="17"/>
          <w:color w:val="auto"/>
        </w:rPr>
        <w:t>If we are required to conduct additional clinical trials or other testing of our product candidates beyond those that we currently contemplate, if we are unable to successfully complete clinical trials of our product candidates or other testing in a timely manner, if the results of these trials or tests are not positive or are only modestly positive or if there are safety concerns, we may incur unplanned costs, be delayed in seeking and obtaining marketing approval, if we receive such approval at all, receive more limited or restrictive marketing approval, be subject to additional post-marketing testing requirements or have the drug removed from the market after obtaining marketing approval.</w:t>
      </w:r>
    </w:p>
    <w:p>
      <w:pPr>
        <w:spacing w:after="0" w:line="66" w:lineRule="exact"/>
        <w:rPr>
          <w:sz w:val="20"/>
          <w:szCs w:val="20"/>
          <w:color w:val="auto"/>
        </w:rPr>
      </w:pPr>
    </w:p>
    <w:p>
      <w:pPr>
        <w:ind w:right="100"/>
        <w:spacing w:after="0" w:line="279" w:lineRule="auto"/>
        <w:rPr>
          <w:sz w:val="20"/>
          <w:szCs w:val="20"/>
          <w:color w:val="auto"/>
        </w:rPr>
      </w:pPr>
      <w:r>
        <w:rPr>
          <w:rFonts w:ascii="Arial" w:cs="Arial" w:eastAsia="Arial" w:hAnsi="Arial"/>
          <w:sz w:val="18"/>
          <w:szCs w:val="18"/>
          <w:b w:val="1"/>
          <w:bCs w:val="1"/>
          <w:i w:val="1"/>
          <w:iCs w:val="1"/>
          <w:color w:val="auto"/>
        </w:rPr>
        <w:t>Our product candidates may cause significant adverse events, toxicities or other undesirable side effects when used alone or in combination with other approved products or investigational new drugs that may result in a safety profile that could prevent regulatory approval, prevent market acceptance, limit their commercial potential or result in significant negative consequences.</w:t>
      </w:r>
    </w:p>
    <w:p>
      <w:pPr>
        <w:spacing w:after="0" w:line="75" w:lineRule="exact"/>
        <w:rPr>
          <w:sz w:val="20"/>
          <w:szCs w:val="20"/>
          <w:color w:val="auto"/>
        </w:rPr>
      </w:pPr>
    </w:p>
    <w:p>
      <w:pPr>
        <w:ind w:right="100" w:firstLine="749"/>
        <w:spacing w:after="0" w:line="290" w:lineRule="auto"/>
        <w:rPr>
          <w:sz w:val="20"/>
          <w:szCs w:val="20"/>
          <w:color w:val="auto"/>
        </w:rPr>
      </w:pPr>
      <w:r>
        <w:rPr>
          <w:rFonts w:ascii="Arial" w:cs="Arial" w:eastAsia="Arial" w:hAnsi="Arial"/>
          <w:sz w:val="17"/>
          <w:szCs w:val="17"/>
          <w:color w:val="auto"/>
        </w:rPr>
        <w:t>If our product candidates are associated with undesirable side effects or have unexpected characteristics in preclinical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the trial or result in potential product liability claims. Any of these occurrences may prevent us from achieving or maintaining market acceptance of the affected product candidate and may harm our business, financial condition and prospects significantly.</w:t>
      </w:r>
    </w:p>
    <w:p>
      <w:pPr>
        <w:spacing w:after="0" w:line="68" w:lineRule="exact"/>
        <w:rPr>
          <w:sz w:val="20"/>
          <w:szCs w:val="20"/>
          <w:color w:val="auto"/>
        </w:rPr>
      </w:pPr>
    </w:p>
    <w:p>
      <w:pPr>
        <w:ind w:right="140" w:firstLine="749"/>
        <w:spacing w:after="0" w:line="272" w:lineRule="auto"/>
        <w:rPr>
          <w:sz w:val="20"/>
          <w:szCs w:val="20"/>
          <w:color w:val="auto"/>
        </w:rPr>
      </w:pPr>
      <w:r>
        <w:rPr>
          <w:rFonts w:ascii="Arial" w:cs="Arial" w:eastAsia="Arial" w:hAnsi="Arial"/>
          <w:sz w:val="18"/>
          <w:szCs w:val="18"/>
          <w:color w:val="auto"/>
        </w:rPr>
        <w:t>For example, in study ORIC-GR-17001, there were two Grade 1 adverse events: pain in the extremity and nausea. Both were mild, attributed to ORIC-101 and resolved without treatment. In study ORIC-GR-17002, Part A, the most commonly reported treatment-emergent adverse events were mild gastrointestinal adverse events. These were observed in two participants and consisted of Grade 1 nausea in one subject and Grade 1 nausea, abdominal pain, and diarrhea in a second subject. They were resolved without treatment. In study ORIC-GR-17002, Part B, the most common adverse events were gastrointestinal in nature and were deemed related to ORIC-101.</w:t>
      </w:r>
    </w:p>
    <w:p>
      <w:pPr>
        <w:spacing w:after="0" w:line="83" w:lineRule="exact"/>
        <w:rPr>
          <w:sz w:val="20"/>
          <w:szCs w:val="20"/>
          <w:color w:val="auto"/>
        </w:rPr>
      </w:pPr>
    </w:p>
    <w:p>
      <w:pPr>
        <w:ind w:right="140" w:firstLine="749"/>
        <w:spacing w:after="0" w:line="319" w:lineRule="auto"/>
        <w:rPr>
          <w:sz w:val="20"/>
          <w:szCs w:val="20"/>
          <w:color w:val="auto"/>
        </w:rPr>
      </w:pPr>
      <w:r>
        <w:rPr>
          <w:rFonts w:ascii="Arial" w:cs="Arial" w:eastAsia="Arial" w:hAnsi="Arial"/>
          <w:sz w:val="16"/>
          <w:szCs w:val="16"/>
          <w:color w:val="auto"/>
        </w:rPr>
        <w:t>For example, in our Phase 1b trial of ORIC-101 in combination with nab-paclitaxel in advanced or metastatic solid tumors, as of the data cutoff date of April 21, 2021, treatment-related adverse events were primarily Grade 1 or 2, with only three Grade 3 events, which all resolved with dose interruption. In our Phase 1b trial of ORIC-101 in combination with enzalutamide in advanced or metastatic solid tumors, as of the data cutoff date of August 20, 2021, treatment-related adverse events were primarily Grade 1 or 2, with only four Grade 3 events, which all resolved with dose interruption.</w:t>
      </w:r>
    </w:p>
    <w:p>
      <w:pPr>
        <w:spacing w:after="0" w:line="48" w:lineRule="exact"/>
        <w:rPr>
          <w:sz w:val="20"/>
          <w:szCs w:val="20"/>
          <w:color w:val="auto"/>
        </w:rPr>
      </w:pPr>
    </w:p>
    <w:p>
      <w:pPr>
        <w:ind w:right="20" w:firstLine="749"/>
        <w:spacing w:after="0" w:line="287" w:lineRule="auto"/>
        <w:rPr>
          <w:sz w:val="20"/>
          <w:szCs w:val="20"/>
          <w:color w:val="auto"/>
        </w:rPr>
      </w:pPr>
      <w:r>
        <w:rPr>
          <w:rFonts w:ascii="Arial" w:cs="Arial" w:eastAsia="Arial" w:hAnsi="Arial"/>
          <w:sz w:val="17"/>
          <w:szCs w:val="17"/>
          <w:color w:val="auto"/>
        </w:rPr>
        <w:t>Patients in our ongoing and planned clinical trials may in the future suffer other significant adverse events or other side effects not observed in our preclinical studies or previous clinical trials. ORIC-101 or other product candidates may be used in populations for which safety concerns may be particularly scrutinized by regulatory agencies. In addition, ORIC-101 is being studied in combination with other therapies, which may exacerbate adverse events associated with the therapy. Patients treated with ORIC-101 or our other product candidates may also be undergoing surgical, radiation and chemotherapy treatments, which can cause side effects or adverse events that are unrelated to our product candidate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 For example, it is expected that some of the patients enrolled in our ORIC-101 clinical trials will die or experience major clinical events either during the course of our clinical trials or after participating in such trials, which has occurred in the past.</w:t>
      </w:r>
    </w:p>
    <w:p>
      <w:pPr>
        <w:spacing w:after="0" w:line="70" w:lineRule="exact"/>
        <w:rPr>
          <w:sz w:val="20"/>
          <w:szCs w:val="20"/>
          <w:color w:val="auto"/>
        </w:rPr>
      </w:pPr>
    </w:p>
    <w:p>
      <w:pPr>
        <w:ind w:right="100" w:firstLine="749"/>
        <w:spacing w:after="0" w:line="306" w:lineRule="auto"/>
        <w:rPr>
          <w:sz w:val="20"/>
          <w:szCs w:val="20"/>
          <w:color w:val="auto"/>
        </w:rPr>
      </w:pPr>
      <w:r>
        <w:rPr>
          <w:rFonts w:ascii="Arial" w:cs="Arial" w:eastAsia="Arial" w:hAnsi="Arial"/>
          <w:sz w:val="16"/>
          <w:szCs w:val="16"/>
          <w:color w:val="auto"/>
        </w:rPr>
        <w:t>If further significant adverse events or other side effects are observed in any of our current or future clinical trials, we may have difficulty recruiting patients to the clinical trials, patients may drop out of our trials, or we may be required to abandon the trials or our development efforts of that product candidate altogether. We, the FDA, EMA, other comparable regulatory authorities or an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materially harm our business, financial condition and prospects. Further, if any of our product candidates obtains marketing approval, toxicities associated with such product candidates previously not seen during clinical testing may also develop after such approval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32" w:name="page33"/>
    <w:bookmarkEnd w:id="32"/>
    <w:p>
      <w:pPr>
        <w:ind w:right="180"/>
        <w:spacing w:after="0" w:line="329" w:lineRule="auto"/>
        <w:rPr>
          <w:sz w:val="20"/>
          <w:szCs w:val="20"/>
          <w:color w:val="auto"/>
        </w:rPr>
      </w:pPr>
      <w:r>
        <w:rPr>
          <w:rFonts w:ascii="Arial" w:cs="Arial" w:eastAsia="Arial" w:hAnsi="Arial"/>
          <w:sz w:val="16"/>
          <w:szCs w:val="16"/>
          <w:color w:val="auto"/>
        </w:rPr>
        <w:t>lead to a requirement to conduct additional clinical safety trials, additional contraindications, warnings and precautions being added to the drug label,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 stage clinical trials.</w:t>
      </w:r>
    </w:p>
    <w:p>
      <w:pPr>
        <w:spacing w:after="0" w:line="40" w:lineRule="exact"/>
        <w:rPr>
          <w:sz w:val="20"/>
          <w:szCs w:val="20"/>
          <w:color w:val="auto"/>
        </w:rPr>
      </w:pPr>
    </w:p>
    <w:p>
      <w:pPr>
        <w:ind w:right="360"/>
        <w:spacing w:after="0" w:line="324" w:lineRule="auto"/>
        <w:rPr>
          <w:sz w:val="20"/>
          <w:szCs w:val="20"/>
          <w:color w:val="auto"/>
        </w:rPr>
      </w:pPr>
      <w:r>
        <w:rPr>
          <w:rFonts w:ascii="Arial" w:cs="Arial" w:eastAsia="Arial" w:hAnsi="Arial"/>
          <w:sz w:val="17"/>
          <w:szCs w:val="17"/>
          <w:b w:val="1"/>
          <w:bCs w:val="1"/>
          <w:i w:val="1"/>
          <w:iCs w:val="1"/>
          <w:color w:val="auto"/>
        </w:rPr>
        <w:t>The outcome of preclinical testing and early clinical trials may not be predictive of the success of later clinical trials, and the results of our clinical trials may not satisfy the requirements of the FDA, EMA or other comparable foreign regulatory authorities.</w:t>
      </w:r>
    </w:p>
    <w:p>
      <w:pPr>
        <w:spacing w:after="0" w:line="39" w:lineRule="exact"/>
        <w:rPr>
          <w:sz w:val="20"/>
          <w:szCs w:val="20"/>
          <w:color w:val="auto"/>
        </w:rPr>
      </w:pPr>
    </w:p>
    <w:p>
      <w:pPr>
        <w:ind w:firstLine="749"/>
        <w:spacing w:after="0" w:line="285" w:lineRule="auto"/>
        <w:rPr>
          <w:sz w:val="20"/>
          <w:szCs w:val="20"/>
          <w:color w:val="auto"/>
        </w:rPr>
      </w:pPr>
      <w:r>
        <w:rPr>
          <w:rFonts w:ascii="Arial" w:cs="Arial" w:eastAsia="Arial" w:hAnsi="Arial"/>
          <w:sz w:val="17"/>
          <w:szCs w:val="17"/>
          <w:color w:val="auto"/>
        </w:rPr>
        <w:t>We will be required to demonstrate with substantial evidence through well-controlled clinical trials that our product candidates are safe and effective for use in a diverse population before we can seek marketing approvals for their commercial sale. Success in preclinical studies and early-stage clinical trials does not mean that future clinical trials will be successful. For instance, we do not know whether ORIC-101 will perform in current or future clinical trials as ORIC-101 has performed in preclinical studies or prior clinical trials, nor do we know whether ORIC-533, ORIC-944 or ORIC-114 will perform in current or future preclinical studies or future clinical trials as they have in prior preclinical studies. Product candidates in later-stage clinical trials may fail to demonstrate sufficient safety and efficacy to the satisfaction of the FDA, EMA and other comparable foreign regulatory authorities despite having progressed through preclinical studies and early-stage clinical trials. Additionally, while we are aware of several other clinical-stage GR antagonists being developed by Corcept Therapeutics, to our knowledge, there are no GR antagonists approved for the treatment of cancer and the most advanced GR antagonist in development for cancer is in a Phase 2 trial for ovarian cancer and a Phase 3 trial for metastatic pancreatic ductal adenocarcinoma. As such, the development of ORIC-101 and our stock price may be impacted by inferences, whether correct or not, that are drawn between the success of our product candidate and those of Corcept Therapeutics or other companies. Additionally, prior to our two Phase 1b trials, ORIC-101 was only studied in two Phase 1a trials in healthy volunteers. Regulatory authorities may also limit the scope of later-stage trials until we have demonstrated satisfactory safety, which could delay regulatory approval, limit the size of the patient population to which we may market our product candidates, or prevent regulatory approval.</w:t>
      </w:r>
    </w:p>
    <w:p>
      <w:pPr>
        <w:spacing w:after="0" w:line="71" w:lineRule="exact"/>
        <w:rPr>
          <w:sz w:val="20"/>
          <w:szCs w:val="20"/>
          <w:color w:val="auto"/>
        </w:rPr>
      </w:pPr>
    </w:p>
    <w:p>
      <w:pPr>
        <w:ind w:right="40" w:firstLine="749"/>
        <w:spacing w:after="0" w:line="270" w:lineRule="auto"/>
        <w:rPr>
          <w:sz w:val="20"/>
          <w:szCs w:val="20"/>
          <w:color w:val="auto"/>
        </w:rPr>
      </w:pPr>
      <w:r>
        <w:rPr>
          <w:rFonts w:ascii="Arial" w:cs="Arial" w:eastAsia="Arial" w:hAnsi="Arial"/>
          <w:sz w:val="18"/>
          <w:szCs w:val="18"/>
          <w:color w:val="auto"/>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dose and dosing regimen and other trial protocols and the rate of dropout among clinical trial participants. Patients treated with our product candidates may also be undergoing surgical, radiation and chemotherapy treatments and may be using other approved products or investigational new drugs, which can cause side effects or adverse events that are unrelated to our product candidates. As a result, assessments of efficacy can vary widely for a particular patient, and from patient to patient and site to site within a clinical trial. This subjectivity can increase the uncertainty of, and adversely impact, our clinical trial outcomes.</w:t>
      </w:r>
    </w:p>
    <w:p>
      <w:pPr>
        <w:spacing w:after="0" w:line="85" w:lineRule="exact"/>
        <w:rPr>
          <w:sz w:val="20"/>
          <w:szCs w:val="20"/>
          <w:color w:val="auto"/>
        </w:rPr>
      </w:pPr>
    </w:p>
    <w:p>
      <w:pPr>
        <w:ind w:right="460" w:firstLine="749"/>
        <w:spacing w:after="0" w:line="293" w:lineRule="auto"/>
        <w:rPr>
          <w:sz w:val="20"/>
          <w:szCs w:val="20"/>
          <w:color w:val="auto"/>
        </w:rPr>
      </w:pPr>
      <w:r>
        <w:rPr>
          <w:rFonts w:ascii="Arial" w:cs="Arial" w:eastAsia="Arial" w:hAnsi="Arial"/>
          <w:sz w:val="18"/>
          <w:szCs w:val="18"/>
          <w:color w:val="auto"/>
        </w:rPr>
        <w:t>We do not know whether any clinical trials we may conduct will demonstrate consistent or adequate efficacy and safety sufficient to obtain approval to market any of our product candidates.</w:t>
      </w:r>
    </w:p>
    <w:p>
      <w:pPr>
        <w:spacing w:after="0" w:line="62" w:lineRule="exact"/>
        <w:rPr>
          <w:sz w:val="20"/>
          <w:szCs w:val="20"/>
          <w:color w:val="auto"/>
        </w:rPr>
      </w:pPr>
    </w:p>
    <w:p>
      <w:pPr>
        <w:ind w:right="140"/>
        <w:spacing w:after="0" w:line="324" w:lineRule="auto"/>
        <w:rPr>
          <w:sz w:val="20"/>
          <w:szCs w:val="20"/>
          <w:color w:val="auto"/>
        </w:rPr>
      </w:pPr>
      <w:r>
        <w:rPr>
          <w:rFonts w:ascii="Arial" w:cs="Arial" w:eastAsia="Arial" w:hAnsi="Arial"/>
          <w:sz w:val="17"/>
          <w:szCs w:val="17"/>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39" w:lineRule="exact"/>
        <w:rPr>
          <w:sz w:val="20"/>
          <w:szCs w:val="20"/>
          <w:color w:val="auto"/>
        </w:rPr>
      </w:pPr>
    </w:p>
    <w:p>
      <w:pPr>
        <w:ind w:right="60" w:firstLine="749"/>
        <w:spacing w:after="0" w:line="285" w:lineRule="auto"/>
        <w:rPr>
          <w:sz w:val="20"/>
          <w:szCs w:val="20"/>
          <w:color w:val="auto"/>
        </w:rPr>
      </w:pPr>
      <w:r>
        <w:rPr>
          <w:rFonts w:ascii="Arial" w:cs="Arial" w:eastAsia="Arial" w:hAnsi="Arial"/>
          <w:sz w:val="17"/>
          <w:szCs w:val="17"/>
          <w:color w:val="auto"/>
        </w:rPr>
        <w:t>From time to time, we may publicly disclose preliminary, interim or topline data from our clinical trials, such as the interim data from our Phase 1b clinical trials of ORIC-101. These interim updates are based on a preliminary analysis of then-available data, and the results and related findings and conclusions are subject to change following a more comprehensive review of the data related to the particular study or trial. For example, we may report tumor responses in certain patients that are unconfirmed at the time and which do not ultimately result in confirmed responses to treatment after follow-up evaluations.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Adverse changes between interim data and final data could significantly harm our business and prospects. Further, additional disclosure of interim data by us or by our competitors in the future could result in volatility in the price of our common stock.</w:t>
      </w:r>
    </w:p>
    <w:p>
      <w:pPr>
        <w:spacing w:after="0" w:line="74" w:lineRule="exact"/>
        <w:rPr>
          <w:sz w:val="20"/>
          <w:szCs w:val="20"/>
          <w:color w:val="auto"/>
        </w:rPr>
      </w:pPr>
    </w:p>
    <w:p>
      <w:pPr>
        <w:ind w:right="180" w:firstLine="749"/>
        <w:spacing w:after="0" w:line="272" w:lineRule="auto"/>
        <w:rPr>
          <w:sz w:val="20"/>
          <w:szCs w:val="20"/>
          <w:color w:val="auto"/>
        </w:rPr>
      </w:pPr>
      <w:r>
        <w:rPr>
          <w:rFonts w:ascii="Arial" w:cs="Arial" w:eastAsia="Arial" w:hAnsi="Arial"/>
          <w:sz w:val="18"/>
          <w:szCs w:val="18"/>
          <w:color w:val="auto"/>
        </w:rPr>
        <w:t>In addition, the information we choose to publicly disclose regarding a particular study or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or topline data that we report differ from late, final or actual results, or if others, including</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33" w:name="page34"/>
    <w:bookmarkEnd w:id="33"/>
    <w:p>
      <w:pPr>
        <w:ind w:right="600"/>
        <w:spacing w:after="0" w:line="293" w:lineRule="auto"/>
        <w:rPr>
          <w:sz w:val="20"/>
          <w:szCs w:val="20"/>
          <w:color w:val="auto"/>
        </w:rPr>
      </w:pPr>
      <w:r>
        <w:rPr>
          <w:rFonts w:ascii="Arial" w:cs="Arial" w:eastAsia="Arial" w:hAnsi="Arial"/>
          <w:sz w:val="18"/>
          <w:szCs w:val="18"/>
          <w:color w:val="auto"/>
        </w:rPr>
        <w:t>regulatory authorities, disagree with the conclusions reached, our ability to obtain approval for, and commercialize, ORIC-101 or any other product candidates may be harmed, which could harm our business, financial condition, results of operations and prospects.</w:t>
      </w:r>
    </w:p>
    <w:p>
      <w:pPr>
        <w:spacing w:after="0" w:line="62" w:lineRule="exact"/>
        <w:rPr>
          <w:sz w:val="20"/>
          <w:szCs w:val="20"/>
          <w:color w:val="auto"/>
        </w:rPr>
      </w:pPr>
    </w:p>
    <w:p>
      <w:pPr>
        <w:ind w:right="40"/>
        <w:spacing w:after="0" w:line="293" w:lineRule="auto"/>
        <w:rPr>
          <w:sz w:val="20"/>
          <w:szCs w:val="20"/>
          <w:color w:val="auto"/>
        </w:rPr>
      </w:pPr>
      <w:r>
        <w:rPr>
          <w:rFonts w:ascii="Arial" w:cs="Arial" w:eastAsia="Arial" w:hAnsi="Arial"/>
          <w:sz w:val="18"/>
          <w:szCs w:val="18"/>
          <w:b w:val="1"/>
          <w:bCs w:val="1"/>
          <w:i w:val="1"/>
          <w:iCs w:val="1"/>
          <w:color w:val="auto"/>
        </w:rPr>
        <w:t>Adverse results of clinical trials conducted by third parties investigating the same product candidates as us in different territories could adversely affect our development of such product candidate.</w:t>
      </w:r>
    </w:p>
    <w:p>
      <w:pPr>
        <w:spacing w:after="0" w:line="62" w:lineRule="exact"/>
        <w:rPr>
          <w:sz w:val="20"/>
          <w:szCs w:val="20"/>
          <w:color w:val="auto"/>
        </w:rPr>
      </w:pPr>
    </w:p>
    <w:p>
      <w:pPr>
        <w:ind w:right="140" w:firstLine="749"/>
        <w:spacing w:after="0" w:line="287" w:lineRule="auto"/>
        <w:rPr>
          <w:sz w:val="20"/>
          <w:szCs w:val="20"/>
          <w:color w:val="auto"/>
        </w:rPr>
      </w:pPr>
      <w:r>
        <w:rPr>
          <w:rFonts w:ascii="Arial" w:cs="Arial" w:eastAsia="Arial" w:hAnsi="Arial"/>
          <w:sz w:val="17"/>
          <w:szCs w:val="17"/>
          <w:color w:val="auto"/>
        </w:rPr>
        <w:t>Lack of efficacy, adverse events, undesirable side effects or other adverse results may emerge in clinical trials conducted by third parties investigating the same product candidates as us in different territories. For example, pursuant to the Voronoi License Agreement, Voronoi retains the right to develop and commercialize the same compounds licensed to us, after a certain period, as specified in the Voronoi License Agreement, including the compound we refer to as ORIC-114, in the People’s Republic of China, Hong Kong, Macau and Taiwan and, subject to certain restrictions, to collaborate with others for such development and commercialization. We do not have control over Voronoi’s clinical trials or development program, and adverse findings from or Voronoi’s conduct of clinical trials could adversely affect our development of ORIC-114 or even the viability of ORIC-114 as a product candidate. We may be required to report Voronoi’s adverse events or unexpected side effects to the FDA or comparable foreign regulatory authorities, which could, among other things, order us to cease further development of ORIC-114.</w:t>
      </w:r>
    </w:p>
    <w:p>
      <w:pPr>
        <w:spacing w:after="0" w:line="74" w:lineRule="exact"/>
        <w:rPr>
          <w:sz w:val="20"/>
          <w:szCs w:val="20"/>
          <w:color w:val="auto"/>
        </w:rPr>
      </w:pPr>
    </w:p>
    <w:p>
      <w:pPr>
        <w:ind w:right="500"/>
        <w:spacing w:after="0" w:line="293" w:lineRule="auto"/>
        <w:rPr>
          <w:sz w:val="20"/>
          <w:szCs w:val="20"/>
          <w:color w:val="auto"/>
        </w:rPr>
      </w:pPr>
      <w:r>
        <w:rPr>
          <w:rFonts w:ascii="Arial" w:cs="Arial" w:eastAsia="Arial" w:hAnsi="Arial"/>
          <w:sz w:val="18"/>
          <w:szCs w:val="18"/>
          <w:b w:val="1"/>
          <w:bCs w:val="1"/>
          <w:i w:val="1"/>
          <w:iCs w:val="1"/>
          <w:color w:val="auto"/>
        </w:rPr>
        <w:t>If we experience delays or difficulties in the enrollment and/or maintenance of patients in clinical trials, our regulatory submissions or receipt of necessary marketing approvals could be delayed or prevented.</w:t>
      </w:r>
    </w:p>
    <w:p>
      <w:pPr>
        <w:spacing w:after="0" w:line="62" w:lineRule="exact"/>
        <w:rPr>
          <w:sz w:val="20"/>
          <w:szCs w:val="20"/>
          <w:color w:val="auto"/>
        </w:rPr>
      </w:pPr>
    </w:p>
    <w:p>
      <w:pPr>
        <w:ind w:right="20" w:firstLine="749"/>
        <w:spacing w:after="0" w:line="305" w:lineRule="auto"/>
        <w:rPr>
          <w:sz w:val="20"/>
          <w:szCs w:val="20"/>
          <w:color w:val="auto"/>
        </w:rPr>
      </w:pPr>
      <w:r>
        <w:rPr>
          <w:rFonts w:ascii="Arial" w:cs="Arial" w:eastAsia="Arial" w:hAnsi="Arial"/>
          <w:sz w:val="16"/>
          <w:szCs w:val="16"/>
          <w:color w:val="auto"/>
        </w:rPr>
        <w:t>We may not be able to initiate or continue clinical trials for our product candidates if we are unable to locate and enroll a sufficient number of eligible patients to participate in these trials to such trial’s conclusion as required by the FDA, EMA or other comparable foreign regulatory authorities. Patient enrollment is a significant factor in the timing of clinical trials. Our ability to enroll eligible patients may be limited or may result in slower enrollment than we anticipate. For instance, we have developed a proprietary immunohistochemistry (IHC) assay that measures GR protein expression levels as well as a proprietary GR gene activation signature that measures GR signaling activity, both of which are being utilized in our ongoing clinical trials and may be used for patient selection in future clinical trials, and utilizing such biomarker-driven identification and/or certain highly specific criteria related to the stage of disease progression may limit patient populations eligible for our clinical trials. Additionally, our approach of identifying and selecting a subset of prostate cancer patients more likely to benefit from ORIC-101 by measuring levels of AR and other tumor markers and GR expression or gene activity is, to our knowledge, untested in oncology. If these or other strategies for patient identification prove unsuccessful, we may have difficulty enrolling or maintaining patients appropriate for ORIC-101. Similarly, enrollment in trials for our other product candidates may be limited or slower than we anticipated if laboratory biomarker tests are not available due to pandemic shortages of staff or reagents.</w:t>
      </w:r>
    </w:p>
    <w:p>
      <w:pPr>
        <w:spacing w:after="0" w:line="61" w:lineRule="exact"/>
        <w:rPr>
          <w:sz w:val="20"/>
          <w:szCs w:val="20"/>
          <w:color w:val="auto"/>
        </w:rPr>
      </w:pPr>
    </w:p>
    <w:p>
      <w:pPr>
        <w:ind w:right="160" w:firstLine="749"/>
        <w:spacing w:after="0" w:line="290" w:lineRule="auto"/>
        <w:rPr>
          <w:sz w:val="20"/>
          <w:szCs w:val="20"/>
          <w:color w:val="auto"/>
        </w:rPr>
      </w:pPr>
      <w:r>
        <w:rPr>
          <w:rFonts w:ascii="Arial" w:cs="Arial" w:eastAsia="Arial" w:hAnsi="Arial"/>
          <w:sz w:val="17"/>
          <w:szCs w:val="17"/>
          <w:color w:val="auto"/>
        </w:rPr>
        <w:t>Enrollment of patients in our clinical trials and maintaining patients in our ongoing clinical trials may be delayed or limited as our clinical trial sites limit their onsite staff or temporarily close as a result of the COVID-19 pandemic. For instance, we are aware of certain ORIC-101 clinical trial sites that had temporarily stopped or delayed enrolling new patients in response to the COVID-19 pandemic. In addition, patients may not be able to visit clinical trial sites for dosing or data collection purposes due to limitations on travel and physical distancing imposed or recommended by federal or state governments or patients’ reluctance to visit the clinical trial sites during the pandemic. These factors resulting from the COVID-19 pandemic could delay the anticipated readouts from our ORIC-101 clinical trials and our regulatory submissions.</w:t>
      </w:r>
    </w:p>
    <w:p>
      <w:pPr>
        <w:spacing w:after="0" w:line="68" w:lineRule="exact"/>
        <w:rPr>
          <w:sz w:val="20"/>
          <w:szCs w:val="20"/>
          <w:color w:val="auto"/>
        </w:rPr>
      </w:pPr>
    </w:p>
    <w:p>
      <w:pPr>
        <w:ind w:right="60" w:firstLine="749"/>
        <w:spacing w:after="0" w:line="279" w:lineRule="auto"/>
        <w:rPr>
          <w:sz w:val="20"/>
          <w:szCs w:val="20"/>
          <w:color w:val="auto"/>
        </w:rPr>
      </w:pPr>
      <w:r>
        <w:rPr>
          <w:rFonts w:ascii="Arial" w:cs="Arial" w:eastAsia="Arial" w:hAnsi="Arial"/>
          <w:sz w:val="18"/>
          <w:szCs w:val="18"/>
          <w:color w:val="auto"/>
        </w:rPr>
        <w:t>Patient enrollment may be affected if our competitors have ongoing clinical trials for programs that are under development for the same indications as our product candidates, and patients who would otherwise be eligible for our clinical trials instead enroll in clinical trials of our competitors’ programs. Patient enrollment for our current or any future clinical trials may be affected by other factors, including:</w:t>
      </w:r>
    </w:p>
    <w:p>
      <w:pPr>
        <w:spacing w:after="0" w:line="7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size and nature of the patient population;</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severity of the disease under investigation;</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availability and efficacy of approved drugs for the disease under investigation;</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patient eligibility criteria for the trial in question as defined in the protocol;</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perceived risks and benefits of the product candidate under study;</w:t>
      </w:r>
    </w:p>
    <w:p>
      <w:pPr>
        <w:spacing w:after="0" w:line="131" w:lineRule="exact"/>
        <w:rPr>
          <w:sz w:val="20"/>
          <w:szCs w:val="20"/>
          <w:color w:val="auto"/>
        </w:rPr>
      </w:pPr>
    </w:p>
    <w:p>
      <w:pPr>
        <w:jc w:val="both"/>
        <w:ind w:left="1200" w:right="400"/>
        <w:spacing w:after="0" w:line="279" w:lineRule="auto"/>
        <w:rPr>
          <w:sz w:val="20"/>
          <w:szCs w:val="20"/>
          <w:color w:val="auto"/>
        </w:rPr>
      </w:pPr>
      <w:r>
        <w:rPr>
          <w:rFonts w:ascii="Arial" w:cs="Arial" w:eastAsia="Arial" w:hAnsi="Arial"/>
          <w:sz w:val="18"/>
          <w:szCs w:val="18"/>
          <w:color w:val="auto"/>
        </w:rPr>
        <w:t>clinicians’ and patients’ perceptions as to the potential advantages of the product candidate being studied in relation to other available therapies, including any new products that may be approved or other product candidates being investigated for the indications we are investigating;</w:t>
      </w:r>
    </w:p>
    <w:p>
      <w:pPr>
        <w:spacing w:after="0" w:line="75"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clinicians’ willingness to screen their patients for biomarkers to indicate which patients may be eligible for enrollment in our clinical trials;</w:t>
      </w:r>
    </w:p>
    <w:p>
      <w:pPr>
        <w:spacing w:after="0" w:line="154"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patient referral practices of physicians;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ability to monitor patients adequately during and after treatment;</w:t>
      </w: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34" w:name="page35"/>
    <w:bookmarkEnd w:id="34"/>
    <w:p>
      <w:pPr>
        <w:ind w:left="1200"/>
        <w:spacing w:after="0"/>
        <w:rPr>
          <w:sz w:val="20"/>
          <w:szCs w:val="20"/>
          <w:color w:val="auto"/>
        </w:rPr>
      </w:pPr>
      <w:r>
        <w:rPr>
          <w:rFonts w:ascii="Arial" w:cs="Arial" w:eastAsia="Arial" w:hAnsi="Arial"/>
          <w:sz w:val="18"/>
          <w:szCs w:val="18"/>
          <w:color w:val="auto"/>
        </w:rPr>
        <w:t>proximity and availability of clinical trial sites for prospective patients; and</w:t>
      </w:r>
    </w:p>
    <w:p>
      <w:pPr>
        <w:spacing w:after="0" w:line="131" w:lineRule="exact"/>
        <w:rPr>
          <w:sz w:val="20"/>
          <w:szCs w:val="20"/>
          <w:color w:val="auto"/>
        </w:rPr>
      </w:pPr>
    </w:p>
    <w:p>
      <w:pPr>
        <w:ind w:left="1200" w:right="580"/>
        <w:spacing w:after="0" w:line="293" w:lineRule="auto"/>
        <w:rPr>
          <w:sz w:val="20"/>
          <w:szCs w:val="20"/>
          <w:color w:val="auto"/>
        </w:rPr>
      </w:pPr>
      <w:r>
        <w:rPr>
          <w:rFonts w:ascii="Arial" w:cs="Arial" w:eastAsia="Arial" w:hAnsi="Arial"/>
          <w:sz w:val="18"/>
          <w:szCs w:val="18"/>
          <w:color w:val="auto"/>
        </w:rPr>
        <w:t>the risk that patients enrolled in clinical trials will drop out of the trials before completion or, because they may be late-stage cancer patients, will not survive the full terms of the clinical trials.</w:t>
      </w:r>
    </w:p>
    <w:p>
      <w:pPr>
        <w:spacing w:after="0" w:line="62" w:lineRule="exact"/>
        <w:rPr>
          <w:sz w:val="20"/>
          <w:szCs w:val="20"/>
          <w:color w:val="auto"/>
        </w:rPr>
      </w:pPr>
    </w:p>
    <w:p>
      <w:pPr>
        <w:ind w:right="60" w:firstLine="749"/>
        <w:spacing w:after="0" w:line="319" w:lineRule="auto"/>
        <w:rPr>
          <w:sz w:val="20"/>
          <w:szCs w:val="20"/>
          <w:color w:val="auto"/>
        </w:rPr>
      </w:pPr>
      <w:r>
        <w:rPr>
          <w:rFonts w:ascii="Arial" w:cs="Arial" w:eastAsia="Arial" w:hAnsi="Arial"/>
          <w:sz w:val="16"/>
          <w:szCs w:val="16"/>
          <w:color w:val="auto"/>
        </w:rPr>
        <w:t>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participation in our clinical trials through the treatment and any follow-up periods.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operations and financial results could be adversely impacted by the COVID-19 pandemic in the United States and the rest of the world.</w:t>
      </w:r>
    </w:p>
    <w:p>
      <w:pPr>
        <w:spacing w:after="0" w:line="142" w:lineRule="exact"/>
        <w:rPr>
          <w:sz w:val="20"/>
          <w:szCs w:val="20"/>
          <w:color w:val="auto"/>
        </w:rPr>
      </w:pPr>
    </w:p>
    <w:p>
      <w:pPr>
        <w:ind w:right="20" w:firstLine="749"/>
        <w:spacing w:after="0" w:line="314" w:lineRule="auto"/>
        <w:rPr>
          <w:sz w:val="20"/>
          <w:szCs w:val="20"/>
          <w:color w:val="auto"/>
        </w:rPr>
      </w:pPr>
      <w:r>
        <w:rPr>
          <w:rFonts w:ascii="Arial" w:cs="Arial" w:eastAsia="Arial" w:hAnsi="Arial"/>
          <w:sz w:val="16"/>
          <w:szCs w:val="16"/>
          <w:color w:val="auto"/>
        </w:rPr>
        <w:t>In December 2019, COVID-19 was reported to have surfaced in Wuhan, China, resulting in significant disruptions to Chinese manufacturing and travel. COVID-19 has now spread to numerous other countries, including extensively within the United States, resulting in the World Health Organization characterizing COVID-19 as a pandemic. As a result of measures imposed by the governments in affected regions, many commercial activities, businesses and schools were suspended as part of quarantines and other measures intended to contain this pandemic. Due to the continued COVID-19 pandemic, including the spread of the delta variant, we may experience disruptions that could severely impact our business and clinical trials, including:</w:t>
      </w:r>
    </w:p>
    <w:p>
      <w:pPr>
        <w:spacing w:after="0" w:line="52" w:lineRule="exact"/>
        <w:rPr>
          <w:sz w:val="20"/>
          <w:szCs w:val="20"/>
          <w:color w:val="auto"/>
        </w:rPr>
      </w:pPr>
    </w:p>
    <w:p>
      <w:pPr>
        <w:ind w:left="1200" w:right="40"/>
        <w:spacing w:after="0" w:line="293" w:lineRule="auto"/>
        <w:rPr>
          <w:sz w:val="20"/>
          <w:szCs w:val="20"/>
          <w:color w:val="auto"/>
        </w:rPr>
      </w:pPr>
      <w:r>
        <w:rPr>
          <w:rFonts w:ascii="Arial" w:cs="Arial" w:eastAsia="Arial" w:hAnsi="Arial"/>
          <w:sz w:val="18"/>
          <w:szCs w:val="18"/>
          <w:color w:val="auto"/>
        </w:rPr>
        <w:t>interruption of key research and discovery or other activities related to any impact of COVID-19 contraction by or transmission among our employees, including those that are essential workers and work within our laboratory;</w:t>
      </w:r>
    </w:p>
    <w:p>
      <w:pPr>
        <w:spacing w:after="0" w:line="62" w:lineRule="exact"/>
        <w:rPr>
          <w:sz w:val="20"/>
          <w:szCs w:val="20"/>
          <w:color w:val="auto"/>
        </w:rPr>
      </w:pPr>
    </w:p>
    <w:p>
      <w:pPr>
        <w:ind w:left="1200" w:right="400"/>
        <w:spacing w:after="0" w:line="293" w:lineRule="auto"/>
        <w:rPr>
          <w:sz w:val="20"/>
          <w:szCs w:val="20"/>
          <w:color w:val="auto"/>
        </w:rPr>
      </w:pPr>
      <w:r>
        <w:rPr>
          <w:rFonts w:ascii="Arial" w:cs="Arial" w:eastAsia="Arial" w:hAnsi="Arial"/>
          <w:sz w:val="18"/>
          <w:szCs w:val="18"/>
          <w:color w:val="auto"/>
        </w:rPr>
        <w:t>delays or difficulties in enrolling patients in our clinical trials, or those conducted by third parties, and further incurrence of additional costs as a result of preclinical study and clinical trial delays and adjustments;</w:t>
      </w:r>
    </w:p>
    <w:p>
      <w:pPr>
        <w:spacing w:after="0" w:line="6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challenges related to ongoing and increased operational expenses related to the COVID-19 pandemic;</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131" w:lineRule="exact"/>
        <w:rPr>
          <w:sz w:val="20"/>
          <w:szCs w:val="20"/>
          <w:color w:val="auto"/>
        </w:rPr>
      </w:pPr>
    </w:p>
    <w:p>
      <w:pPr>
        <w:ind w:left="1200" w:right="200"/>
        <w:spacing w:after="0" w:line="293" w:lineRule="auto"/>
        <w:rPr>
          <w:sz w:val="20"/>
          <w:szCs w:val="20"/>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clinical trials;</w:t>
      </w:r>
    </w:p>
    <w:p>
      <w:pPr>
        <w:spacing w:after="0" w:line="62" w:lineRule="exact"/>
        <w:rPr>
          <w:sz w:val="20"/>
          <w:szCs w:val="20"/>
          <w:color w:val="auto"/>
        </w:rPr>
      </w:pPr>
    </w:p>
    <w:p>
      <w:pPr>
        <w:ind w:left="1200" w:right="260"/>
        <w:spacing w:after="0" w:line="293" w:lineRule="auto"/>
        <w:rPr>
          <w:sz w:val="20"/>
          <w:szCs w:val="20"/>
          <w:color w:val="auto"/>
        </w:rPr>
      </w:pPr>
      <w:r>
        <w:rPr>
          <w:rFonts w:ascii="Arial" w:cs="Arial" w:eastAsia="Arial" w:hAnsi="Arial"/>
          <w:sz w:val="18"/>
          <w:szCs w:val="18"/>
          <w:color w:val="auto"/>
        </w:rPr>
        <w:t>interruption of key clinical trial activities, such as clinical trial site monitoring, due to limitations on travel imposed or recommended by federal or state governments, employers and others;</w:t>
      </w:r>
    </w:p>
    <w:p>
      <w:pPr>
        <w:spacing w:after="0" w:line="62" w:lineRule="exact"/>
        <w:rPr>
          <w:sz w:val="20"/>
          <w:szCs w:val="20"/>
          <w:color w:val="auto"/>
        </w:rPr>
      </w:pPr>
    </w:p>
    <w:p>
      <w:pPr>
        <w:ind w:left="1200" w:right="60"/>
        <w:spacing w:after="0" w:line="279" w:lineRule="auto"/>
        <w:rPr>
          <w:sz w:val="20"/>
          <w:szCs w:val="20"/>
          <w:color w:val="auto"/>
        </w:rPr>
      </w:pPr>
      <w:r>
        <w:rPr>
          <w:rFonts w:ascii="Arial" w:cs="Arial" w:eastAsia="Arial" w:hAnsi="Arial"/>
          <w:sz w:val="18"/>
          <w:szCs w:val="18"/>
          <w:color w:val="auto"/>
        </w:rPr>
        <w:t>limitations in resources that would otherwise be focused on the conduct of our business or our clinical trials, including because of sickness or the desire to avoid contact with large groups of people or as a result of government-imposed “shelter in place” or similar working restrictions;</w:t>
      </w:r>
    </w:p>
    <w:p>
      <w:pPr>
        <w:spacing w:after="0" w:line="75" w:lineRule="exact"/>
        <w:rPr>
          <w:sz w:val="20"/>
          <w:szCs w:val="20"/>
          <w:color w:val="auto"/>
        </w:rPr>
      </w:pPr>
    </w:p>
    <w:p>
      <w:pPr>
        <w:ind w:left="1200" w:right="2980"/>
        <w:spacing w:after="0" w:line="440" w:lineRule="auto"/>
        <w:rPr>
          <w:sz w:val="20"/>
          <w:szCs w:val="20"/>
          <w:color w:val="auto"/>
        </w:rPr>
      </w:pPr>
      <w:r>
        <w:rPr>
          <w:rFonts w:ascii="Arial" w:cs="Arial" w:eastAsia="Arial" w:hAnsi="Arial"/>
          <w:sz w:val="16"/>
          <w:szCs w:val="16"/>
          <w:color w:val="auto"/>
        </w:rPr>
        <w:t>delays in receiving approval from local regulatory authorities to initiate our planned clinical trials; delays in clinical sites receiving the supplies and materials needed to conduct our clinical trials;</w:t>
      </w:r>
    </w:p>
    <w:p>
      <w:pPr>
        <w:ind w:left="1200" w:right="440"/>
        <w:spacing w:after="0" w:line="293" w:lineRule="auto"/>
        <w:rPr>
          <w:sz w:val="20"/>
          <w:szCs w:val="20"/>
          <w:color w:val="auto"/>
        </w:rPr>
      </w:pPr>
      <w:r>
        <w:rPr>
          <w:rFonts w:ascii="Arial" w:cs="Arial" w:eastAsia="Arial" w:hAnsi="Arial"/>
          <w:sz w:val="18"/>
          <w:szCs w:val="18"/>
          <w:color w:val="auto"/>
        </w:rPr>
        <w:t>interruption in global shipping that may affect the transport of clinical trial materials, such as investigational drug product used in our clinical trials;</w:t>
      </w:r>
    </w:p>
    <w:p>
      <w:pPr>
        <w:spacing w:after="0" w:line="62" w:lineRule="exact"/>
        <w:rPr>
          <w:sz w:val="20"/>
          <w:szCs w:val="20"/>
          <w:color w:val="auto"/>
        </w:rPr>
      </w:pPr>
    </w:p>
    <w:p>
      <w:pPr>
        <w:ind w:left="1200" w:right="320"/>
        <w:spacing w:after="0" w:line="324" w:lineRule="auto"/>
        <w:rPr>
          <w:sz w:val="20"/>
          <w:szCs w:val="20"/>
          <w:color w:val="auto"/>
        </w:rPr>
      </w:pPr>
      <w:r>
        <w:rPr>
          <w:rFonts w:ascii="Arial" w:cs="Arial" w:eastAsia="Arial" w:hAnsi="Arial"/>
          <w:sz w:val="17"/>
          <w:szCs w:val="17"/>
          <w:color w:val="auto"/>
        </w:rPr>
        <w:t>changes in regulations as part of a response to the COVID-19 pandemic which may require us to change the ways in which our clinical trials are conducted, or to discontinue the clinical trials altogether, or which may result in unexpected costs;</w:t>
      </w:r>
    </w:p>
    <w:p>
      <w:pPr>
        <w:spacing w:after="0" w:line="39" w:lineRule="exact"/>
        <w:rPr>
          <w:sz w:val="20"/>
          <w:szCs w:val="20"/>
          <w:color w:val="auto"/>
        </w:rPr>
      </w:pPr>
    </w:p>
    <w:p>
      <w:pPr>
        <w:ind w:left="1200" w:right="480"/>
        <w:spacing w:after="0" w:line="293" w:lineRule="auto"/>
        <w:rPr>
          <w:sz w:val="20"/>
          <w:szCs w:val="20"/>
          <w:color w:val="auto"/>
        </w:rPr>
      </w:pPr>
      <w:r>
        <w:rPr>
          <w:rFonts w:ascii="Arial" w:cs="Arial" w:eastAsia="Arial" w:hAnsi="Arial"/>
          <w:sz w:val="18"/>
          <w:szCs w:val="18"/>
          <w:color w:val="auto"/>
        </w:rPr>
        <w:t>delays in necessary interactions with regulators, ethics committees and other important agencies and contractors due to limitations in employee resources or forced furlough of government or contractor personnel; and</w:t>
      </w:r>
    </w:p>
    <w:p>
      <w:pPr>
        <w:spacing w:after="0" w:line="6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refusal of the FDA to accept data from clinical trials in affected geographies outside the United States.</w:t>
      </w:r>
    </w:p>
    <w:p>
      <w:pPr>
        <w:spacing w:after="0" w:line="131"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8"/>
          <w:szCs w:val="18"/>
          <w:color w:val="auto"/>
        </w:rPr>
        <w:t>We will continue to assess the impact that COVID-19 may have on our ability to effectively conduct our business operations as planned and there can be no assurance that we will be able to avoid a material impact on our business from the spread of COVID-19 or its consequences, including disruption to our business and downturns in business sentiment generally or in our industry.</w:t>
      </w:r>
    </w:p>
    <w:p>
      <w:pPr>
        <w:spacing w:after="0" w:line="75" w:lineRule="exact"/>
        <w:rPr>
          <w:sz w:val="20"/>
          <w:szCs w:val="20"/>
          <w:color w:val="auto"/>
        </w:rPr>
      </w:pPr>
    </w:p>
    <w:p>
      <w:pPr>
        <w:ind w:right="80" w:firstLine="749"/>
        <w:spacing w:after="0" w:line="275" w:lineRule="auto"/>
        <w:rPr>
          <w:sz w:val="20"/>
          <w:szCs w:val="20"/>
          <w:color w:val="auto"/>
        </w:rPr>
      </w:pPr>
      <w:r>
        <w:rPr>
          <w:rFonts w:ascii="Arial" w:cs="Arial" w:eastAsia="Arial" w:hAnsi="Arial"/>
          <w:sz w:val="18"/>
          <w:szCs w:val="18"/>
          <w:color w:val="auto"/>
        </w:rPr>
        <w:t>Our primary operations are located in South San Francisco and San Diego. As a result of county and California stay-at-home orders being lifted, the portion of our employees that were telecommuting are in the process of returning to our physical locations at both sites. As our employees begin to return to work in our physical locations, our employees may be exposed to COVID-19 or other variants of the virus (including the delta variant), and we may face claims by such employees or regulatory authorities that we have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5" w:name="page36"/>
    <w:bookmarkEnd w:id="35"/>
    <w:p>
      <w:pPr>
        <w:spacing w:after="0" w:line="293" w:lineRule="auto"/>
        <w:rPr>
          <w:sz w:val="20"/>
          <w:szCs w:val="20"/>
          <w:color w:val="auto"/>
        </w:rPr>
      </w:pPr>
      <w:r>
        <w:rPr>
          <w:rFonts w:ascii="Arial" w:cs="Arial" w:eastAsia="Arial" w:hAnsi="Arial"/>
          <w:sz w:val="18"/>
          <w:szCs w:val="18"/>
          <w:color w:val="auto"/>
        </w:rPr>
        <w:t>not provided adequate protection to our employees with respect to the spread of COVID-19 at our physical locations, which may affect our business, results of operations and reputation.</w:t>
      </w:r>
    </w:p>
    <w:p>
      <w:pPr>
        <w:spacing w:after="0" w:line="62" w:lineRule="exact"/>
        <w:rPr>
          <w:sz w:val="20"/>
          <w:szCs w:val="20"/>
          <w:color w:val="auto"/>
        </w:rPr>
      </w:pPr>
    </w:p>
    <w:p>
      <w:pPr>
        <w:ind w:firstLine="749"/>
        <w:spacing w:after="0" w:line="302" w:lineRule="auto"/>
        <w:rPr>
          <w:sz w:val="20"/>
          <w:szCs w:val="20"/>
          <w:color w:val="auto"/>
        </w:rPr>
      </w:pPr>
      <w:r>
        <w:rPr>
          <w:rFonts w:ascii="Arial" w:cs="Arial" w:eastAsia="Arial" w:hAnsi="Arial"/>
          <w:sz w:val="16"/>
          <w:szCs w:val="16"/>
          <w:color w:val="auto"/>
        </w:rPr>
        <w:t>Additionally, certain third parties with whom we engage, including our collaborators, contract organizations, third party manufacturers, suppliers, clinical trial sites, regulators and other third parties with whom we conduct business are similarly adjusting their operations and assessing their capacity in light of the COVID-19 pandemic. If these third parties experience slowdowns, shutdowns or other business disruptions, our ability to conduct our business in the manner and on the timelines presently planned could be materially and negatively impacted. For example, as a result of the ongoing COVID-19 pandemic, there could be delays in the manufacturing supply chain for ORIC-101, nab-paclitaxel or enzalutamide, which could delay or otherwise impact our ORIC-101 clinical program. We may also experience delays in procurement of materials for certain of our ongoing or planned studies of ORIC-533, ORIC-944 or ORIC-114 due to the pandemic, which could impact our ability to file an IND in the fourth quarter of 2021. Additionally, certain preclinical studies for our discovery research programs are conducted by CROs or academic institutions, some of which temporarily stopped or delayed operations during the COVID-19 pandemic. Disruptions of this nature could negatively impact the timelines of our preclinical programs. In the event of a resurgence of COVID-19 infections, it is likely that the disproportionate impact of COVID-19 on hospitals and clinical sites will have an impact on recruitment and retention for our clinical trials. For instance, we are aware of certain clinical trial sites that have temporarily stopped or delayed enrolling new patients during the COVID-19 pandemic. In addition, certain of our clinical trial sites have experienced, and others may experience in the future, delays in collecting, receiving and analyzing data from patients enrolled in our clinical trials due to limited staff at such sites, limitation or suspension of on-site visits by patients, or patients’ reluctance to visit the clinical trial sites during the pandemic. We and our CROs have also made certain adjustments to the operation of such trials in an effort to ensure the monitoring and safety of patients and minimize risks to trial integrity during the pandemic in accordance with the guidance issued by the FDA on March 18, 2020 and generally, and may need to make further adjustments in the future, including adjustments based on recently issued FDA guidance on manufacturing, supply chain, and pharmaceutical product inspections; resuming normal pharmaceutical manufacturing operations; and updates on conducting clinical trials during the COVID-19 public health emergency. Many of these adjustments are new and untested, may not be effective, and may have unforeseen effects on the enrollment, progress and completion of these trials and the findings from these trials. While we are currently continuing our clinical trials and seeking to add new clinical trial sites, we may not be successful in adding trial sites, may experience delays in patient enrollment or in the progression of our clinical trials, may need to suspend our clinical trials, and may encounter other negative impacts to our trials, due to the effects of the COVID-19 pandemic.</w:t>
      </w:r>
    </w:p>
    <w:p>
      <w:pPr>
        <w:spacing w:after="0" w:line="295" w:lineRule="exact"/>
        <w:rPr>
          <w:sz w:val="20"/>
          <w:szCs w:val="20"/>
          <w:color w:val="auto"/>
        </w:rPr>
      </w:pPr>
    </w:p>
    <w:p>
      <w:pPr>
        <w:ind w:right="80" w:firstLine="749"/>
        <w:spacing w:after="0" w:line="279" w:lineRule="auto"/>
        <w:rPr>
          <w:sz w:val="20"/>
          <w:szCs w:val="20"/>
          <w:color w:val="auto"/>
        </w:rPr>
      </w:pPr>
      <w:r>
        <w:rPr>
          <w:rFonts w:ascii="Arial" w:cs="Arial" w:eastAsia="Arial" w:hAnsi="Arial"/>
          <w:sz w:val="18"/>
          <w:szCs w:val="18"/>
          <w:color w:val="auto"/>
        </w:rPr>
        <w:t>The global outbreak of COVID-19 continues to evolve. While the extent of the impact of the current COVID-19 pandemic on our business and financial results is uncertain, a continued and prolonged public health crisis such as the COVID-19 pandemic could have a material negative impact on our business, financial condition and operating results.</w:t>
      </w:r>
    </w:p>
    <w:p>
      <w:pPr>
        <w:spacing w:after="0" w:line="75" w:lineRule="exact"/>
        <w:rPr>
          <w:sz w:val="20"/>
          <w:szCs w:val="20"/>
          <w:color w:val="auto"/>
        </w:rPr>
      </w:pPr>
    </w:p>
    <w:p>
      <w:pPr>
        <w:ind w:right="320" w:firstLine="749"/>
        <w:spacing w:after="0" w:line="293" w:lineRule="auto"/>
        <w:rPr>
          <w:sz w:val="20"/>
          <w:szCs w:val="20"/>
          <w:color w:val="auto"/>
        </w:rPr>
      </w:pPr>
      <w:r>
        <w:rPr>
          <w:rFonts w:ascii="Arial" w:cs="Arial" w:eastAsia="Arial" w:hAnsi="Arial"/>
          <w:sz w:val="18"/>
          <w:szCs w:val="18"/>
          <w:color w:val="auto"/>
        </w:rPr>
        <w:t>To the extent the COVID-19 pandemic adversely affects our business, financial condition and operating results, it may also have the effect of heightening many of the risks described in this “Risk factors” section.</w:t>
      </w:r>
    </w:p>
    <w:p>
      <w:pPr>
        <w:spacing w:after="0" w:line="62" w:lineRule="exact"/>
        <w:rPr>
          <w:sz w:val="20"/>
          <w:szCs w:val="20"/>
          <w:color w:val="auto"/>
        </w:rPr>
      </w:pPr>
    </w:p>
    <w:p>
      <w:pPr>
        <w:ind w:right="320"/>
        <w:spacing w:after="0" w:line="394" w:lineRule="auto"/>
        <w:rPr>
          <w:sz w:val="20"/>
          <w:szCs w:val="20"/>
          <w:color w:val="auto"/>
        </w:rPr>
      </w:pPr>
      <w:r>
        <w:rPr>
          <w:rFonts w:ascii="Arial" w:cs="Arial" w:eastAsia="Arial" w:hAnsi="Arial"/>
          <w:sz w:val="15"/>
          <w:szCs w:val="15"/>
          <w:b w:val="1"/>
          <w:bCs w:val="1"/>
          <w:i w:val="1"/>
          <w:iCs w:val="1"/>
          <w:color w:val="auto"/>
        </w:rPr>
        <w:t>If we are unable to successfully develop companion diagnostic tests for our product candidates, experience significant delays in doing so, or rely on third parties in the development of such companion diagnostic tests, we may not realize the full commercial potential of our product candidates.</w:t>
      </w:r>
    </w:p>
    <w:p>
      <w:pPr>
        <w:spacing w:after="0" w:line="1" w:lineRule="exact"/>
        <w:rPr>
          <w:sz w:val="20"/>
          <w:szCs w:val="20"/>
          <w:color w:val="auto"/>
        </w:rPr>
      </w:pPr>
    </w:p>
    <w:p>
      <w:pPr>
        <w:ind w:right="20" w:firstLine="749"/>
        <w:spacing w:after="0" w:line="285" w:lineRule="auto"/>
        <w:rPr>
          <w:sz w:val="20"/>
          <w:szCs w:val="20"/>
          <w:color w:val="auto"/>
        </w:rPr>
      </w:pPr>
      <w:r>
        <w:rPr>
          <w:rFonts w:ascii="Arial" w:cs="Arial" w:eastAsia="Arial" w:hAnsi="Arial"/>
          <w:sz w:val="17"/>
          <w:szCs w:val="17"/>
          <w:color w:val="auto"/>
        </w:rPr>
        <w:t>We are exploring predictive biomarkers to determine patient selection for our clinical trials. Specifically, to help inform which patients may be most suitable for treatment with ORIC-101, we have developed a proprietary IHC assay that measures GR protein expression levels as well as a proprietary GR gene activation signature that measures GR signaling activity, both of which are being utilized in our ongoing clinical trials and may be used for patient selection in future clinical trials. If either of these approaches proves to be a useful method for patient selection, we expect to incorporate the specific diagnostic test into our registrational studies and partner with the appropriate diagnostic provider to co-develop a companion diagnostic. In general, the FDA expects to review and approve simultaneously NDA and pre-market approval (PMA) submissions for a therapeutic and its companion diagnostic, respectively, so any delay in diagnostic approval could delay drug approval. On April 13, 2020, the FDA issued new guidance on developing and labeling companion diagnostics for a specific group of oncology therapeutic products, including recommendations to support a broader labeling claim rather than individual therapeutic products. We will continue to evaluate the impact of this guidance on our companion diagnostic development and strategy. This guidance and future issuances from the FDA and other regulatory authorities may impact our development of a companion diagnostic for our product candidates and result in delays in regulatory approval. We may be required to conduct additional studies to support a broader claim. Also, to the extent other approved diagnostics are able to broaden their labeling claims to include our approved drug products, we may be forced to abandon our companion diagnostic development plans or we may not be able to compete effectively upon approval, which could adversely impact our ability to generate revenue from the sale of our approved products and our business operations.</w:t>
      </w:r>
    </w:p>
    <w:p>
      <w:pPr>
        <w:spacing w:after="0" w:line="71" w:lineRule="exact"/>
        <w:rPr>
          <w:sz w:val="20"/>
          <w:szCs w:val="20"/>
          <w:color w:val="auto"/>
        </w:rPr>
      </w:pPr>
    </w:p>
    <w:p>
      <w:pPr>
        <w:ind w:right="140" w:firstLine="749"/>
        <w:spacing w:after="0" w:line="275" w:lineRule="auto"/>
        <w:rPr>
          <w:sz w:val="20"/>
          <w:szCs w:val="20"/>
          <w:color w:val="auto"/>
        </w:rPr>
      </w:pPr>
      <w:r>
        <w:rPr>
          <w:rFonts w:ascii="Arial" w:cs="Arial" w:eastAsia="Arial" w:hAnsi="Arial"/>
          <w:sz w:val="18"/>
          <w:szCs w:val="18"/>
          <w:color w:val="auto"/>
        </w:rPr>
        <w:t>We may rely on third parties for the design, development and manufacture of companion diagnostic tests for our product candidates that require such tests. To be successful, we or our collaborators will need to address a number of scientific, technical, regulatory and logistical challenges. If we or such third parties are unable to successfully develop companion diagnostics, or experience delays in doing so, we may be unable to enroll enough patients for our current and planned clinical trials, the development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6" w:name="page37"/>
    <w:bookmarkEnd w:id="36"/>
    <w:p>
      <w:pPr>
        <w:ind w:right="80"/>
        <w:spacing w:after="0" w:line="293" w:lineRule="auto"/>
        <w:rPr>
          <w:sz w:val="20"/>
          <w:szCs w:val="20"/>
          <w:color w:val="auto"/>
        </w:rPr>
      </w:pPr>
      <w:r>
        <w:rPr>
          <w:rFonts w:ascii="Arial" w:cs="Arial" w:eastAsia="Arial" w:hAnsi="Arial"/>
          <w:sz w:val="18"/>
          <w:szCs w:val="18"/>
          <w:color w:val="auto"/>
        </w:rPr>
        <w:t>of our product candidates may be adversely affected or we may not obtain marketing approval, and we may not realize the full commercial potential of our product candidates, including ORIC-101.</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expect to develop ORIC-101 and potentially other programs in combination with other therapies, which exposes us to additional risks.</w:t>
      </w:r>
    </w:p>
    <w:p>
      <w:pPr>
        <w:spacing w:after="0" w:line="142" w:lineRule="exact"/>
        <w:rPr>
          <w:sz w:val="20"/>
          <w:szCs w:val="20"/>
          <w:color w:val="auto"/>
        </w:rPr>
      </w:pPr>
    </w:p>
    <w:p>
      <w:pPr>
        <w:ind w:firstLine="749"/>
        <w:spacing w:after="0" w:line="306" w:lineRule="auto"/>
        <w:rPr>
          <w:sz w:val="20"/>
          <w:szCs w:val="20"/>
          <w:color w:val="auto"/>
        </w:rPr>
      </w:pPr>
      <w:r>
        <w:rPr>
          <w:rFonts w:ascii="Arial" w:cs="Arial" w:eastAsia="Arial" w:hAnsi="Arial"/>
          <w:sz w:val="16"/>
          <w:szCs w:val="16"/>
          <w:color w:val="auto"/>
        </w:rPr>
        <w:t>We intend to develop ORIC-101 and potentially other programs, in combination with one or more currently approved cancer therapies or therapies in development. In 2019, we initiated a Phase 1b clinical trial evaluating ORIC-101 in combination with nab-paclitaxel in patients with advanced or metastatic solid tumors. In 2019, we also initiated a Phase 1b clinical trial evaluating ORIC-101 in combination with enzalutamide in patients with metastatic prostate cancer. Patients may not be able to tolerate ORIC-101 or any of our other product candidates in combination with other therapies or dosing of ORIC-101 in combination with other therapies may have unexpected consequences. Even if any of our product candidates were to receive marketing approval or be commercialized for use in combination with other existing therapies, we would continue to be subject to the risks that the FDA, EMA or other comparable foreign regulatory authorities could revoke approval of the therapy used in combination with any of our product candidates, or safety, efficacy, manufacturing or supply issues could arise with these existing therapies. In addition, it is possible that existing therapies with which our product candidates are approved for use could themselves fall out of favor or be relegated to later lines of treatment. This could result in the need to identify other combination therapies for our product candidates or our own products being removed from the market or being less successful commercially.</w:t>
      </w:r>
    </w:p>
    <w:p>
      <w:pPr>
        <w:spacing w:after="0" w:line="57" w:lineRule="exact"/>
        <w:rPr>
          <w:sz w:val="20"/>
          <w:szCs w:val="20"/>
          <w:color w:val="auto"/>
        </w:rPr>
      </w:pPr>
    </w:p>
    <w:p>
      <w:pPr>
        <w:ind w:right="300" w:firstLine="749"/>
        <w:spacing w:after="0" w:line="279" w:lineRule="auto"/>
        <w:rPr>
          <w:sz w:val="20"/>
          <w:szCs w:val="20"/>
          <w:color w:val="auto"/>
        </w:rPr>
      </w:pPr>
      <w:r>
        <w:rPr>
          <w:rFonts w:ascii="Arial" w:cs="Arial" w:eastAsia="Arial" w:hAnsi="Arial"/>
          <w:sz w:val="18"/>
          <w:szCs w:val="18"/>
          <w:color w:val="auto"/>
        </w:rPr>
        <w:t>We may also evaluate our product candidates in combination with one or more other cancer therapies that have not yet been approved for marketing by the FDA, EMA or comparable foreign regulatory authorities. We will not be able to market and sell any product candidate in combination with any such unapproved cancer therapies that do not ultimately obtain marketing approval.</w:t>
      </w:r>
    </w:p>
    <w:p>
      <w:pPr>
        <w:spacing w:after="0" w:line="75" w:lineRule="exact"/>
        <w:rPr>
          <w:sz w:val="20"/>
          <w:szCs w:val="20"/>
          <w:color w:val="auto"/>
        </w:rPr>
      </w:pPr>
    </w:p>
    <w:p>
      <w:pPr>
        <w:ind w:right="40" w:firstLine="749"/>
        <w:spacing w:after="0" w:line="303" w:lineRule="auto"/>
        <w:rPr>
          <w:sz w:val="20"/>
          <w:szCs w:val="20"/>
          <w:color w:val="auto"/>
        </w:rPr>
      </w:pPr>
      <w:r>
        <w:rPr>
          <w:rFonts w:ascii="Arial" w:cs="Arial" w:eastAsia="Arial" w:hAnsi="Arial"/>
          <w:sz w:val="17"/>
          <w:szCs w:val="17"/>
          <w:color w:val="auto"/>
        </w:rPr>
        <w:t>If the FDA, EMA or other comparable foreign regulatory authorities do not approve or revoke their approval of these other therapies, or if safety, efficacy, commercial adoption, manufacturing or supply issues arise with the therapies we choose to evaluate in combination with ORIC-101 or any other product candidate, we may be unable to obtain approval of or successfully market any one or all of the product candidates we develop.</w:t>
      </w:r>
    </w:p>
    <w:p>
      <w:pPr>
        <w:spacing w:after="0" w:line="56" w:lineRule="exact"/>
        <w:rPr>
          <w:sz w:val="20"/>
          <w:szCs w:val="20"/>
          <w:color w:val="auto"/>
        </w:rPr>
      </w:pPr>
    </w:p>
    <w:p>
      <w:pPr>
        <w:ind w:right="20" w:firstLine="749"/>
        <w:spacing w:after="0" w:line="305" w:lineRule="auto"/>
        <w:rPr>
          <w:sz w:val="20"/>
          <w:szCs w:val="20"/>
          <w:color w:val="auto"/>
        </w:rPr>
      </w:pPr>
      <w:r>
        <w:rPr>
          <w:rFonts w:ascii="Arial" w:cs="Arial" w:eastAsia="Arial" w:hAnsi="Arial"/>
          <w:sz w:val="16"/>
          <w:szCs w:val="16"/>
          <w:color w:val="auto"/>
        </w:rPr>
        <w:t>Additionally, if the third-party providers of therapies or therapies in development used in combination with our product candidates are unable to produce sufficient quantities for clinical trials or for commercialization of our product candidates, or if the cost of combination therapies are prohibitive, our development and commercialization efforts would be impaired, which would have an adverse effect on our business, financial condition, results of operations and growth prospects. For example, shortages in the supply of nab-paclitaxel or enzalutamide could adversely impact or delay our ongoing clinical trials and development of ORIC-101. Beginning in September 2021, Abraxane (nab-paclitaxel) has been in limited supply due to manufacturing delays. ORIC-101 is currently in a Phase 1b trial in combination with Abraxane, and certain of our clinical sites have temporarily halted screening of new patients. A prolonged shortage of Abraxane could have an adverse effect on our ability to continue the trial or continue the trial on the current timeline, among other adverse effects. In addition, for our Phase 1b trial of ORIC-101 in combination with enzalutamide in prostate cancer, we entered into a clinical trial collaboration and supply agreement with Astellas. Under the terms of the clinical trial collaboration and supply agreement, Astellas, which jointly commercializes enzalutamide in the United States with Pfizer, is providing enzalutamide for the trial. If this agreement terminates and we are unable to obtain enzalutamide on the current terms, the cost to us to conduct this trial may significantly increase.</w:t>
      </w:r>
    </w:p>
    <w:p>
      <w:pPr>
        <w:spacing w:after="0" w:line="61" w:lineRule="exact"/>
        <w:rPr>
          <w:sz w:val="20"/>
          <w:szCs w:val="20"/>
          <w:color w:val="auto"/>
        </w:rPr>
      </w:pPr>
    </w:p>
    <w:p>
      <w:pPr>
        <w:ind w:right="360"/>
        <w:spacing w:after="0" w:line="394" w:lineRule="auto"/>
        <w:rPr>
          <w:sz w:val="20"/>
          <w:szCs w:val="20"/>
          <w:color w:val="auto"/>
        </w:rPr>
      </w:pPr>
      <w:r>
        <w:rPr>
          <w:rFonts w:ascii="Arial" w:cs="Arial" w:eastAsia="Arial" w:hAnsi="Arial"/>
          <w:sz w:val="15"/>
          <w:szCs w:val="15"/>
          <w:b w:val="1"/>
          <w:bCs w:val="1"/>
          <w:i w:val="1"/>
          <w:iCs w:val="1"/>
          <w:color w:val="auto"/>
        </w:rPr>
        <w:t>We have limited resources and are currently focusing our efforts on developing ORIC-101 for particular indications and advancing our preclinical programs. As a result, we may fail to capitalize on other indications or product candidates that may ultimately have proven to be more profitable.</w:t>
      </w:r>
    </w:p>
    <w:p>
      <w:pPr>
        <w:spacing w:after="0" w:line="1" w:lineRule="exact"/>
        <w:rPr>
          <w:sz w:val="20"/>
          <w:szCs w:val="20"/>
          <w:color w:val="auto"/>
        </w:rPr>
      </w:pPr>
    </w:p>
    <w:p>
      <w:pPr>
        <w:ind w:firstLine="749"/>
        <w:spacing w:after="0" w:line="287" w:lineRule="auto"/>
        <w:rPr>
          <w:sz w:val="20"/>
          <w:szCs w:val="20"/>
          <w:color w:val="auto"/>
        </w:rPr>
      </w:pPr>
      <w:r>
        <w:rPr>
          <w:rFonts w:ascii="Arial" w:cs="Arial" w:eastAsia="Arial" w:hAnsi="Arial"/>
          <w:sz w:val="17"/>
          <w:szCs w:val="17"/>
          <w:color w:val="auto"/>
        </w:rPr>
        <w:t>We are currently focusing our resources and efforts on developing ORIC-101 for particular indications and advancing our preclinical programs. As a result, because we have limited resources, we may forgo or delay pursuit of opportunities for other indications or with other product candidates that may have greater commercial potential. Our resource allocation decisions may cause us to fail to capitalize on viable commercial drugs or profitable market opportunities. Our spending on current and future research and development activities for ORIC-101, ORIC-533, ORIC-944, ORIC-114 and other preclinical programs, may not yield any commercially viable drugs. If we do not accurately evaluate the commercial potential or target markets for ORIC-101, ORIC-533, ORIC-944, ORIC-114 or any of our other programs, we may relinquish valuable rights to that product candidate or program through collaboration, licensing or other strategic arrangements in cases in which it would have been more advantageous for us to retain sole development and commercialization rights to such product candidate or program.</w:t>
      </w:r>
    </w:p>
    <w:p>
      <w:pPr>
        <w:spacing w:after="0" w:line="60" w:lineRule="exact"/>
        <w:rPr>
          <w:sz w:val="20"/>
          <w:szCs w:val="20"/>
          <w:color w:val="auto"/>
        </w:rPr>
      </w:pPr>
    </w:p>
    <w:p>
      <w:pPr>
        <w:spacing w:after="0" w:line="291" w:lineRule="auto"/>
        <w:rPr>
          <w:sz w:val="20"/>
          <w:szCs w:val="20"/>
          <w:color w:val="auto"/>
        </w:rPr>
      </w:pPr>
      <w:r>
        <w:rPr>
          <w:rFonts w:ascii="Arial" w:cs="Arial" w:eastAsia="Arial" w:hAnsi="Arial"/>
          <w:sz w:val="17"/>
          <w:szCs w:val="17"/>
          <w:b w:val="1"/>
          <w:bCs w:val="1"/>
          <w:i w:val="1"/>
          <w:iCs w:val="1"/>
          <w:color w:val="auto"/>
        </w:rPr>
        <w:t>We face significant competition, and if our competitors develop and market technologies or products more rapidly than we do or that are more effective, safer or less expensive than the products we develop, our commercial opportunities will be negatively impacted.</w:t>
      </w:r>
    </w:p>
    <w:p>
      <w:pPr>
        <w:spacing w:after="0" w:line="52" w:lineRule="exact"/>
        <w:rPr>
          <w:sz w:val="20"/>
          <w:szCs w:val="20"/>
          <w:color w:val="auto"/>
        </w:rPr>
      </w:pPr>
    </w:p>
    <w:p>
      <w:pPr>
        <w:ind w:firstLine="749"/>
        <w:spacing w:after="0" w:line="293" w:lineRule="auto"/>
        <w:rPr>
          <w:sz w:val="20"/>
          <w:szCs w:val="20"/>
          <w:color w:val="auto"/>
        </w:rPr>
      </w:pPr>
      <w:r>
        <w:rPr>
          <w:rFonts w:ascii="Arial" w:cs="Arial" w:eastAsia="Arial" w:hAnsi="Arial"/>
          <w:sz w:val="18"/>
          <w:szCs w:val="18"/>
          <w:color w:val="auto"/>
        </w:rPr>
        <w:t>The biotechnology and pharmaceutical industries are characterized by rapidly advancing technologies, intense competition and a strong emphasis on proprietary and novel products and product candidates.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7" w:name="page38"/>
    <w:bookmarkEnd w:id="37"/>
    <w:p>
      <w:pPr>
        <w:ind w:firstLine="749"/>
        <w:spacing w:after="0" w:line="271" w:lineRule="auto"/>
        <w:rPr>
          <w:sz w:val="20"/>
          <w:szCs w:val="20"/>
          <w:color w:val="auto"/>
        </w:rPr>
      </w:pPr>
      <w:r>
        <w:rPr>
          <w:rFonts w:ascii="Arial" w:cs="Arial" w:eastAsia="Arial" w:hAnsi="Arial"/>
          <w:sz w:val="18"/>
          <w:szCs w:val="18"/>
          <w:color w:val="auto"/>
        </w:rPr>
        <w:t>Our competitors have developed, are developing or may develop products, product candidates and processes competitive with our product candidates. Any product candidates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conditions for which we may attempt to develop product candidates. In addition, our products may need to compete with drugs physicians use off-label to treat the indications for which we seek approval. This may make it difficult for us to replace existing therapies with our products.</w:t>
      </w:r>
    </w:p>
    <w:p>
      <w:pPr>
        <w:spacing w:after="0" w:line="83" w:lineRule="exact"/>
        <w:rPr>
          <w:sz w:val="20"/>
          <w:szCs w:val="20"/>
          <w:color w:val="auto"/>
        </w:rPr>
      </w:pPr>
    </w:p>
    <w:p>
      <w:pPr>
        <w:ind w:firstLine="749"/>
        <w:spacing w:after="0" w:line="301" w:lineRule="auto"/>
        <w:rPr>
          <w:sz w:val="20"/>
          <w:szCs w:val="20"/>
          <w:color w:val="auto"/>
        </w:rPr>
      </w:pPr>
      <w:r>
        <w:rPr>
          <w:rFonts w:ascii="Arial" w:cs="Arial" w:eastAsia="Arial" w:hAnsi="Arial"/>
          <w:sz w:val="16"/>
          <w:szCs w:val="16"/>
          <w:color w:val="auto"/>
        </w:rPr>
        <w:t>In particular, there is intense competition in the field of oncology. We have competitors both in the United States and internationally, including major multinational pharmaceutical companies, established biotechnology companies, specialty pharmaceutical companies, emerging and start-up companies, universities and other research institutions. We also compete with these organizations to recruit management, scientists and clinical development personnel, which could negatively affect our level of expertise and our ability to execute our business plan. We will also face competition in establishing clinical trial sites, enrolling subjects for clinical trials and in identifying and in-licensing new product candidates. We expect to face competition from existing products and products in development for each of our programs. For ORIC-101, we are aware of several other clinical-stage GR antagonists being developed by Corcept Therapeutics. To our knowledge, there are no GR antagonists approved for the treatment of cancer and the most advanced GR antagonist in development for cancer is in a Phase 3 clinical trial. For ORIC-533, we are aware of several companies developing antibodies against this target, including AstraZeneca, Bristol-Myers Squibb, Novartis in collaboration with Surface Oncology, Incyte Corporation, Corvus Pharmaceuticals, Innate Pharma, Tracon Pharmaceuticals in collaboration with I-Mab Biopharma, Gilead Sciences, Akeso and Symphogen. Other companies, such as Arcus Biosciences, Calithera Biosciences and Merck through its acquisition of Peloton Therapeutics, have small-molecule programs against this target. For ORIC-944, we are aware of several companies developing inhibitors against PRC2 via EZH2 inhibition that are currently in clinical trials, including Epizyme, Constellation Pharmaceuticals, Daiichi Sankyo, Pfizer, Shanghai HaiHe Pharmaceutical and Jiangsu Hengrui Medicine Co. To our knowledge, only Novartis has an allosteric PRC2 inhibitor in a clinical trial for patients with cancer. For ORIC-114, we are aware of several companies developing inhibitors against exon 20 insertion mutations that are currently in clinical trials, including Takeda, Spectrum Pharmaceuticals, The Janssen Pharmaceutical Companies of Johnson &amp; Johnson, Rain Therapeutics, Dizal Pharmaceuticals Co., Ltd., Cullinan Oncology, ArriVent Biopharma and Black Diamond Therapeutics. Many of these current and potential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Smaller or early-stage companies may also prove to be significant competitors, particularly through collaborative arrangements with large and established companies, as well as in acquiring technologies complementary to, or necessary for, our programs. As a result of all of these factors, our competitors may succeed in obtaining approval from the FDA, EMA or other comparable foreign regulatory authorities or in discovering, developing and commercializing products in our field before we do.</w:t>
      </w:r>
    </w:p>
    <w:p>
      <w:pPr>
        <w:spacing w:after="0" w:line="306" w:lineRule="exact"/>
        <w:rPr>
          <w:sz w:val="20"/>
          <w:szCs w:val="20"/>
          <w:color w:val="auto"/>
        </w:rPr>
      </w:pPr>
    </w:p>
    <w:p>
      <w:pPr>
        <w:ind w:firstLine="749"/>
        <w:spacing w:after="0" w:line="308" w:lineRule="auto"/>
        <w:rPr>
          <w:sz w:val="20"/>
          <w:szCs w:val="20"/>
          <w:color w:val="auto"/>
        </w:rPr>
      </w:pPr>
      <w:r>
        <w:rPr>
          <w:rFonts w:ascii="Arial" w:cs="Arial" w:eastAsia="Arial" w:hAnsi="Arial"/>
          <w:sz w:val="16"/>
          <w:szCs w:val="16"/>
          <w:color w:val="auto"/>
        </w:rPr>
        <w:t>Our commercial opportunity could be reduced or eliminated if our competitors develop and commercialize products that are safer, more effective, have fewer side effects, are more convenient, have a broader label, are marketed more effectively, are more widely reimbursed or are less expensive than any products that we may develop. Our competitors also may obtain marketing approval from the FDA, EMA or other comparable foreign regulatory authorities for their products more rapidly than we may obtain approval for ours, which could result in our competitors establishing a strong market position before we are able to enter the market. Even if the product candidates we develop achieve marketing approval, they may be priced at a significant premium over competitive products if any have been approved by then, resulting in reduced competitiveness. Technological advances or products developed by our competitors may render our technologies or product candidates obsolete, less competitive or not economical. If we are unable to compete effectively, our opportunity to generate revenue from the sale of our products we may develop, if approved, could be adversely affected.</w:t>
      </w:r>
    </w:p>
    <w:p>
      <w:pPr>
        <w:spacing w:after="0" w:line="55" w:lineRule="exact"/>
        <w:rPr>
          <w:sz w:val="20"/>
          <w:szCs w:val="20"/>
          <w:color w:val="auto"/>
        </w:rPr>
      </w:pPr>
    </w:p>
    <w:p>
      <w:pPr>
        <w:jc w:val="both"/>
        <w:ind w:right="20"/>
        <w:spacing w:after="0" w:line="279" w:lineRule="auto"/>
        <w:rPr>
          <w:sz w:val="20"/>
          <w:szCs w:val="20"/>
          <w:color w:val="auto"/>
        </w:rPr>
      </w:pPr>
      <w:r>
        <w:rPr>
          <w:rFonts w:ascii="Arial" w:cs="Arial" w:eastAsia="Arial" w:hAnsi="Arial"/>
          <w:sz w:val="18"/>
          <w:szCs w:val="18"/>
          <w:b w:val="1"/>
          <w:bCs w:val="1"/>
          <w:i w:val="1"/>
          <w:iCs w:val="1"/>
          <w:color w:val="auto"/>
        </w:rPr>
        <w:t>The manufacture of drugs is complex, and our third-party manufacturers may encounter difficulties in production or supply chain. If any of our third-party manufacturers encounter such difficulties, our ability to provide adequate supply of our product candidates for clinical trials or our products for patients, if approved, could be delayed or prevented.</w:t>
      </w:r>
    </w:p>
    <w:p>
      <w:pPr>
        <w:spacing w:after="0" w:line="75" w:lineRule="exact"/>
        <w:rPr>
          <w:sz w:val="20"/>
          <w:szCs w:val="20"/>
          <w:color w:val="auto"/>
        </w:rPr>
      </w:pPr>
    </w:p>
    <w:p>
      <w:pPr>
        <w:ind w:right="20" w:firstLine="749"/>
        <w:spacing w:after="0" w:line="309" w:lineRule="auto"/>
        <w:rPr>
          <w:sz w:val="20"/>
          <w:szCs w:val="20"/>
          <w:color w:val="auto"/>
        </w:rPr>
      </w:pPr>
      <w:r>
        <w:rPr>
          <w:rFonts w:ascii="Arial" w:cs="Arial" w:eastAsia="Arial" w:hAnsi="Arial"/>
          <w:sz w:val="16"/>
          <w:szCs w:val="16"/>
          <w:color w:val="auto"/>
        </w:rPr>
        <w:t>Manufacturing drugs, especially in large quantities, is complex and may require the use of innovative technologies. Each lot of an approved drug product must undergo thorough testing for identity, strength, quality, purity and potency. Manufacturing drugs requires facilities specifically designed for and validated for this purpose, as well as sophisticated quality assurance and quality control procedures. Slight deviations anywhere in the manufacturing process, including filling, labeling, packaging, storage and shipping and quality control and testing, may result in lot failures, product recalls or spoilage. When changes are made to the manufacturing process, we may be required to provide preclinical and clinical data showing the comparable identity, strength, quality, purity or potency of the products before and after such changes. If microbial, viral or other contaminations are discovered at the facilities of our manufacturer, such facilities may need to be closed for an extended period of time to investigate and remedy the contamination, which</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38" w:name="page39"/>
    <w:bookmarkEnd w:id="38"/>
    <w:p>
      <w:pPr>
        <w:ind w:right="80"/>
        <w:spacing w:after="0" w:line="271" w:lineRule="auto"/>
        <w:rPr>
          <w:sz w:val="20"/>
          <w:szCs w:val="20"/>
          <w:color w:val="auto"/>
        </w:rPr>
      </w:pPr>
      <w:r>
        <w:rPr>
          <w:rFonts w:ascii="Arial" w:cs="Arial" w:eastAsia="Arial" w:hAnsi="Arial"/>
          <w:sz w:val="18"/>
          <w:szCs w:val="18"/>
          <w:color w:val="auto"/>
        </w:rPr>
        <w:t>could delay clinical trials and adversely harm our business. The use of biologically derived ingredients can also lead to allegations of harm, including infections or allergic reactions, or closure of product facilities due to possible contamination. Additionally, we may experience supply chain disruptions or slowdowns, including related manufacturing, logistics, labor supply or other factors related to the supply chains of products and materials that we use. If our third-party manufacturers are unable to produce sufficient quantities for clinical trials or for commercialization as a result of these challenges, or otherwise, our development and commercialization efforts would be impaired, which would have an adverse effect on our business, financial condition, results of operations and growth prospects.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methods of product candidate manufacturing or formulation may result in additional costs or delay.</w:t>
      </w:r>
    </w:p>
    <w:p>
      <w:pPr>
        <w:spacing w:after="0" w:line="131" w:lineRule="exact"/>
        <w:rPr>
          <w:sz w:val="20"/>
          <w:szCs w:val="20"/>
          <w:color w:val="auto"/>
        </w:rPr>
      </w:pPr>
    </w:p>
    <w:p>
      <w:pPr>
        <w:ind w:right="40" w:firstLine="749"/>
        <w:spacing w:after="0" w:line="269" w:lineRule="auto"/>
        <w:rPr>
          <w:sz w:val="20"/>
          <w:szCs w:val="20"/>
          <w:color w:val="auto"/>
        </w:rPr>
      </w:pPr>
      <w:r>
        <w:rPr>
          <w:rFonts w:ascii="Arial" w:cs="Arial" w:eastAsia="Arial" w:hAnsi="Arial"/>
          <w:sz w:val="18"/>
          <w:szCs w:val="18"/>
          <w:color w:val="auto"/>
        </w:rPr>
        <w:t>As product candidates progress through preclinical and clinical trials to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For example, we may introduce an alternative formulation of ORIC-101 into the dose expansion phases of our ongoing Phase 1b clinical trials.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w:t>
      </w:r>
    </w:p>
    <w:p>
      <w:pPr>
        <w:spacing w:after="0" w:line="88" w:lineRule="exact"/>
        <w:rPr>
          <w:sz w:val="20"/>
          <w:szCs w:val="20"/>
          <w:color w:val="auto"/>
        </w:rPr>
      </w:pPr>
    </w:p>
    <w:p>
      <w:pPr>
        <w:ind w:right="660"/>
        <w:spacing w:after="0" w:line="293" w:lineRule="auto"/>
        <w:rPr>
          <w:sz w:val="20"/>
          <w:szCs w:val="20"/>
          <w:color w:val="auto"/>
        </w:rPr>
      </w:pPr>
      <w:r>
        <w:rPr>
          <w:rFonts w:ascii="Arial" w:cs="Arial" w:eastAsia="Arial" w:hAnsi="Arial"/>
          <w:sz w:val="18"/>
          <w:szCs w:val="18"/>
          <w:b w:val="1"/>
          <w:bCs w:val="1"/>
          <w:i w:val="1"/>
          <w:iCs w:val="1"/>
          <w:color w:val="auto"/>
        </w:rPr>
        <w:t>Our product candidates may not achieve adequate market acceptance among physicians, patients, healthcare payors and others in the medical community necessary for commercial success.</w:t>
      </w:r>
    </w:p>
    <w:p>
      <w:pPr>
        <w:spacing w:after="0" w:line="62" w:lineRule="exact"/>
        <w:rPr>
          <w:sz w:val="20"/>
          <w:szCs w:val="20"/>
          <w:color w:val="auto"/>
        </w:rPr>
      </w:pPr>
    </w:p>
    <w:p>
      <w:pPr>
        <w:ind w:firstLine="749"/>
        <w:spacing w:after="0" w:line="279" w:lineRule="auto"/>
        <w:rPr>
          <w:sz w:val="20"/>
          <w:szCs w:val="20"/>
          <w:color w:val="auto"/>
        </w:rPr>
      </w:pPr>
      <w:r>
        <w:rPr>
          <w:rFonts w:ascii="Arial" w:cs="Arial" w:eastAsia="Arial" w:hAnsi="Arial"/>
          <w:sz w:val="18"/>
          <w:szCs w:val="18"/>
          <w:color w:val="auto"/>
        </w:rPr>
        <w:t>Even if our product candidates receive regulatory approval, they may not gain adequate market acceptance among physicians, patients, third-party payors and others in the medical community. The degree of market acceptance of any of our approved product candidates will depend on a number of factors, including:</w:t>
      </w:r>
    </w:p>
    <w:p>
      <w:pPr>
        <w:spacing w:after="0" w:line="75" w:lineRule="exact"/>
        <w:rPr>
          <w:sz w:val="20"/>
          <w:szCs w:val="20"/>
          <w:color w:val="auto"/>
        </w:rPr>
      </w:pPr>
    </w:p>
    <w:p>
      <w:pPr>
        <w:ind w:left="1200" w:right="2900"/>
        <w:spacing w:after="0" w:line="391" w:lineRule="auto"/>
        <w:rPr>
          <w:sz w:val="20"/>
          <w:szCs w:val="20"/>
          <w:color w:val="auto"/>
        </w:rPr>
      </w:pPr>
      <w:r>
        <w:rPr>
          <w:rFonts w:ascii="Arial" w:cs="Arial" w:eastAsia="Arial" w:hAnsi="Arial"/>
          <w:sz w:val="18"/>
          <w:szCs w:val="18"/>
          <w:color w:val="auto"/>
        </w:rPr>
        <w:t>the efficacy and safety profile as demonstrated in clinical trials compared to alternative treatments; the timing of market introduction of the product candidate as well as competitive products; the clinical indications for which a product candidate is approved;</w:t>
      </w:r>
    </w:p>
    <w:p>
      <w:pPr>
        <w:spacing w:after="0" w:line="1" w:lineRule="exact"/>
        <w:rPr>
          <w:sz w:val="20"/>
          <w:szCs w:val="20"/>
          <w:color w:val="auto"/>
        </w:rPr>
      </w:pPr>
    </w:p>
    <w:p>
      <w:pPr>
        <w:ind w:left="1200" w:right="180"/>
        <w:spacing w:after="0" w:line="279" w:lineRule="auto"/>
        <w:rPr>
          <w:sz w:val="20"/>
          <w:szCs w:val="20"/>
          <w:color w:val="auto"/>
        </w:rPr>
      </w:pPr>
      <w:r>
        <w:rPr>
          <w:rFonts w:ascii="Arial" w:cs="Arial" w:eastAsia="Arial" w:hAnsi="Arial"/>
          <w:sz w:val="18"/>
          <w:szCs w:val="18"/>
          <w:color w:val="auto"/>
        </w:rPr>
        <w:t>restrictions on the use of product candidates in the labeling approved by regulatory authorities, such as boxed warnings or contraindications in labeling, or a risk evaluation and mitigation strategy, if any, which may not be required of alternative treatments and competitor products;</w:t>
      </w:r>
    </w:p>
    <w:p>
      <w:pPr>
        <w:spacing w:after="0" w:line="7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potential and perceived advantages of our product candidates over alternative treatments;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cost of treatment in relation to alternative treatments;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availability of coverage and adequate reimbursement by third-party payors, including government authorities;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availability of an approved product candidate for use as a combination therapy;</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relative convenience and ease of administration;</w:t>
      </w:r>
    </w:p>
    <w:p>
      <w:pPr>
        <w:spacing w:after="0" w:line="131" w:lineRule="exact"/>
        <w:rPr>
          <w:sz w:val="20"/>
          <w:szCs w:val="20"/>
          <w:color w:val="auto"/>
        </w:rPr>
      </w:pPr>
    </w:p>
    <w:p>
      <w:pPr>
        <w:ind w:left="1200" w:right="420"/>
        <w:spacing w:after="0" w:line="293" w:lineRule="auto"/>
        <w:rPr>
          <w:sz w:val="20"/>
          <w:szCs w:val="20"/>
          <w:color w:val="auto"/>
        </w:rPr>
      </w:pPr>
      <w:r>
        <w:rPr>
          <w:rFonts w:ascii="Arial" w:cs="Arial" w:eastAsia="Arial" w:hAnsi="Arial"/>
          <w:sz w:val="18"/>
          <w:szCs w:val="18"/>
          <w:color w:val="auto"/>
        </w:rPr>
        <w:t>the willingness of the target patient population to try new therapies and undergo required diagnostic screening to determine treatment eligibility and of physicians to prescribe these therapies and diagnostic tests;</w:t>
      </w:r>
    </w:p>
    <w:p>
      <w:pPr>
        <w:spacing w:after="0" w:line="6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effectiveness of sales and marketing efforts;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unfavorable publicity relating to our product candidates; and</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approval of other new therapies for the same indications.</w:t>
      </w:r>
    </w:p>
    <w:p>
      <w:pPr>
        <w:spacing w:after="0" w:line="131" w:lineRule="exact"/>
        <w:rPr>
          <w:sz w:val="20"/>
          <w:szCs w:val="20"/>
          <w:color w:val="auto"/>
        </w:rPr>
      </w:pPr>
    </w:p>
    <w:p>
      <w:pPr>
        <w:ind w:right="60" w:firstLine="749"/>
        <w:spacing w:after="0" w:line="359" w:lineRule="auto"/>
        <w:rPr>
          <w:sz w:val="20"/>
          <w:szCs w:val="20"/>
          <w:color w:val="auto"/>
        </w:rPr>
      </w:pPr>
      <w:r>
        <w:rPr>
          <w:rFonts w:ascii="Arial" w:cs="Arial" w:eastAsia="Arial" w:hAnsi="Arial"/>
          <w:sz w:val="16"/>
          <w:szCs w:val="16"/>
          <w:color w:val="auto"/>
        </w:rPr>
        <w:t>If any of our product candidates are approved but do not achieve an adequate level of acceptance by physicians, hospitals, healthcare payors and patients, we may not generate or derive sufficient revenue from that product candidate and our financial results could be negatively impacted.</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opportunities for ORIC-101 and other product candidates we develop, if approved, may be limited to certain smaller patient subsets.</w:t>
      </w:r>
    </w:p>
    <w:p>
      <w:pPr>
        <w:spacing w:after="0" w:line="154" w:lineRule="exact"/>
        <w:rPr>
          <w:sz w:val="20"/>
          <w:szCs w:val="20"/>
          <w:color w:val="auto"/>
        </w:rPr>
      </w:pPr>
    </w:p>
    <w:p>
      <w:pPr>
        <w:ind w:right="80" w:firstLine="749"/>
        <w:spacing w:after="0" w:line="272" w:lineRule="auto"/>
        <w:rPr>
          <w:sz w:val="20"/>
          <w:szCs w:val="20"/>
          <w:color w:val="auto"/>
        </w:rPr>
      </w:pPr>
      <w:r>
        <w:rPr>
          <w:rFonts w:ascii="Arial" w:cs="Arial" w:eastAsia="Arial" w:hAnsi="Arial"/>
          <w:sz w:val="18"/>
          <w:szCs w:val="18"/>
          <w:color w:val="auto"/>
        </w:rPr>
        <w:t>Cancer therapies are sometimes characterized as first-line, second-line or third-line, and the FDA often approves new therapies initially only for a particular line of use. When cancer is detected early enough, first-line therapy, such as chemotherapy, hormone therapy, surgery, radiation therapy or a combination of these, is sometimes adequate to cure the cancer or prolong life without a cure. Second- and third-line therapies are administered to patients when prior therapy is not effective. Our current clinical trials for ORIC-101 are with patients who have received one or more prior treatments. There is no guarantee that product candidates</w:t>
      </w:r>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39" w:name="page40"/>
    <w:bookmarkEnd w:id="39"/>
    <w:p>
      <w:pPr>
        <w:ind w:right="160"/>
        <w:spacing w:after="0" w:line="293" w:lineRule="auto"/>
        <w:rPr>
          <w:sz w:val="20"/>
          <w:szCs w:val="20"/>
          <w:color w:val="auto"/>
        </w:rPr>
      </w:pPr>
      <w:r>
        <w:rPr>
          <w:rFonts w:ascii="Arial" w:cs="Arial" w:eastAsia="Arial" w:hAnsi="Arial"/>
          <w:sz w:val="18"/>
          <w:szCs w:val="18"/>
          <w:color w:val="auto"/>
        </w:rPr>
        <w:t>we develop, even if approved, would be approved for first-line therapy, and, prior to any such approvals, we may have to conduct additional clinical trials that may be costly, time-consuming and subject to risk.</w:t>
      </w:r>
    </w:p>
    <w:p>
      <w:pPr>
        <w:spacing w:after="0" w:line="62" w:lineRule="exact"/>
        <w:rPr>
          <w:sz w:val="20"/>
          <w:szCs w:val="20"/>
          <w:color w:val="auto"/>
        </w:rPr>
      </w:pPr>
    </w:p>
    <w:p>
      <w:pPr>
        <w:ind w:right="60" w:firstLine="749"/>
        <w:spacing w:after="0" w:line="269" w:lineRule="auto"/>
        <w:rPr>
          <w:sz w:val="20"/>
          <w:szCs w:val="20"/>
          <w:color w:val="auto"/>
        </w:rPr>
      </w:pPr>
      <w:r>
        <w:rPr>
          <w:rFonts w:ascii="Arial" w:cs="Arial" w:eastAsia="Arial" w:hAnsi="Arial"/>
          <w:sz w:val="18"/>
          <w:szCs w:val="18"/>
          <w:color w:val="auto"/>
        </w:rPr>
        <w:t>The number of patients who have the cancers we are targeting may turn out to be lower than expected. Additionally, the potentially addressable patient population for ORIC-101 and other product candidates we develop, including as a result of the selection of patients with specific biomarkers, levels of GR expression or gene activity, may be limited or may not be amenable to treatment with our product candidates. We have developed a proprietary IHC assay that measures GR protein expression levels as well as a proprietary GR gene activation signature that measures GR signaling activity, both of which are being utilized in our ongoing clinical trials and may be used for patient selection in future clinical trials. We are continuing to evaluate the appropriate levels of GR protein overexpression for determining which patients may be eligible for treatment. Regulatory approval may limit the market of a product candidate to target patient populations when such biomarker-driven identification and/or highly specific criteria related to the stage of disease progression are utilized.</w:t>
      </w:r>
    </w:p>
    <w:p>
      <w:pPr>
        <w:spacing w:after="0" w:line="88" w:lineRule="exact"/>
        <w:rPr>
          <w:sz w:val="20"/>
          <w:szCs w:val="20"/>
          <w:color w:val="auto"/>
        </w:rPr>
      </w:pPr>
    </w:p>
    <w:p>
      <w:pPr>
        <w:ind w:right="700" w:firstLine="749"/>
        <w:spacing w:after="0" w:line="293" w:lineRule="auto"/>
        <w:rPr>
          <w:sz w:val="20"/>
          <w:szCs w:val="20"/>
          <w:color w:val="auto"/>
        </w:rPr>
      </w:pPr>
      <w:r>
        <w:rPr>
          <w:rFonts w:ascii="Arial" w:cs="Arial" w:eastAsia="Arial" w:hAnsi="Arial"/>
          <w:sz w:val="18"/>
          <w:szCs w:val="18"/>
          <w:color w:val="auto"/>
        </w:rPr>
        <w:t>Even if we obtain significant market share for any approved product, if the potential target populations are small, we may never achieve profitability without obtaining marketing approval for additional indications.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augmenting our product pipeline through acquisitions and in-licenses.</w:t>
      </w:r>
    </w:p>
    <w:p>
      <w:pPr>
        <w:spacing w:after="0" w:line="131" w:lineRule="exact"/>
        <w:rPr>
          <w:sz w:val="20"/>
          <w:szCs w:val="20"/>
          <w:color w:val="auto"/>
        </w:rPr>
      </w:pPr>
    </w:p>
    <w:p>
      <w:pPr>
        <w:ind w:firstLine="749"/>
        <w:spacing w:after="0" w:line="286" w:lineRule="auto"/>
        <w:rPr>
          <w:sz w:val="20"/>
          <w:szCs w:val="20"/>
          <w:color w:val="auto"/>
        </w:rPr>
      </w:pPr>
      <w:r>
        <w:rPr>
          <w:rFonts w:ascii="Arial" w:cs="Arial" w:eastAsia="Arial" w:hAnsi="Arial"/>
          <w:sz w:val="17"/>
          <w:szCs w:val="17"/>
          <w:color w:val="auto"/>
        </w:rPr>
        <w:t>We believe that accessing external innovation and expertise is important to our success; and while we plan to leverage our leadership team’s prior business development experience as we evaluate potential in-licensing and acquisition opportunities to further expand our portfolio, we may not be able to identify suitable licensing or acquisition opportunities, and even if we do, we may not be able to successfully secure such licensing and acquisition opportunities. The licensing or acquisition of third-party intellectual property rights is a competitive area, and several more established companies may pursue strategies to license or acquire third-party intellectual property rights that we may consider attractive or necessary. These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license or acquire additional product candidates to expand our portfolio, our pipeline, competitive position, business, financial condition, results of operations, and prospects may be materially harmed.</w:t>
      </w:r>
    </w:p>
    <w:p>
      <w:pPr>
        <w:spacing w:after="0" w:line="74" w:lineRule="exact"/>
        <w:rPr>
          <w:sz w:val="20"/>
          <w:szCs w:val="20"/>
          <w:color w:val="auto"/>
        </w:rPr>
      </w:pPr>
    </w:p>
    <w:p>
      <w:pPr>
        <w:ind w:right="860"/>
        <w:spacing w:after="0" w:line="293" w:lineRule="auto"/>
        <w:rPr>
          <w:sz w:val="20"/>
          <w:szCs w:val="20"/>
          <w:color w:val="auto"/>
        </w:rPr>
      </w:pPr>
      <w:r>
        <w:rPr>
          <w:rFonts w:ascii="Arial" w:cs="Arial" w:eastAsia="Arial" w:hAnsi="Arial"/>
          <w:sz w:val="18"/>
          <w:szCs w:val="18"/>
          <w:b w:val="1"/>
          <w:bCs w:val="1"/>
          <w:i w:val="1"/>
          <w:iCs w:val="1"/>
          <w:color w:val="auto"/>
        </w:rPr>
        <w:t>Any product candidates we develop may become subject to unfavorable third-party coverage and reimbursement practices, as well as pricing regulations.</w:t>
      </w:r>
    </w:p>
    <w:p>
      <w:pPr>
        <w:spacing w:after="0" w:line="62" w:lineRule="exact"/>
        <w:rPr>
          <w:sz w:val="20"/>
          <w:szCs w:val="20"/>
          <w:color w:val="auto"/>
        </w:rPr>
      </w:pPr>
    </w:p>
    <w:p>
      <w:pPr>
        <w:ind w:right="60" w:firstLine="749"/>
        <w:spacing w:after="0" w:line="287" w:lineRule="auto"/>
        <w:rPr>
          <w:sz w:val="20"/>
          <w:szCs w:val="20"/>
          <w:color w:val="auto"/>
        </w:rPr>
      </w:pPr>
      <w:r>
        <w:rPr>
          <w:rFonts w:ascii="Arial" w:cs="Arial" w:eastAsia="Arial" w:hAnsi="Arial"/>
          <w:sz w:val="17"/>
          <w:szCs w:val="17"/>
          <w:color w:val="auto"/>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Sales of any of our product candidates that receive marketing approval will depend substantially, both in the United States and internationally, on the extent to which the costs of such product candidates will be covered and reimbursed by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70" w:lineRule="exact"/>
        <w:rPr>
          <w:sz w:val="20"/>
          <w:szCs w:val="20"/>
          <w:color w:val="auto"/>
        </w:rPr>
      </w:pPr>
    </w:p>
    <w:p>
      <w:pPr>
        <w:ind w:firstLine="749"/>
        <w:spacing w:after="0" w:line="269" w:lineRule="auto"/>
        <w:rPr>
          <w:sz w:val="20"/>
          <w:szCs w:val="20"/>
          <w:color w:val="auto"/>
        </w:rPr>
      </w:pPr>
      <w:r>
        <w:rPr>
          <w:rFonts w:ascii="Arial" w:cs="Arial" w:eastAsia="Arial" w:hAnsi="Arial"/>
          <w:sz w:val="18"/>
          <w:szCs w:val="18"/>
          <w:color w:val="auto"/>
        </w:rPr>
        <w:t>There is significant uncertainty related to third-party payor coverage and reimbursement of newly approved products. In the United States, for example, principal decisions about reimbursement for new products are typically made by the Centers for Medicare &amp; Medicaid Services (CMS), an agency within the U.S. Department of Health and Human Services (HHS).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spacing w:after="0" w:line="88" w:lineRule="exact"/>
        <w:rPr>
          <w:sz w:val="20"/>
          <w:szCs w:val="20"/>
          <w:color w:val="auto"/>
        </w:rPr>
      </w:pPr>
    </w:p>
    <w:p>
      <w:pPr>
        <w:ind w:right="100" w:firstLine="749"/>
        <w:spacing w:after="0" w:line="269" w:lineRule="auto"/>
        <w:rPr>
          <w:sz w:val="20"/>
          <w:szCs w:val="20"/>
          <w:color w:val="auto"/>
        </w:rPr>
      </w:pPr>
      <w:r>
        <w:rPr>
          <w:rFonts w:ascii="Arial" w:cs="Arial" w:eastAsia="Arial" w:hAnsi="Arial"/>
          <w:sz w:val="18"/>
          <w:szCs w:val="18"/>
          <w:color w:val="auto"/>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We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will be.</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0" w:name="page41"/>
    <w:bookmarkEnd w:id="40"/>
    <w:p>
      <w:pPr>
        <w:ind w:right="80" w:firstLine="749"/>
        <w:spacing w:after="0" w:line="272" w:lineRule="auto"/>
        <w:rPr>
          <w:sz w:val="20"/>
          <w:szCs w:val="20"/>
          <w:color w:val="auto"/>
        </w:rPr>
      </w:pPr>
      <w:r>
        <w:rPr>
          <w:rFonts w:ascii="Arial" w:cs="Arial" w:eastAsia="Arial" w:hAnsi="Arial"/>
          <w:sz w:val="18"/>
          <w:szCs w:val="18"/>
          <w:color w:val="auto"/>
        </w:rPr>
        <w:t>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 Additionally, if any companion diagnostic provider is unable to obtain reimbursement or is inadequately reimbursed, that may limit the availability of such companion diagnostic, which would negatively impact prescriptions for our product candidates, if approved.</w:t>
      </w:r>
    </w:p>
    <w:p>
      <w:pPr>
        <w:spacing w:after="0" w:line="83" w:lineRule="exact"/>
        <w:rPr>
          <w:sz w:val="20"/>
          <w:szCs w:val="20"/>
          <w:color w:val="auto"/>
        </w:rPr>
      </w:pPr>
    </w:p>
    <w:p>
      <w:pPr>
        <w:ind w:right="20" w:firstLine="749"/>
        <w:spacing w:after="0" w:line="306" w:lineRule="auto"/>
        <w:rPr>
          <w:sz w:val="20"/>
          <w:szCs w:val="20"/>
          <w:color w:val="auto"/>
        </w:rPr>
      </w:pPr>
      <w:r>
        <w:rPr>
          <w:rFonts w:ascii="Arial" w:cs="Arial" w:eastAsia="Arial" w:hAnsi="Arial"/>
          <w:sz w:val="16"/>
          <w:szCs w:val="16"/>
          <w:color w:val="auto"/>
        </w:rPr>
        <w:t>Outside the United States, the commercialization of therapeutics is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In many countries, particularly the countries of the European Union,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cost-effectiveness of our product candidate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57" w:lineRule="exact"/>
        <w:rPr>
          <w:sz w:val="20"/>
          <w:szCs w:val="20"/>
          <w:color w:val="auto"/>
        </w:rPr>
      </w:pPr>
    </w:p>
    <w:p>
      <w:pPr>
        <w:ind w:right="20" w:firstLine="749"/>
        <w:spacing w:after="0" w:line="272" w:lineRule="auto"/>
        <w:rPr>
          <w:sz w:val="20"/>
          <w:szCs w:val="20"/>
          <w:color w:val="auto"/>
        </w:rPr>
      </w:pPr>
      <w:r>
        <w:rPr>
          <w:rFonts w:ascii="Arial" w:cs="Arial" w:eastAsia="Arial" w:hAnsi="Arial"/>
          <w:sz w:val="18"/>
          <w:szCs w:val="18"/>
          <w:color w:val="auto"/>
        </w:rPr>
        <w:t>If we are unable to establish or sustain coverage and adequate reimbursement for any product candidates from third-party payors, the adoption of those products and sales revenue will be adversely affected, which, in turn, could adversely affect the ability to market or sell those product candidates, if approved. Coverage policies and third-party payor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83" w:lineRule="exact"/>
        <w:rPr>
          <w:sz w:val="20"/>
          <w:szCs w:val="20"/>
          <w:color w:val="auto"/>
        </w:rPr>
      </w:pPr>
    </w:p>
    <w:p>
      <w:pPr>
        <w:ind w:right="360"/>
        <w:spacing w:after="0" w:line="293" w:lineRule="auto"/>
        <w:rPr>
          <w:sz w:val="20"/>
          <w:szCs w:val="20"/>
          <w:color w:val="auto"/>
        </w:rPr>
      </w:pPr>
      <w:r>
        <w:rPr>
          <w:rFonts w:ascii="Arial" w:cs="Arial" w:eastAsia="Arial" w:hAnsi="Arial"/>
          <w:sz w:val="18"/>
          <w:szCs w:val="18"/>
          <w:b w:val="1"/>
          <w:bCs w:val="1"/>
          <w:i w:val="1"/>
          <w:iCs w:val="1"/>
          <w:color w:val="auto"/>
        </w:rPr>
        <w:t>Our business entails a significant risk of product liability and if we are unable to obtain sufficient insurance coverage such inability could have an adverse effect on our business and financial condition.</w:t>
      </w:r>
    </w:p>
    <w:p>
      <w:pPr>
        <w:spacing w:after="0" w:line="62" w:lineRule="exact"/>
        <w:rPr>
          <w:sz w:val="20"/>
          <w:szCs w:val="20"/>
          <w:color w:val="auto"/>
        </w:rPr>
      </w:pPr>
    </w:p>
    <w:p>
      <w:pPr>
        <w:ind w:right="120" w:firstLine="749"/>
        <w:spacing w:after="0" w:line="305" w:lineRule="auto"/>
        <w:rPr>
          <w:sz w:val="20"/>
          <w:szCs w:val="20"/>
          <w:color w:val="auto"/>
        </w:rPr>
      </w:pPr>
      <w:r>
        <w:rPr>
          <w:rFonts w:ascii="Arial" w:cs="Arial" w:eastAsia="Arial" w:hAnsi="Arial"/>
          <w:sz w:val="16"/>
          <w:szCs w:val="16"/>
          <w:color w:val="auto"/>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EMA or other regulatory authority investigation of the safety and effectiveness of our products, our manufacturing processes and facilities or our marketing programs. FDA, EMA or other regulatory authority investigations could potentially lead to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and substantial monetary awards to trial participants or patients. We currently have product liability insurance that we believe is appropriate for our stage of development and may need to obtain higher levels prior to marketing any of our product candidates, if approved.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 and financial condition.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and other legal compliance matters</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unable to obtain U.S. or foreign regulatory approval and, as a result, may be unable to commercialize our product candidates.</w:t>
      </w:r>
    </w:p>
    <w:p>
      <w:pPr>
        <w:spacing w:after="0" w:line="142" w:lineRule="exact"/>
        <w:rPr>
          <w:sz w:val="20"/>
          <w:szCs w:val="20"/>
          <w:color w:val="auto"/>
        </w:rPr>
      </w:pPr>
    </w:p>
    <w:p>
      <w:pPr>
        <w:ind w:right="80" w:firstLine="749"/>
        <w:spacing w:after="0" w:line="311" w:lineRule="auto"/>
        <w:rPr>
          <w:sz w:val="20"/>
          <w:szCs w:val="20"/>
          <w:color w:val="auto"/>
        </w:rPr>
      </w:pPr>
      <w:r>
        <w:rPr>
          <w:rFonts w:ascii="Arial" w:cs="Arial" w:eastAsia="Arial" w:hAnsi="Arial"/>
          <w:sz w:val="16"/>
          <w:szCs w:val="16"/>
          <w:color w:val="auto"/>
        </w:rPr>
        <w:t>Our product candidates are and will continue to be subject to extensive governmental regulations relating to, among other things, research, testing, development, manufacturing, safety, efficacy, approval, recordkeeping, reporting, labeling, storage, packaging, advertising and promotion, pricing, marketing and distribution of drugs. Rigorous preclinical testing and clinical trials and an extensive regulatory approval process must be successfully completed in the United States and in many foreign jurisdictions before a new drug can be approved for marketing. Satisfaction of these and other regulatory requirements is costly, time consuming, uncertain and subject to unanticipated delays. We cannot provide any assurance that any product candidate we may develop will progress through required clinical testing and obtain the regulatory approvals necessary for us to begin selling them.</w:t>
      </w:r>
    </w:p>
    <w:p>
      <w:pPr>
        <w:spacing w:after="0" w:line="55" w:lineRule="exact"/>
        <w:rPr>
          <w:sz w:val="20"/>
          <w:szCs w:val="20"/>
          <w:color w:val="auto"/>
        </w:rPr>
      </w:pPr>
    </w:p>
    <w:p>
      <w:pPr>
        <w:ind w:firstLine="749"/>
        <w:spacing w:after="0" w:line="270" w:lineRule="auto"/>
        <w:rPr>
          <w:sz w:val="20"/>
          <w:szCs w:val="20"/>
          <w:color w:val="auto"/>
        </w:rPr>
      </w:pPr>
      <w:r>
        <w:rPr>
          <w:rFonts w:ascii="Arial" w:cs="Arial" w:eastAsia="Arial" w:hAnsi="Arial"/>
          <w:sz w:val="18"/>
          <w:szCs w:val="18"/>
          <w:color w:val="auto"/>
        </w:rPr>
        <w:t>We have not conducted, managed or completed large-scale or pivotal clinical trials nor managed the regulatory approval process with the FDA or any other regulatory authority. The time required to obtain approvals from the FDA and other regulatory authorities is unpredictable and requires successful completion of extensive clinical trials which typically takes many years, depending upon the type, complexity and novelty of the product candidate. The standards that the FDA and its foreign counterparts use when evaluating clinical trial data can, and often does, change during drug development, which makes it difficult to predict with any certainty how they will be applied. We may also encounter unexpected delays or increased costs due to new government regulations, including future legislation or administrative action, or changes in FDA policy during the period of drug development, clinical trials and FDA regulatory review.</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41" w:name="page42"/>
    <w:bookmarkEnd w:id="41"/>
    <w:p>
      <w:pPr>
        <w:ind w:right="20" w:firstLine="749"/>
        <w:spacing w:after="0" w:line="287" w:lineRule="auto"/>
        <w:rPr>
          <w:sz w:val="20"/>
          <w:szCs w:val="20"/>
          <w:color w:val="auto"/>
        </w:rPr>
      </w:pPr>
      <w:r>
        <w:rPr>
          <w:rFonts w:ascii="Arial" w:cs="Arial" w:eastAsia="Arial" w:hAnsi="Arial"/>
          <w:sz w:val="17"/>
          <w:szCs w:val="17"/>
          <w:color w:val="auto"/>
        </w:rPr>
        <w:t>Any delay or failure in seeking or obtaining required approvals would have a material and adverse effect on our ability to generate revenue from any particular product candidates we are developing and for which we are seeking approval. Furthermore, any regulatory approval to market a drug may be subject to significant limitations on the approved uses or indications for which we may market, promote and advertise the drug or the labeling or other restrictions. In addition, the FDA has the authority to require a Risk Evaluation and Mitigation Strategy (REMS) plan as part of approving an NDA,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spacing w:after="0" w:line="74" w:lineRule="exact"/>
        <w:rPr>
          <w:sz w:val="20"/>
          <w:szCs w:val="20"/>
          <w:color w:val="auto"/>
        </w:rPr>
      </w:pPr>
    </w:p>
    <w:p>
      <w:pPr>
        <w:jc w:val="both"/>
        <w:ind w:right="20" w:firstLine="749"/>
        <w:spacing w:after="0" w:line="296" w:lineRule="auto"/>
        <w:rPr>
          <w:sz w:val="20"/>
          <w:szCs w:val="20"/>
          <w:color w:val="auto"/>
        </w:rPr>
      </w:pPr>
      <w:r>
        <w:rPr>
          <w:rFonts w:ascii="Arial" w:cs="Arial" w:eastAsia="Arial" w:hAnsi="Arial"/>
          <w:sz w:val="17"/>
          <w:szCs w:val="17"/>
          <w:color w:val="auto"/>
        </w:rPr>
        <w:t>We are also subject to numerous foreign regulatory requirements governing, among other things, the conduct of clinical trials, manufacturing and marketing authorization, pricing and third-party reimbursement. The foreign regulatory approval process varies among countries, and generally includes all of the risks associated with FDA approval described above as well as risks attributable to the satisfaction of local regulations in foreign jurisdictions. Moreover, the time required to obtain approval may differ from that required to obtain FDA approval.</w:t>
      </w:r>
    </w:p>
    <w:p>
      <w:pPr>
        <w:spacing w:after="0" w:line="62" w:lineRule="exact"/>
        <w:rPr>
          <w:sz w:val="20"/>
          <w:szCs w:val="20"/>
          <w:color w:val="auto"/>
        </w:rPr>
      </w:pPr>
    </w:p>
    <w:p>
      <w:pPr>
        <w:ind w:right="900"/>
        <w:spacing w:after="0" w:line="293" w:lineRule="auto"/>
        <w:rPr>
          <w:sz w:val="20"/>
          <w:szCs w:val="20"/>
          <w:color w:val="auto"/>
        </w:rPr>
      </w:pPr>
      <w:r>
        <w:rPr>
          <w:rFonts w:ascii="Arial" w:cs="Arial" w:eastAsia="Arial" w:hAnsi="Arial"/>
          <w:sz w:val="18"/>
          <w:szCs w:val="18"/>
          <w:b w:val="1"/>
          <w:bCs w:val="1"/>
          <w:i w:val="1"/>
          <w:iCs w:val="1"/>
          <w:color w:val="auto"/>
        </w:rPr>
        <w:t>The FDA, EMA and other comparable foreign regulatory authorities may not accept data from trials conducted in locations outside of their jurisdiction.</w:t>
      </w:r>
    </w:p>
    <w:p>
      <w:pPr>
        <w:spacing w:after="0" w:line="62" w:lineRule="exact"/>
        <w:rPr>
          <w:sz w:val="20"/>
          <w:szCs w:val="20"/>
          <w:color w:val="auto"/>
        </w:rPr>
      </w:pPr>
    </w:p>
    <w:p>
      <w:pPr>
        <w:ind w:right="40" w:firstLine="749"/>
        <w:spacing w:after="0" w:line="308" w:lineRule="auto"/>
        <w:rPr>
          <w:sz w:val="20"/>
          <w:szCs w:val="20"/>
          <w:color w:val="auto"/>
        </w:rPr>
      </w:pPr>
      <w:r>
        <w:rPr>
          <w:rFonts w:ascii="Arial" w:cs="Arial" w:eastAsia="Arial" w:hAnsi="Arial"/>
          <w:sz w:val="16"/>
          <w:szCs w:val="16"/>
          <w:color w:val="auto"/>
        </w:rPr>
        <w:t>Our ongoing clinical trials are being undertaken in the United States. We may choose to conduct additional clinical trials internationally. For example, we conducted a Phase 1a healthy volunteer trial of ORIC-101 in the United Kingdom. The acceptance of study data by the FDA, EMA or other comparable foreign regulatory authority from clinical trials conducted outside of their respective jurisdictions may be subject to certain conditions. In cases where data from United States clinical trials are intended to serve as the basis for marketing approval in the foreign countries outside the United States, the standards for clinical trials and approval may be different. There can be no assurance that any United States or foreign regulatory authority would accept data from trials conducted outside of its applicable jurisdiction. If the FDA, EMA or any applicable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w:t>
      </w:r>
    </w:p>
    <w:p>
      <w:pPr>
        <w:spacing w:after="0" w:line="55" w:lineRule="exact"/>
        <w:rPr>
          <w:sz w:val="20"/>
          <w:szCs w:val="20"/>
          <w:color w:val="auto"/>
        </w:rPr>
      </w:pPr>
    </w:p>
    <w:p>
      <w:pPr>
        <w:ind w:firstLine="749"/>
        <w:spacing w:after="0" w:line="287" w:lineRule="auto"/>
        <w:rPr>
          <w:sz w:val="20"/>
          <w:szCs w:val="20"/>
          <w:color w:val="auto"/>
        </w:rPr>
      </w:pPr>
      <w:r>
        <w:rPr>
          <w:rFonts w:ascii="Arial" w:cs="Arial" w:eastAsia="Arial" w:hAnsi="Arial"/>
          <w:sz w:val="17"/>
          <w:szCs w:val="17"/>
          <w:color w:val="auto"/>
        </w:rPr>
        <w:t>Brexit and uncertainty in the regulatory framework as well as future legislation in the UK, European Union, and other jurisdictions can lead to disruption in the execution of international multi-center clinical trials, the monitoring of adverse events through pharmacovigilance programs, the evaluation of the benefit-risk profiles of new medicinal products, and determination of marketing authorization across different jurisdictions. Uncertainty in the regulatory framework could also result in disruption to the supply and distribution as well as the import/export both of active pharmaceutical ingredients and finished product. Such a disruption could create supply difficulties for ongoing clinical trials. The cumulative effects of the disruption to the regulatory framework, uncertainty in future regulation, and changes to existing regulations may increase our development lead time to marketing authorization and commercialization of products in the European Union and/or the United Kingdom and increase our costs. We cannot predict the impact of such changes and future regulation on our business or the results of our operations.</w:t>
      </w:r>
    </w:p>
    <w:p>
      <w:pPr>
        <w:spacing w:after="0" w:line="74" w:lineRule="exact"/>
        <w:rPr>
          <w:sz w:val="20"/>
          <w:szCs w:val="20"/>
          <w:color w:val="auto"/>
        </w:rPr>
      </w:pPr>
    </w:p>
    <w:p>
      <w:pPr>
        <w:ind w:right="360"/>
        <w:spacing w:after="0" w:line="293" w:lineRule="auto"/>
        <w:rPr>
          <w:sz w:val="20"/>
          <w:szCs w:val="20"/>
          <w:color w:val="auto"/>
        </w:rPr>
      </w:pPr>
      <w:r>
        <w:rPr>
          <w:rFonts w:ascii="Arial" w:cs="Arial" w:eastAsia="Arial" w:hAnsi="Arial"/>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62" w:lineRule="exact"/>
        <w:rPr>
          <w:sz w:val="20"/>
          <w:szCs w:val="20"/>
          <w:color w:val="auto"/>
        </w:rPr>
      </w:pPr>
    </w:p>
    <w:p>
      <w:pPr>
        <w:ind w:firstLine="749"/>
        <w:spacing w:after="0" w:line="308" w:lineRule="auto"/>
        <w:rPr>
          <w:sz w:val="20"/>
          <w:szCs w:val="20"/>
          <w:color w:val="auto"/>
        </w:rPr>
      </w:pPr>
      <w:r>
        <w:rPr>
          <w:rFonts w:ascii="Arial" w:cs="Arial" w:eastAsia="Arial" w:hAnsi="Arial"/>
          <w:sz w:val="16"/>
          <w:szCs w:val="16"/>
          <w:color w:val="auto"/>
        </w:rPr>
        <w:t>Obtaining and maintaining regulatory approval of our product candidates in one jurisdiction does not guarantee that we will be able to obtain or maintain regulatory approval in any other jurisdiction. For example, even if the FDA or EMA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55" w:lineRule="exact"/>
        <w:rPr>
          <w:sz w:val="20"/>
          <w:szCs w:val="20"/>
          <w:color w:val="auto"/>
        </w:rPr>
      </w:pPr>
    </w:p>
    <w:p>
      <w:pPr>
        <w:ind w:right="300" w:firstLine="749"/>
        <w:spacing w:after="0" w:line="296" w:lineRule="auto"/>
        <w:rPr>
          <w:sz w:val="20"/>
          <w:szCs w:val="20"/>
          <w:color w:val="auto"/>
        </w:rPr>
      </w:pPr>
      <w:r>
        <w:rPr>
          <w:rFonts w:ascii="Arial" w:cs="Arial" w:eastAsia="Arial" w:hAnsi="Arial"/>
          <w:sz w:val="17"/>
          <w:szCs w:val="17"/>
          <w:color w:val="auto"/>
        </w:rPr>
        <w:t>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product candidates will be harmed.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2" w:name="page43"/>
    <w:bookmarkEnd w:id="42"/>
    <w:p>
      <w:pPr>
        <w:spacing w:after="0"/>
        <w:rPr>
          <w:sz w:val="20"/>
          <w:szCs w:val="20"/>
          <w:color w:val="auto"/>
        </w:rPr>
      </w:pPr>
      <w:r>
        <w:rPr>
          <w:rFonts w:ascii="Arial" w:cs="Arial" w:eastAsia="Arial" w:hAnsi="Arial"/>
          <w:sz w:val="15"/>
          <w:szCs w:val="15"/>
          <w:b w:val="1"/>
          <w:bCs w:val="1"/>
          <w:i w:val="1"/>
          <w:iCs w:val="1"/>
          <w:color w:val="auto"/>
        </w:rPr>
        <w:t>Even if our product candidates receive regulatory approval, they will be subject to significant post-marketing regulatory requirements and oversight.</w:t>
      </w:r>
    </w:p>
    <w:p>
      <w:pPr>
        <w:spacing w:after="0" w:line="165" w:lineRule="exact"/>
        <w:rPr>
          <w:sz w:val="20"/>
          <w:szCs w:val="20"/>
          <w:color w:val="auto"/>
        </w:rPr>
      </w:pPr>
    </w:p>
    <w:p>
      <w:pPr>
        <w:ind w:right="20" w:firstLine="749"/>
        <w:spacing w:after="0" w:line="303" w:lineRule="auto"/>
        <w:rPr>
          <w:sz w:val="20"/>
          <w:szCs w:val="20"/>
          <w:color w:val="auto"/>
        </w:rPr>
      </w:pPr>
      <w:r>
        <w:rPr>
          <w:rFonts w:ascii="Arial" w:cs="Arial" w:eastAsia="Arial" w:hAnsi="Arial"/>
          <w:sz w:val="16"/>
          <w:szCs w:val="16"/>
          <w:color w:val="auto"/>
        </w:rPr>
        <w:t>Any regulatory approvals that we may receive for our product candidates will require the submission of reports to regulatory authorities and on-going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and regulatory inspection. For example, the FDA may require a REMS in order to approve our product candidates, which could entail requirements for a medication guide, physician training and communication plans or additional elements to ensure safe use, such as restricted distribution methods, patient registries and other risk minimization tools.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on-going compliance with current good manufacturing practices (cGMPs) and good clinical practices (GCPs) for any clinical trials that we conduct post-approval. In addition, manufacturers of drug products and their facilities are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EMA and other comparable foreign regulatory requirements may subject our company to administrative or judicially imposed sanctions, including:</w:t>
      </w:r>
    </w:p>
    <w:p>
      <w:pPr>
        <w:spacing w:after="0" w:line="66"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delays in or the rejection of product approvals;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restrictions on our ability to conduct clinical trials, including full or partial clinical holds on ongoing or planned trials;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restrictions on the products, manufacturers or manufacturing process;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warning or untitled letters;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civil and criminal penalties;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injunctions;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suspension or withdrawal of regulatory approvals;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product seizures, detentions or import bans;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voluntary or mandatory product recalls and publicity requirements;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total or partial suspension of production; and</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imposition of restrictions on operations, including costly new manufacturing requirements.</w:t>
      </w:r>
    </w:p>
    <w:p>
      <w:pPr>
        <w:spacing w:after="0" w:line="131" w:lineRule="exact"/>
        <w:rPr>
          <w:sz w:val="20"/>
          <w:szCs w:val="20"/>
          <w:color w:val="auto"/>
        </w:rPr>
      </w:pPr>
    </w:p>
    <w:p>
      <w:pPr>
        <w:ind w:firstLine="749"/>
        <w:spacing w:after="0" w:line="275" w:lineRule="auto"/>
        <w:rPr>
          <w:sz w:val="20"/>
          <w:szCs w:val="20"/>
          <w:color w:val="auto"/>
        </w:rPr>
      </w:pPr>
      <w:r>
        <w:rPr>
          <w:rFonts w:ascii="Arial" w:cs="Arial" w:eastAsia="Arial" w:hAnsi="Arial"/>
          <w:sz w:val="18"/>
          <w:szCs w:val="18"/>
          <w:color w:val="auto"/>
        </w:rPr>
        <w:t>Moreover, the FDA strictly regulates the promotional claims that may be made about drug products. In particular, a product may not be promoted for uses that are not approved by the FDA as reflected in the product’s approved labeling. The FDA and other agencies actively enforce the laws and regulations prohibiting the promotion of off-label uses, and a company that is found to have improperly promoted off-label uses may be subject to significant civil, criminal and administrative penalties.</w:t>
      </w:r>
    </w:p>
    <w:p>
      <w:pPr>
        <w:spacing w:after="0" w:line="77" w:lineRule="exact"/>
        <w:rPr>
          <w:sz w:val="20"/>
          <w:szCs w:val="20"/>
          <w:color w:val="auto"/>
        </w:rPr>
      </w:pPr>
    </w:p>
    <w:p>
      <w:pPr>
        <w:ind w:right="560" w:firstLine="749"/>
        <w:spacing w:after="0" w:line="293" w:lineRule="auto"/>
        <w:rPr>
          <w:sz w:val="20"/>
          <w:szCs w:val="20"/>
          <w:color w:val="auto"/>
        </w:rPr>
      </w:pPr>
      <w:r>
        <w:rPr>
          <w:rFonts w:ascii="Arial" w:cs="Arial" w:eastAsia="Arial" w:hAnsi="Arial"/>
          <w:sz w:val="18"/>
          <w:szCs w:val="18"/>
          <w:color w:val="auto"/>
        </w:rPr>
        <w:t>The occurrence of any event or penalty described above may inhibit our ability to commercialize our product candidates, if approved, and generate revenue.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w:t>
      </w:r>
    </w:p>
    <w:p>
      <w:pPr>
        <w:spacing w:after="0" w:line="131" w:lineRule="exact"/>
        <w:rPr>
          <w:sz w:val="20"/>
          <w:szCs w:val="20"/>
          <w:color w:val="auto"/>
        </w:rPr>
      </w:pPr>
    </w:p>
    <w:p>
      <w:pPr>
        <w:ind w:right="40" w:firstLine="749"/>
        <w:spacing w:after="0" w:line="286" w:lineRule="auto"/>
        <w:rPr>
          <w:sz w:val="20"/>
          <w:szCs w:val="20"/>
          <w:color w:val="auto"/>
        </w:rPr>
      </w:pPr>
      <w:r>
        <w:rPr>
          <w:rFonts w:ascii="Arial" w:cs="Arial" w:eastAsia="Arial" w:hAnsi="Arial"/>
          <w:sz w:val="17"/>
          <w:szCs w:val="17"/>
          <w:color w:val="auto"/>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such as our product candidates, if approved. In particular, a product may not be promoted for uses that are not approved by the FDA or such other regulatory agencies as reflected in the product’s approved labeling. For example, if we receive marketing approval for ORIC-101 as a treatment for metastatic prostate cancer, physicians may nevertheless use our product for their patients in a manner that is inconsistent with the approved label.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3" w:name="page44"/>
    <w:bookmarkEnd w:id="43"/>
    <w:p>
      <w:pPr>
        <w:ind w:right="380"/>
        <w:spacing w:after="0" w:line="303" w:lineRule="auto"/>
        <w:rPr>
          <w:sz w:val="20"/>
          <w:szCs w:val="20"/>
          <w:color w:val="auto"/>
        </w:rPr>
      </w:pPr>
      <w:r>
        <w:rPr>
          <w:rFonts w:ascii="Arial" w:cs="Arial" w:eastAsia="Arial" w:hAnsi="Arial"/>
          <w:sz w:val="17"/>
          <w:szCs w:val="17"/>
          <w:b w:val="1"/>
          <w:bCs w:val="1"/>
          <w:i w:val="1"/>
          <w:iCs w:val="1"/>
          <w:color w:val="auto"/>
        </w:rPr>
        <w:t>If we are required by the FDA to obtain approval of a companion diagnostic test in connection with approval of any of our product candidates or a group of therapeutic products, and we do not obtain or we face delays in obtaining FDA approval of a diagnostic test, we will not be able to commercialize the product candidate and our ability to generate revenue will be materially impaired.</w:t>
      </w:r>
    </w:p>
    <w:p>
      <w:pPr>
        <w:spacing w:after="0" w:line="56" w:lineRule="exact"/>
        <w:rPr>
          <w:sz w:val="20"/>
          <w:szCs w:val="20"/>
          <w:color w:val="auto"/>
        </w:rPr>
      </w:pPr>
    </w:p>
    <w:p>
      <w:pPr>
        <w:ind w:right="40" w:firstLine="749"/>
        <w:spacing w:after="0" w:line="285" w:lineRule="auto"/>
        <w:rPr>
          <w:sz w:val="20"/>
          <w:szCs w:val="20"/>
          <w:color w:val="auto"/>
        </w:rPr>
      </w:pPr>
      <w:r>
        <w:rPr>
          <w:rFonts w:ascii="Arial" w:cs="Arial" w:eastAsia="Arial" w:hAnsi="Arial"/>
          <w:sz w:val="17"/>
          <w:szCs w:val="17"/>
          <w:color w:val="auto"/>
        </w:rPr>
        <w:t xml:space="preserve">To help inform which patients may be most suitable for treatment with ORIC-101, we have developed a proprietary IHC assay that measures GR protein expression levels as well as a proprietary GR gene activation signature that measures GR signaling activity, both of which are being utilized in our ongoing Phase 1b clinical studies and may be used for patient selection in future clinical studies. Additionally, in connection with development of our potential product candidates, we may develop or work with collaborators to develop or obtain access to companion diagnostic tests to identify patient subsets within a disease category who may derive selective and meaningful benefit from our programs. Such companion diagnostics would be used during our clinical trials as well as in connection with the commercialization of our product candidates. To be successful in developing and commercializing product candidates in combination with these companion diagnostics, we or our collaborators will need to address a number of scientific, technical, regulatory and logistical challenges. 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at the same time the product candidate is approved. To date, the FDA has required marketing approval of all companion diagnostic tests for cancer therapies. Various foreign regulatory authorities also regulate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companion diagnostics as medical devices and, under those regulatory frameworks, will likely require the conduct of clinical trials to demonstrate the safety and effectiveness of our current diagnostics and any future diagnostics we may develop, which we expect will require separate regulatory clearance or approval prior to commercialization.</w:t>
      </w:r>
    </w:p>
    <w:p>
      <w:pPr>
        <w:spacing w:after="0" w:line="71" w:lineRule="exact"/>
        <w:rPr>
          <w:sz w:val="20"/>
          <w:szCs w:val="20"/>
          <w:color w:val="auto"/>
        </w:rPr>
      </w:pPr>
    </w:p>
    <w:p>
      <w:pPr>
        <w:ind w:firstLine="749"/>
        <w:spacing w:after="0" w:line="301" w:lineRule="auto"/>
        <w:rPr>
          <w:sz w:val="20"/>
          <w:szCs w:val="20"/>
          <w:color w:val="auto"/>
        </w:rPr>
      </w:pPr>
      <w:r>
        <w:rPr>
          <w:rFonts w:ascii="Arial" w:cs="Arial" w:eastAsia="Arial" w:hAnsi="Arial"/>
          <w:sz w:val="16"/>
          <w:szCs w:val="16"/>
          <w:color w:val="auto"/>
        </w:rPr>
        <w:t>The approval of a companion diagnostic as part of the therapeutic product’s labeling limits the use of the therapeutic product to only those patients who express certain biomarkers or the specific genetic alteration that the companion diagnostic was developed to detect. If the FDA, EMA or a comparable regulatory authority requires approval of a companion diagnostic for any of our product candidates, whether before or concurrently with approval of the product candidate, we, and/or future collaborators, may encounter difficulties in developing and obtaining approval for these companion diagnostics. Any delay or failure by us or third-party collaborators to develop or obtain regulatory approval of a companion diagnostic could delay or prevent approval or continued marketing of our related product candidates. Further, in April 2020, the FDA issued new guidance on developing and labeling companion diagnostics for a specific group of oncology therapeutic products, including recommendations to support a broader labeling claim rather than individual therapeutic products. We will continue to evaluate the impact of this guidance on our companion diagnostic development and strategy. This guidance and future issuances from the FDA and other regulatory authorities may impact our development of a companion diagnostic for our product candidates and result in delays in regulatory approval. We may be required to conduct additional studies to support a broader claim. Also, to the extent other approved diagnostics are able to broaden their labeling claims to include our approved drug products, we may be forced to abandon our companion diagnostic development plans or we may not be able to compete effectively upon approval, which could adversely impact our ability to generate revenue from the sale of our approved products and our business operations. Additionally, we may rely on third parties for the design, development and manufacture of companion diagnostic tests for our product candidates that may require such tests. If we enter into such collaborative agreements, we will be dependent on the sustained cooperation and effort of our future collaborators in developing and obtaining approval for these companion diagnostics. It may be necessary to resolve issues such as selectivity/specificity, analytical validation, reproducibility, or clinical validation of companion diagnostics during the development and regulatory approval processes. Moreover, even if data from preclinical studies and early clinical trials appear to support development of a companion diagnostic for a product candidate, data generated in later clinical trials may fail to support the analytical and clinical validation of the companion diagnostic. We and our future collaborators may encounter difficulties in developing, obtaining regulatory approval for, manufacturing and commercializing companion diagnostics similar to those we face with respect to our product candidates themselves, including issues with achieving regulatory clearance or approval, production of sufficient quantities at commercial scale and with appropriate quality standards, and in gaining market acceptance. If we are unable to successfully develop companion diagnostics for our product candidates, or experience delays in doing so, the development of our product candidates may be adversely affected, our product candidates may not obtain marketing approval, and we may not realize the full commercial potential of any of our product candidates that obtain marketing approval. As a result, our business, results of operations and financial condition could be materially harmed. In addition, a diagnostic company with whom we contract may decide to discontinue selling or manufacturing the companion diagnostic test that we anticipate using in connection with development and commercialization of product candidates or our relationship with such diagnostic company may otherwise terminate. We may not be able to enter into arrangements with another diagnostic company to obtain supplies of an alternative diagnostic test for use in connection with the development and commercialization of our product candidates or do so on commercially reasonable terms, which could adversely affect and/or delay the development or commercialization of our product candidates.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4" w:name="page45"/>
    <w:bookmarkEnd w:id="44"/>
    <w:p>
      <w:pPr>
        <w:ind w:right="200"/>
        <w:spacing w:after="0" w:line="359" w:lineRule="auto"/>
        <w:rPr>
          <w:sz w:val="20"/>
          <w:szCs w:val="20"/>
          <w:color w:val="auto"/>
        </w:rPr>
      </w:pPr>
      <w:r>
        <w:rPr>
          <w:rFonts w:ascii="Arial" w:cs="Arial" w:eastAsia="Arial" w:hAnsi="Arial"/>
          <w:sz w:val="16"/>
          <w:szCs w:val="16"/>
          <w:b w:val="1"/>
          <w:bCs w:val="1"/>
          <w:i w:val="1"/>
          <w:iCs w:val="1"/>
          <w:color w:val="auto"/>
        </w:rPr>
        <w:t>We may seek Fast Track designation from the FDA for one or more of our product candidates. Even if one or more of our product candidates receive Fast Track designation, we may be unable to obtain or maintain the benefits associated with the Fast Track designation.</w:t>
      </w:r>
    </w:p>
    <w:p>
      <w:pPr>
        <w:spacing w:after="0" w:line="17" w:lineRule="exact"/>
        <w:rPr>
          <w:sz w:val="20"/>
          <w:szCs w:val="20"/>
          <w:color w:val="auto"/>
        </w:rPr>
      </w:pPr>
    </w:p>
    <w:p>
      <w:pPr>
        <w:ind w:firstLine="749"/>
        <w:spacing w:after="0" w:line="288" w:lineRule="auto"/>
        <w:rPr>
          <w:sz w:val="20"/>
          <w:szCs w:val="20"/>
          <w:color w:val="auto"/>
        </w:rPr>
      </w:pPr>
      <w:r>
        <w:rPr>
          <w:rFonts w:ascii="Arial" w:cs="Arial" w:eastAsia="Arial" w:hAnsi="Arial"/>
          <w:sz w:val="17"/>
          <w:szCs w:val="17"/>
          <w:color w:val="auto"/>
        </w:rPr>
        <w:t>Fast Track designation is designed to facilitate the development and expedite the review of therapies for serious conditions and fill an unmet medical need. Programs with Fast Track designation may benefit from early and frequent communications with the FDA, potential priority review and the ability to submit a rolling application for regulatory review. Fast Track designation applies to both the product candidate and the specific indication for which it is being studied. If any of our product candidates receive Fast Track designation but do not continue to meet the criteria for Fast Track designation, or if our clinical trials are delayed, suspended or terminated, or put on clinical hold due to unexpected adverse events or issues with clinical supply, we will not receive the benefits associated with the Fast Track program. Furthermore, Fast Track designation does not change the standards for approval. Fast Track designation alone does not guarantee qualification for the FDA’s priority review procedures.</w:t>
      </w:r>
    </w:p>
    <w:p>
      <w:pPr>
        <w:spacing w:after="0" w:line="59" w:lineRule="exact"/>
        <w:rPr>
          <w:sz w:val="20"/>
          <w:szCs w:val="20"/>
          <w:color w:val="auto"/>
        </w:rPr>
      </w:pPr>
    </w:p>
    <w:p>
      <w:pPr>
        <w:ind w:right="320"/>
        <w:spacing w:after="0" w:line="324" w:lineRule="auto"/>
        <w:rPr>
          <w:sz w:val="20"/>
          <w:szCs w:val="20"/>
          <w:color w:val="auto"/>
        </w:rPr>
      </w:pPr>
      <w:r>
        <w:rPr>
          <w:rFonts w:ascii="Arial" w:cs="Arial" w:eastAsia="Arial" w:hAnsi="Arial"/>
          <w:sz w:val="16"/>
          <w:szCs w:val="16"/>
          <w:b w:val="1"/>
          <w:bCs w:val="1"/>
          <w:i w:val="1"/>
          <w:iCs w:val="1"/>
          <w:color w:val="auto"/>
        </w:rPr>
        <w:t>We may not be able to obtain orphan drug designation or obtain or maintain orphan drug exclusivity for our product candidates and, even if we do, that exclusivity may not prevent the FDA, EMA or other comparable foreign regulatory authorities, from approving competing products.</w:t>
      </w:r>
    </w:p>
    <w:p>
      <w:pPr>
        <w:spacing w:after="0" w:line="30" w:lineRule="exact"/>
        <w:rPr>
          <w:sz w:val="20"/>
          <w:szCs w:val="20"/>
          <w:color w:val="auto"/>
        </w:rPr>
      </w:pPr>
    </w:p>
    <w:p>
      <w:pPr>
        <w:ind w:right="20" w:firstLine="749"/>
        <w:spacing w:after="0" w:line="290" w:lineRule="auto"/>
        <w:rPr>
          <w:sz w:val="20"/>
          <w:szCs w:val="20"/>
          <w:color w:val="auto"/>
        </w:rPr>
      </w:pPr>
      <w:r>
        <w:rPr>
          <w:rFonts w:ascii="Arial" w:cs="Arial" w:eastAsia="Arial" w:hAnsi="Arial"/>
          <w:sz w:val="17"/>
          <w:szCs w:val="17"/>
          <w:color w:val="auto"/>
        </w:rPr>
        <w:t>Regulatory authorities in some jurisdictions, including the United States and the European Union,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Our target indications may include diseases with large patient populations or may include orphan indications. However, there can be no assurances that we will be able to obtain orphan designations for our product candidates.</w:t>
      </w:r>
    </w:p>
    <w:p>
      <w:pPr>
        <w:spacing w:after="0" w:line="68" w:lineRule="exact"/>
        <w:rPr>
          <w:sz w:val="20"/>
          <w:szCs w:val="20"/>
          <w:color w:val="auto"/>
        </w:rPr>
      </w:pPr>
    </w:p>
    <w:p>
      <w:pPr>
        <w:ind w:right="120" w:firstLine="749"/>
        <w:spacing w:after="0" w:line="311" w:lineRule="auto"/>
        <w:rPr>
          <w:sz w:val="20"/>
          <w:szCs w:val="20"/>
          <w:color w:val="auto"/>
        </w:rPr>
      </w:pPr>
      <w:r>
        <w:rPr>
          <w:rFonts w:ascii="Arial" w:cs="Arial" w:eastAsia="Arial" w:hAnsi="Arial"/>
          <w:sz w:val="16"/>
          <w:szCs w:val="16"/>
          <w:color w:val="auto"/>
        </w:rPr>
        <w:t>In the United States,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for which it has such designation, the product is entitled to orphan drug exclusivity. Orphan drug exclusivity in the United States provides that the FDA may not approve any other applications, including a full NDA, to market the same drug for the same indication for seven years, except in limited circumstances. The applicable exclusivity period is 10 years in Europe. The European exclusivity period can be reduced to six years if a drug no longer meets the criteria for orphan drug designation or if the drug is sufficiently profitable so that market exclusivity is no longer justified.</w:t>
      </w:r>
    </w:p>
    <w:p>
      <w:pPr>
        <w:spacing w:after="0" w:line="55" w:lineRule="exact"/>
        <w:rPr>
          <w:sz w:val="20"/>
          <w:szCs w:val="20"/>
          <w:color w:val="auto"/>
        </w:rPr>
      </w:pPr>
    </w:p>
    <w:p>
      <w:pPr>
        <w:ind w:firstLine="749"/>
        <w:spacing w:after="0" w:line="285" w:lineRule="auto"/>
        <w:rPr>
          <w:sz w:val="20"/>
          <w:szCs w:val="20"/>
          <w:color w:val="auto"/>
        </w:rPr>
      </w:pPr>
      <w:r>
        <w:rPr>
          <w:rFonts w:ascii="Arial" w:cs="Arial" w:eastAsia="Arial" w:hAnsi="Arial"/>
          <w:sz w:val="17"/>
          <w:szCs w:val="17"/>
          <w:color w:val="auto"/>
        </w:rPr>
        <w:t>Even if we obtain orphan drug designation for a product candidate, we may not be able to obtain or maintain orphan drug exclusivity for that product candidate. We may not be the first to obtain marketing approval of any product candidate for which we have obtained orphan drug designation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we are unable to ensure that we will be able to manufacture sufficient quantities of the product to meet the needs of patients with the rare disease or condition. Further, even if we obtain orphan drug exclusivity for a product, that exclusivity may not effectively protect the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 drug nor gives the product candidate any advantage in the regulatory review or approval process or entitles the product candidate to priority review.</w:t>
      </w:r>
    </w:p>
    <w:p>
      <w:pPr>
        <w:spacing w:after="0" w:line="77" w:lineRule="exact"/>
        <w:rPr>
          <w:sz w:val="20"/>
          <w:szCs w:val="20"/>
          <w:color w:val="auto"/>
        </w:rPr>
      </w:pPr>
    </w:p>
    <w:p>
      <w:pPr>
        <w:ind w:right="100"/>
        <w:spacing w:after="0" w:line="292" w:lineRule="auto"/>
        <w:rPr>
          <w:sz w:val="20"/>
          <w:szCs w:val="20"/>
          <w:color w:val="auto"/>
        </w:rPr>
      </w:pPr>
      <w:r>
        <w:rPr>
          <w:rFonts w:ascii="Arial" w:cs="Arial" w:eastAsia="Arial" w:hAnsi="Arial"/>
          <w:sz w:val="17"/>
          <w:szCs w:val="17"/>
          <w:b w:val="1"/>
          <w:bCs w:val="1"/>
          <w:i w:val="1"/>
          <w:iCs w:val="1"/>
          <w:color w:val="auto"/>
        </w:rPr>
        <w:t>Where appropriate, we plan to secure approval from the FDA or comparable foreign regulatory authorities through the use of accelerated registration pathways. If we are unable to obtain such approval, we may be required to conduct additional preclinical studies or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p>
    <w:p>
      <w:pPr>
        <w:spacing w:after="0" w:line="66" w:lineRule="exact"/>
        <w:rPr>
          <w:sz w:val="20"/>
          <w:szCs w:val="20"/>
          <w:color w:val="auto"/>
        </w:rPr>
      </w:pPr>
    </w:p>
    <w:p>
      <w:pPr>
        <w:ind w:right="100" w:firstLine="749"/>
        <w:spacing w:after="0" w:line="309" w:lineRule="auto"/>
        <w:rPr>
          <w:sz w:val="20"/>
          <w:szCs w:val="20"/>
          <w:color w:val="auto"/>
        </w:rPr>
      </w:pPr>
      <w:r>
        <w:rPr>
          <w:rFonts w:ascii="Arial" w:cs="Arial" w:eastAsia="Arial" w:hAnsi="Arial"/>
          <w:sz w:val="16"/>
          <w:szCs w:val="16"/>
          <w:color w:val="auto"/>
        </w:rPr>
        <w:t>Where possible, we plan to pursue accelerated development strategies in areas of high unmet need. We may seek an accelerated approval pathway for our one or more of our product candidates. Under the accelerated approval provisions in the Federal Food, Drug, and Cosmetic Act, and the FDA’s implementing regulations,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5" w:name="page46"/>
    <w:bookmarkEnd w:id="45"/>
    <w:p>
      <w:pPr>
        <w:ind w:right="80"/>
        <w:spacing w:after="0" w:line="311" w:lineRule="auto"/>
        <w:rPr>
          <w:sz w:val="20"/>
          <w:szCs w:val="20"/>
          <w:color w:val="auto"/>
        </w:rPr>
      </w:pPr>
      <w:r>
        <w:rPr>
          <w:rFonts w:ascii="Arial" w:cs="Arial" w:eastAsia="Arial" w:hAnsi="Arial"/>
          <w:sz w:val="16"/>
          <w:szCs w:val="16"/>
          <w:color w:val="auto"/>
        </w:rPr>
        <w:t>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such post-approval studies fail to confirm the drug’s clinical benefit, the FDA may withdraw its approval of the drug.</w:t>
      </w:r>
    </w:p>
    <w:p>
      <w:pPr>
        <w:spacing w:after="0" w:line="55" w:lineRule="exact"/>
        <w:rPr>
          <w:sz w:val="20"/>
          <w:szCs w:val="20"/>
          <w:color w:val="auto"/>
        </w:rPr>
      </w:pPr>
    </w:p>
    <w:p>
      <w:pPr>
        <w:ind w:right="40" w:firstLine="749"/>
        <w:spacing w:after="0" w:line="306" w:lineRule="auto"/>
        <w:rPr>
          <w:sz w:val="20"/>
          <w:szCs w:val="20"/>
          <w:color w:val="auto"/>
        </w:rPr>
      </w:pPr>
      <w:r>
        <w:rPr>
          <w:rFonts w:ascii="Arial" w:cs="Arial" w:eastAsia="Arial" w:hAnsi="Arial"/>
          <w:sz w:val="16"/>
          <w:szCs w:val="16"/>
          <w:color w:val="auto"/>
        </w:rPr>
        <w:t>Prior to seeking such accelerated approval, we will seek feedback from the FDA and will otherwise evaluate our ability to seek and receive such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under another expedited regulatory designation (e.g., breakthrough therapy designation),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could increase the cost of development of such product candidate and could harm our competitive position in the marketplace.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difficulties from changes to current regulations and future legislation.</w:t>
      </w:r>
    </w:p>
    <w:p>
      <w:pPr>
        <w:spacing w:after="0" w:line="131" w:lineRule="exact"/>
        <w:rPr>
          <w:sz w:val="20"/>
          <w:szCs w:val="20"/>
          <w:color w:val="auto"/>
        </w:rPr>
      </w:pPr>
    </w:p>
    <w:p>
      <w:pPr>
        <w:ind w:right="120" w:firstLine="749"/>
        <w:spacing w:after="0" w:line="272" w:lineRule="auto"/>
        <w:rPr>
          <w:sz w:val="20"/>
          <w:szCs w:val="20"/>
          <w:color w:val="auto"/>
        </w:rPr>
      </w:pPr>
      <w:r>
        <w:rPr>
          <w:rFonts w:ascii="Arial" w:cs="Arial" w:eastAsia="Arial" w:hAnsi="Arial"/>
          <w:sz w:val="18"/>
          <w:szCs w:val="18"/>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83" w:lineRule="exact"/>
        <w:rPr>
          <w:sz w:val="20"/>
          <w:szCs w:val="20"/>
          <w:color w:val="auto"/>
        </w:rPr>
      </w:pPr>
    </w:p>
    <w:p>
      <w:pPr>
        <w:ind w:right="80" w:firstLine="749"/>
        <w:spacing w:after="0" w:line="287" w:lineRule="auto"/>
        <w:rPr>
          <w:sz w:val="20"/>
          <w:szCs w:val="20"/>
          <w:color w:val="auto"/>
        </w:rPr>
      </w:pPr>
      <w:r>
        <w:rPr>
          <w:rFonts w:ascii="Arial" w:cs="Arial" w:eastAsia="Arial" w:hAnsi="Arial"/>
          <w:sz w:val="17"/>
          <w:szCs w:val="17"/>
          <w:color w:val="auto"/>
        </w:rPr>
        <w:t>For example, in March 2010, the Patient Protection and Affordable Care Act of 2010, as amended by the Health Care and Education Reconciliation Act of 2010 (collectively, the ACA), was passed, which substantially changed the way healthcare is financed by both the government and private insurers, and continues to significantly impact the U.S. pharmaceutical industry. Since its enactment, there have been legislative and judicial efforts to repeal, replace, or change some or all of the ACA. For example, various portions of the ACA have been subject to legal and constitutional challenges in the Fifth Circuit Court and the United States Supreme Court. In June 2021, the United States Supreme Court held that Texas and other challengers had no legal standing to challenge the ACA, dismissing the case without specifically ruling on the constitutionality of the ACA. It is unclear how this Supreme Court decision, future litigation, and healthcare measures promulgated by the Biden administration will impact the implementation of the ACA, our business, financial condition and results of operations. Complying with any new legislation or reversing changes implemented under the ACA could be time-intensive and expensive, resulting in a material adverse effect on our business.</w:t>
      </w:r>
    </w:p>
    <w:p>
      <w:pPr>
        <w:spacing w:after="0" w:line="70" w:lineRule="exact"/>
        <w:rPr>
          <w:sz w:val="20"/>
          <w:szCs w:val="20"/>
          <w:color w:val="auto"/>
        </w:rPr>
      </w:pPr>
    </w:p>
    <w:p>
      <w:pPr>
        <w:ind w:firstLine="749"/>
        <w:spacing w:after="0" w:line="288"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ACA was enacted. These changes included aggregate reductions to Medicare payments to providers of up to 2% per fiscal year, effective April 1, 2013, which will stay in effect through 2030, with the exception of a temporary suspension implemented under various COVID-19 relief legislation from May 1, 2020 through the end of 2021, unless additional congressional action is taken.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drugs, if approved, and accordingly, our financial operations.</w:t>
      </w:r>
    </w:p>
    <w:p>
      <w:pPr>
        <w:spacing w:after="0" w:line="73" w:lineRule="exact"/>
        <w:rPr>
          <w:sz w:val="20"/>
          <w:szCs w:val="20"/>
          <w:color w:val="auto"/>
        </w:rPr>
      </w:pPr>
    </w:p>
    <w:p>
      <w:pPr>
        <w:ind w:right="40" w:firstLine="749"/>
        <w:spacing w:after="0" w:line="285" w:lineRule="auto"/>
        <w:rPr>
          <w:sz w:val="20"/>
          <w:szCs w:val="20"/>
          <w:color w:val="auto"/>
        </w:rPr>
      </w:pPr>
      <w:r>
        <w:rPr>
          <w:rFonts w:ascii="Arial" w:cs="Arial" w:eastAsia="Arial" w:hAnsi="Arial"/>
          <w:sz w:val="17"/>
          <w:szCs w:val="17"/>
          <w:color w:val="auto"/>
        </w:rPr>
        <w:t>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HHS and CMS issued final rules in November and December of 2020 that were expected to impact, among others, price reductions from pharmaceutical manufacturers to plan sponsors under Part D, fee arrangements between pharmacy benefit managers and manufacturers, manufacturer price reporting requirements under the Medicaid Drug Rebate Program, including regulations that affect manufacturer-sponsored patient assistance programs subject to pharmacy benefit manager accumulator programs and Best Price reporting related to certain value-based purchasing arrangements. Multiple lawsuits have been brought against the HHS challenging various aspects of the rules. The Biden administration has also implemented a regulatory rule freeze for all federal agency rules that had not gone into effect as of January 20, 2021. Under the American Rescue Plan Act of 2021, effective January 1, 2024, the statutory cap on Medicaid Drug Rebate Program rebates that manufacturers pay to state Medicaid programs will be eliminated. Elimination of this cap may require pharmaceutical manufacturers to pay more in rebates than it receives on the sale of products, which could have a</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6" w:name="page47"/>
    <w:bookmarkEnd w:id="46"/>
    <w:p>
      <w:pPr>
        <w:ind w:right="40"/>
        <w:spacing w:after="0" w:line="287" w:lineRule="auto"/>
        <w:rPr>
          <w:sz w:val="20"/>
          <w:szCs w:val="20"/>
          <w:color w:val="auto"/>
        </w:rPr>
      </w:pPr>
      <w:r>
        <w:rPr>
          <w:rFonts w:ascii="Arial" w:cs="Arial" w:eastAsia="Arial" w:hAnsi="Arial"/>
          <w:sz w:val="17"/>
          <w:szCs w:val="17"/>
          <w:color w:val="auto"/>
        </w:rPr>
        <w:t>material impact on our business. Further, in July 2021, the Biden administration released an executive order, “Promoting Competition in the American Economy,” with multiple provisions aimed at increasing competition for prescription drugs. In response to this executive order, the HHS released a Comprehensive Plan for Addressing High Drug Prices that outlines principles for drug pricing reform and potential legislative policies that Congress could pursue to advance these principles. In addition, Congress is considering legislation that, if passed, could have significant impact on prices of prescription drugs covered by Medicare, including limitations on drug price increases. The impact of these legislative, executive, and administrative actions and any future healthcare measures and agency rules implemented by the Biden administration on us and the pharmaceutical industry as a whole is unclear. The implementation of cost containment measures or other healthcare reforms may prevent us from being able to generate revenue, attain profitability, or commercialize our product candidates if approved. Complying with any new legislation and regulatory changes could be time-intensive and expensive, resulting in a material adverse effect on our business, and expose us to greater liability.</w:t>
      </w:r>
    </w:p>
    <w:p>
      <w:pPr>
        <w:spacing w:after="0" w:line="70" w:lineRule="exact"/>
        <w:rPr>
          <w:sz w:val="20"/>
          <w:szCs w:val="20"/>
          <w:color w:val="auto"/>
        </w:rPr>
      </w:pPr>
    </w:p>
    <w:p>
      <w:pPr>
        <w:ind w:right="20" w:firstLine="749"/>
        <w:spacing w:after="0" w:line="308" w:lineRule="auto"/>
        <w:rPr>
          <w:sz w:val="20"/>
          <w:szCs w:val="20"/>
          <w:color w:val="auto"/>
        </w:rPr>
      </w:pPr>
      <w:r>
        <w:rPr>
          <w:rFonts w:ascii="Arial" w:cs="Arial" w:eastAsia="Arial" w:hAnsi="Arial"/>
          <w:sz w:val="16"/>
          <w:szCs w:val="16"/>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products. We are unable to predict the future course of federal or state healthcare legislation in the United States directed at broadening the availability of healthcare and containing or lowering the cost of healthcare. These and any further changes in the law or regulatory framework that reduce our revenue or increase our costs could also have a material and adverse effect on our business, financial condition and results of operations.</w:t>
      </w:r>
    </w:p>
    <w:p>
      <w:pPr>
        <w:spacing w:after="0" w:line="55" w:lineRule="exact"/>
        <w:rPr>
          <w:sz w:val="20"/>
          <w:szCs w:val="20"/>
          <w:color w:val="auto"/>
        </w:rPr>
      </w:pPr>
    </w:p>
    <w:p>
      <w:pPr>
        <w:ind w:right="40" w:firstLine="749"/>
        <w:spacing w:after="0" w:line="292" w:lineRule="auto"/>
        <w:rPr>
          <w:sz w:val="20"/>
          <w:szCs w:val="20"/>
          <w:color w:val="auto"/>
        </w:rPr>
      </w:pPr>
      <w:r>
        <w:rPr>
          <w:rFonts w:ascii="Arial" w:cs="Arial" w:eastAsia="Arial" w:hAnsi="Arial"/>
          <w:sz w:val="17"/>
          <w:szCs w:val="17"/>
          <w:color w:val="auto"/>
        </w:rPr>
        <w:t>Further, on May 30, 2018, the Trickett Wendler, Frank Mongiello, Jordan McLinn, and Matthew Bellina Right to Try Act of 2017 (Right to Try Act), was signed into law. The law, among other things, provides a federal framework for certain patients to access certain investigational new product candidates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products available to eligible patients as a result of the Right to Try Act.</w:t>
      </w:r>
    </w:p>
    <w:p>
      <w:pPr>
        <w:spacing w:after="0" w:line="66" w:lineRule="exact"/>
        <w:rPr>
          <w:sz w:val="20"/>
          <w:szCs w:val="20"/>
          <w:color w:val="auto"/>
        </w:rPr>
      </w:pPr>
    </w:p>
    <w:p>
      <w:pPr>
        <w:ind w:right="60" w:firstLine="749"/>
        <w:spacing w:after="0" w:line="292" w:lineRule="auto"/>
        <w:rPr>
          <w:sz w:val="20"/>
          <w:szCs w:val="20"/>
          <w:color w:val="auto"/>
        </w:rPr>
      </w:pPr>
      <w:r>
        <w:rPr>
          <w:rFonts w:ascii="Arial" w:cs="Arial" w:eastAsia="Arial" w:hAnsi="Arial"/>
          <w:sz w:val="17"/>
          <w:szCs w:val="17"/>
          <w:color w:val="auto"/>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It is also possible that additional governmental action is taken to address the COVID-19 pandemic.</w:t>
      </w:r>
    </w:p>
    <w:p>
      <w:pPr>
        <w:spacing w:after="0" w:line="53" w:lineRule="exact"/>
        <w:rPr>
          <w:sz w:val="20"/>
          <w:szCs w:val="20"/>
          <w:color w:val="auto"/>
        </w:rPr>
      </w:pPr>
    </w:p>
    <w:p>
      <w:pPr>
        <w:ind w:right="40" w:firstLine="749"/>
        <w:spacing w:after="0" w:line="241"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95" w:lineRule="exact"/>
        <w:rPr>
          <w:sz w:val="20"/>
          <w:szCs w:val="20"/>
          <w:color w:val="auto"/>
        </w:rPr>
      </w:pPr>
    </w:p>
    <w:p>
      <w:pPr>
        <w:ind w:firstLine="749"/>
        <w:spacing w:after="0" w:line="305" w:lineRule="auto"/>
        <w:rPr>
          <w:sz w:val="20"/>
          <w:szCs w:val="20"/>
          <w:color w:val="auto"/>
        </w:rPr>
      </w:pPr>
      <w:r>
        <w:rPr>
          <w:rFonts w:ascii="Arial" w:cs="Arial" w:eastAsia="Arial" w:hAnsi="Arial"/>
          <w:sz w:val="16"/>
          <w:szCs w:val="16"/>
          <w:color w:val="auto"/>
        </w:rPr>
        <w:t>Additionally, the collection and use of health data in the European Union is governed by the General Data Protection Regulation (GDPR), which extends the geographical scope of European Union data protection law to non-European Union entities under certain conditions and imposes substantial obligations upon companies and new rights for individuals. Failure to comply with the GDPR and the applicable national data protection laws of the EU Member States may result in fines up to €20,000,000 or up to 4% of the total worldwide annual turnover of the preceding financial year, whichever is higher, and other administrative penalties. The GDPR may increase our responsibility and liability in relation to personal data that we may process, and we may be required to put in place additional mechanisms in an effort to comply with the GDPR. This may be onerous and if our efforts to comply with GDPR or other applicable European Union laws and regulations are not successful, it could adversely affect our business in the European Union. Further, the European Court of Justice (ECJ) recently invalidated the EU-U.S. Privacy Shield, which had enabled the transfer of personal data from the EU to the U.S. for companies that had self-certified to the Privacy Shield. To the extent that we were to rely on Privacy Shield, we will not be able to do so in the future, and the ECJ’s decision otherwise may impose additional obligations with respect to the transfer of personal data from the EU to the U.S., each of which could increase our costs and obligations and impose limitations upon our ability to efficiently transfer personal data from the EU to the U.S.</w:t>
      </w:r>
    </w:p>
    <w:p>
      <w:pPr>
        <w:spacing w:after="0" w:line="61" w:lineRule="exact"/>
        <w:rPr>
          <w:sz w:val="20"/>
          <w:szCs w:val="20"/>
          <w:color w:val="auto"/>
        </w:rPr>
      </w:pPr>
    </w:p>
    <w:p>
      <w:pPr>
        <w:ind w:right="60" w:firstLine="749"/>
        <w:spacing w:after="0" w:line="311" w:lineRule="auto"/>
        <w:rPr>
          <w:sz w:val="20"/>
          <w:szCs w:val="20"/>
          <w:color w:val="auto"/>
        </w:rPr>
      </w:pPr>
      <w:r>
        <w:rPr>
          <w:rFonts w:ascii="Arial" w:cs="Arial" w:eastAsia="Arial" w:hAnsi="Arial"/>
          <w:sz w:val="16"/>
          <w:szCs w:val="16"/>
          <w:color w:val="auto"/>
        </w:rPr>
        <w:t>Further, the decision of the United Kingdom (UK) to leave the EU, often referred to as Brexit, has created uncertainty regarding data protection regulation in the UK. In particular, while the UK has implemented legislation that implements and complements the GDPR, with penalties for noncompliance of up to the greater of £17.5 million or four percent of worldwide revenues, aspects of data protection regulation in the UK, including with respect to cross-border data transfers, remain unclear in the medium to longer term following Brexit. The UK’s relationship with the EU may, for example, require us to implement additional safeguards relating to transfers of personal data from the EU to the UK, which may require us to incur significant costs and expenses in an effort to do so. More generally, we may incur liabilities, expenses, costs, and other operational losses under GDPR and the</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47" w:name="page48"/>
    <w:bookmarkEnd w:id="47"/>
    <w:p>
      <w:pPr>
        <w:spacing w:after="0"/>
        <w:rPr>
          <w:sz w:val="20"/>
          <w:szCs w:val="20"/>
          <w:color w:val="auto"/>
        </w:rPr>
      </w:pPr>
      <w:r>
        <w:rPr>
          <w:rFonts w:ascii="Arial" w:cs="Arial" w:eastAsia="Arial" w:hAnsi="Arial"/>
          <w:sz w:val="16"/>
          <w:szCs w:val="16"/>
          <w:color w:val="auto"/>
        </w:rPr>
        <w:t>privacy and data protection laws of applicable EU member states and the United Kingdom in connection with any measures we take to comply with them.</w:t>
      </w:r>
    </w:p>
    <w:p>
      <w:pPr>
        <w:spacing w:after="0" w:line="154" w:lineRule="exact"/>
        <w:rPr>
          <w:sz w:val="20"/>
          <w:szCs w:val="20"/>
          <w:color w:val="auto"/>
        </w:rPr>
      </w:pPr>
    </w:p>
    <w:p>
      <w:pPr>
        <w:ind w:right="20" w:firstLine="749"/>
        <w:spacing w:after="0" w:line="305" w:lineRule="auto"/>
        <w:rPr>
          <w:sz w:val="20"/>
          <w:szCs w:val="20"/>
          <w:color w:val="auto"/>
        </w:rPr>
      </w:pPr>
      <w:r>
        <w:rPr>
          <w:rFonts w:ascii="Arial" w:cs="Arial" w:eastAsia="Arial" w:hAnsi="Arial"/>
          <w:sz w:val="16"/>
          <w:szCs w:val="16"/>
          <w:color w:val="auto"/>
        </w:rPr>
        <w:t>Finally, state and foreign laws may apply generally to the privacy and security of information we maintain, and may differ from each other in significant ways, thus complicating compliance efforts. For example, the California Consumer Privacy Act of 2018 (CCPA), which took effect on January 1, 2020, gives California residents expanded rights to access and require deletion of their personal information, opt out of certain personal information sharing, and receive detailed information about how their personal information is used. In addition, the CCPA (a) allows enforcement by the California Attorney General, with fines set at $2,500 per violation (i.e., per person) or $7,500 per intentional violation and (b) authorizes private lawsuits to recover statutory damages for certain data breaches. While it exempts some data regulated by the Health Insurance Portability and Accountability Act of 1996 (HIPAA) and certain clinical trials data, the CCPA, to the extent applicable to our business and operations, may increase our compliance costs and potential liability with respect to other personal information we collect about California residents. Some observers note that the CCPA could mark the beginning of a trend toward more stringent privacy legislation in the U.S., which could increase our potential liability and adversely affect our business. Additionally, a new privacy law, the California Privacy Rights Act (CPRA), was approved by California voters in November 2020. The CPRA significantly modified the CCPA, which may require us to modify our practices and policies and may further increase our compliance costs and potential liability.</w:t>
      </w:r>
    </w:p>
    <w:p>
      <w:pPr>
        <w:spacing w:after="0" w:line="61" w:lineRule="exact"/>
        <w:rPr>
          <w:sz w:val="20"/>
          <w:szCs w:val="20"/>
          <w:color w:val="auto"/>
        </w:rPr>
      </w:pPr>
    </w:p>
    <w:p>
      <w:pPr>
        <w:ind w:right="300"/>
        <w:spacing w:after="0" w:line="359" w:lineRule="auto"/>
        <w:rPr>
          <w:sz w:val="20"/>
          <w:szCs w:val="20"/>
          <w:color w:val="auto"/>
        </w:rPr>
      </w:pPr>
      <w:r>
        <w:rPr>
          <w:rFonts w:ascii="Arial" w:cs="Arial" w:eastAsia="Arial" w:hAnsi="Arial"/>
          <w:sz w:val="15"/>
          <w:szCs w:val="15"/>
          <w:b w:val="1"/>
          <w:bCs w:val="1"/>
          <w:i w:val="1"/>
          <w:iCs w:val="1"/>
          <w:color w:val="auto"/>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22" w:lineRule="exact"/>
        <w:rPr>
          <w:sz w:val="20"/>
          <w:szCs w:val="20"/>
          <w:color w:val="auto"/>
        </w:rPr>
      </w:pPr>
    </w:p>
    <w:p>
      <w:pPr>
        <w:ind w:right="180" w:firstLine="749"/>
        <w:spacing w:after="0" w:line="272"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Securities and Exchange Commission (SEC) and other government agencies on which our operations may rely, including those that fund research and development activities is subject to the political process, which is inherently fluid and unpredictable.</w:t>
      </w:r>
    </w:p>
    <w:p>
      <w:pPr>
        <w:spacing w:after="0" w:line="83" w:lineRule="exact"/>
        <w:rPr>
          <w:sz w:val="20"/>
          <w:szCs w:val="20"/>
          <w:color w:val="auto"/>
        </w:rPr>
      </w:pPr>
    </w:p>
    <w:p>
      <w:pPr>
        <w:ind w:right="40" w:firstLine="749"/>
        <w:spacing w:after="0" w:line="304" w:lineRule="auto"/>
        <w:rPr>
          <w:sz w:val="20"/>
          <w:szCs w:val="20"/>
          <w:color w:val="auto"/>
        </w:rPr>
      </w:pPr>
      <w:r>
        <w:rPr>
          <w:rFonts w:ascii="Arial" w:cs="Arial" w:eastAsia="Arial" w:hAnsi="Arial"/>
          <w:sz w:val="16"/>
          <w:szCs w:val="16"/>
          <w:color w:val="auto"/>
        </w:rPr>
        <w:t>Disruptions at the FDA and other agencies may also slow the time necessary for new drugs to be reviewed and/or approved by necessary government agencies, which would adversely affect our business. For example, in recent years, including in 2018 and 2019, the U.S. government shut down several times and certain regulatory agencies, such as the FDA and the SEC, had to furlough critical employees and stop critical activities. Separately, in response to the COVID-19 public health emergency, the FDA postponed most inspections of foreign manufacturing facilities and routine surveillance inspections of domestic manufacturing facilities in 2020. In May 2021, the FDA issued an updated guidance on manufacturing, supply chain, and drug and biological product inspections, indicating that it intends to continue using other tools and approaches where possible for pre-approval inspections, and that it will continue to conduct "mission-critical" inspections on a case-by-case basis, or, where possible to do so safely, resume prioritized domestic inspections, such as pre-approval and surveillance inspections. If a prolonged government shutdown occurs, or if global health or other concerns continue to prevent the FDA or other regulatory authorities from conducting their regular inspections, reviews, or other regulatory activities in a timely manner,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w:t>
      </w:r>
    </w:p>
    <w:p>
      <w:pPr>
        <w:spacing w:after="0" w:line="52" w:lineRule="exact"/>
        <w:rPr>
          <w:sz w:val="20"/>
          <w:szCs w:val="20"/>
          <w:color w:val="auto"/>
        </w:rPr>
      </w:pPr>
    </w:p>
    <w:p>
      <w:pPr>
        <w:spacing w:after="0" w:line="241" w:lineRule="auto"/>
        <w:rPr>
          <w:sz w:val="20"/>
          <w:szCs w:val="20"/>
          <w:color w:val="auto"/>
        </w:rPr>
      </w:pPr>
      <w:r>
        <w:rPr>
          <w:rFonts w:ascii="Arial" w:cs="Arial" w:eastAsia="Arial" w:hAnsi="Arial"/>
          <w:sz w:val="18"/>
          <w:szCs w:val="18"/>
          <w:b w:val="1"/>
          <w:bCs w:val="1"/>
          <w:i w:val="1"/>
          <w:iCs w:val="1"/>
          <w:color w:val="auto"/>
        </w:rPr>
        <w:t>Our relationships with healthcare professionals, clinical investigators, CROs and third 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significant losses, including, among other things, criminal sanctions, civil penalties, contractual damages, exclusion from governmental healthcare programs, reputational harm, administrative burdens and diminished profits and future earnings.</w:t>
      </w:r>
    </w:p>
    <w:p>
      <w:pPr>
        <w:spacing w:after="0" w:line="95" w:lineRule="exact"/>
        <w:rPr>
          <w:sz w:val="20"/>
          <w:szCs w:val="20"/>
          <w:color w:val="auto"/>
        </w:rPr>
      </w:pPr>
    </w:p>
    <w:p>
      <w:pPr>
        <w:ind w:right="100" w:firstLine="749"/>
        <w:spacing w:after="0" w:line="292" w:lineRule="auto"/>
        <w:rPr>
          <w:sz w:val="20"/>
          <w:szCs w:val="20"/>
          <w:color w:val="auto"/>
        </w:rPr>
      </w:pPr>
      <w:r>
        <w:rPr>
          <w:rFonts w:ascii="Arial" w:cs="Arial" w:eastAsia="Arial" w:hAnsi="Arial"/>
          <w:sz w:val="17"/>
          <w:szCs w:val="17"/>
          <w:color w:val="auto"/>
        </w:rPr>
        <w:t>Healthcare providers and third-party payors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research, as well as market, sell and distribute our products for which we obtain marketing approval. Restrictions under applicable federal and state healthcare laws and regulations may include the following:</w:t>
      </w:r>
    </w:p>
    <w:p>
      <w:pPr>
        <w:spacing w:after="0" w:line="53" w:lineRule="exact"/>
        <w:rPr>
          <w:sz w:val="20"/>
          <w:szCs w:val="20"/>
          <w:color w:val="auto"/>
        </w:rPr>
      </w:pPr>
    </w:p>
    <w:p>
      <w:pPr>
        <w:ind w:left="1200" w:right="120"/>
        <w:spacing w:after="0" w:line="243" w:lineRule="auto"/>
        <w:rPr>
          <w:sz w:val="20"/>
          <w:szCs w:val="20"/>
          <w:color w:val="auto"/>
        </w:rPr>
      </w:pPr>
      <w:r>
        <w:rPr>
          <w:rFonts w:ascii="Arial" w:cs="Arial" w:eastAsia="Arial" w:hAnsi="Arial"/>
          <w:sz w:val="18"/>
          <w:szCs w:val="18"/>
          <w:color w:val="auto"/>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80" w:lineRule="exact"/>
        <w:rPr>
          <w:sz w:val="20"/>
          <w:szCs w:val="20"/>
          <w:color w:val="auto"/>
        </w:rPr>
      </w:pPr>
    </w:p>
    <w:p>
      <w:pPr>
        <w:ind w:left="1200"/>
        <w:spacing w:after="0" w:line="248" w:lineRule="auto"/>
        <w:rPr>
          <w:sz w:val="20"/>
          <w:szCs w:val="20"/>
          <w:color w:val="auto"/>
        </w:rPr>
      </w:pPr>
      <w:r>
        <w:rPr>
          <w:rFonts w:ascii="Arial" w:cs="Arial" w:eastAsia="Arial" w:hAnsi="Arial"/>
          <w:sz w:val="18"/>
          <w:szCs w:val="18"/>
          <w:color w:val="auto"/>
        </w:rPr>
        <w:t>the federal false claims laws, including the civil False Claims Act, which can be enforced by private citizens through civil whistleblower or qui tam actions, and civil monetary penalties laws, prohibit individuals or entities from, among other things, knowingly presenting, or causing to be presented, to the federal government, claims for payment that are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48" w:name="page49"/>
    <w:bookmarkEnd w:id="48"/>
    <w:p>
      <w:pPr>
        <w:ind w:left="1200"/>
        <w:spacing w:after="0"/>
        <w:rPr>
          <w:sz w:val="20"/>
          <w:szCs w:val="20"/>
          <w:color w:val="auto"/>
        </w:rPr>
      </w:pPr>
      <w:r>
        <w:rPr>
          <w:rFonts w:ascii="Arial" w:cs="Arial" w:eastAsia="Arial" w:hAnsi="Arial"/>
          <w:sz w:val="17"/>
          <w:szCs w:val="17"/>
          <w:color w:val="auto"/>
        </w:rPr>
        <w:t>false or fraudulent or making a false statement to avoid, decrease or conceal an obligation to pay money to the federal government;</w:t>
      </w:r>
    </w:p>
    <w:p>
      <w:pPr>
        <w:spacing w:after="0" w:line="115" w:lineRule="exact"/>
        <w:rPr>
          <w:sz w:val="20"/>
          <w:szCs w:val="20"/>
          <w:color w:val="auto"/>
        </w:rPr>
      </w:pPr>
    </w:p>
    <w:p>
      <w:pPr>
        <w:ind w:left="1200" w:right="120"/>
        <w:spacing w:after="0" w:line="261" w:lineRule="auto"/>
        <w:rPr>
          <w:sz w:val="20"/>
          <w:szCs w:val="20"/>
          <w:color w:val="auto"/>
        </w:rPr>
      </w:pPr>
      <w:r>
        <w:rPr>
          <w:rFonts w:ascii="Arial" w:cs="Arial" w:eastAsia="Arial" w:hAnsi="Arial"/>
          <w:sz w:val="18"/>
          <w:szCs w:val="18"/>
          <w:color w:val="auto"/>
        </w:rPr>
        <w:t>the federal HIPAA, prohibits, among other things, executing or attempting to execute a scheme to defraud any healthcare benefit program or making false statements relating to healthcare matters;</w:t>
      </w:r>
    </w:p>
    <w:p>
      <w:pPr>
        <w:spacing w:after="0" w:line="63" w:lineRule="exact"/>
        <w:rPr>
          <w:sz w:val="20"/>
          <w:szCs w:val="20"/>
          <w:color w:val="auto"/>
        </w:rPr>
      </w:pPr>
    </w:p>
    <w:p>
      <w:pPr>
        <w:jc w:val="both"/>
        <w:ind w:left="1200" w:right="420"/>
        <w:spacing w:after="0" w:line="284" w:lineRule="auto"/>
        <w:rPr>
          <w:sz w:val="20"/>
          <w:szCs w:val="20"/>
          <w:color w:val="auto"/>
        </w:rPr>
      </w:pPr>
      <w:r>
        <w:rPr>
          <w:rFonts w:ascii="Arial" w:cs="Arial" w:eastAsia="Arial" w:hAnsi="Arial"/>
          <w:sz w:val="16"/>
          <w:szCs w:val="16"/>
          <w:color w:val="auto"/>
        </w:rPr>
        <w:t>HIPAA, as amended by the Health Information Technology for Economic and Clinical Health Act (HITECH) and their implementing regulations, also imposes obligations, including mandatory contractual terms, on covered entities, which are health plans, healthcare clearinghouses, and certain health care providers, as those terms are defined by HIPAA, and their respective business associates, with respect to safeguarding the privacy, security and transmission of individually identifiable health information;</w:t>
      </w:r>
    </w:p>
    <w:p>
      <w:pPr>
        <w:spacing w:after="0" w:line="61" w:lineRule="exact"/>
        <w:rPr>
          <w:sz w:val="20"/>
          <w:szCs w:val="20"/>
          <w:color w:val="auto"/>
        </w:rPr>
      </w:pPr>
    </w:p>
    <w:p>
      <w:pPr>
        <w:ind w:left="1200" w:right="80"/>
        <w:spacing w:after="0" w:line="288" w:lineRule="auto"/>
        <w:rPr>
          <w:sz w:val="20"/>
          <w:szCs w:val="20"/>
          <w:color w:val="auto"/>
        </w:rPr>
      </w:pPr>
      <w:r>
        <w:rPr>
          <w:rFonts w:ascii="Arial" w:cs="Arial" w:eastAsia="Arial" w:hAnsi="Arial"/>
          <w:sz w:val="17"/>
          <w:szCs w:val="17"/>
          <w:color w:val="auto"/>
        </w:rPr>
        <w:t>the federal Physician Payments Sunshine Act requires applicable manufacturers of covered drugs, devices, biologics and medical supplies for which payment is available under Medicare, Medicaid or the Children’s Health Insurance Program, with specific exceptions, to annually report to CMS information regarding payments and other transfers of value to physicians, as defined by such law, and teaching hospitals as well as information regarding ownership and investment interests held by physicians and their immediate family members. Effective January 1, 2022, such reporting obligations for payments and transfers of value made in 2021 to covered recipients will be expanded to include physician assistants, nurse practitioners, clinical nurse specialists, certified registered nurse anesthetists and anesthesiologist assistants, and certified nurse-midwives; and</w:t>
      </w:r>
    </w:p>
    <w:p>
      <w:pPr>
        <w:spacing w:after="0" w:line="73" w:lineRule="exact"/>
        <w:rPr>
          <w:sz w:val="20"/>
          <w:szCs w:val="20"/>
          <w:color w:val="auto"/>
        </w:rPr>
      </w:pPr>
    </w:p>
    <w:p>
      <w:pPr>
        <w:ind w:left="1200"/>
        <w:spacing w:after="0" w:line="287" w:lineRule="auto"/>
        <w:rPr>
          <w:sz w:val="20"/>
          <w:szCs w:val="20"/>
          <w:color w:val="auto"/>
        </w:rPr>
      </w:pPr>
      <w:r>
        <w:rPr>
          <w:rFonts w:ascii="Arial" w:cs="Arial" w:eastAsia="Arial" w:hAnsi="Arial"/>
          <w:sz w:val="17"/>
          <w:szCs w:val="17"/>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regulations promulgated by the federal government and may require drug manufacturers to report information related to payments and other transfers of value to physicians and other healthcare providers, marketing expenditures, or drug pricing; state and local laws that require the registration of pharmaceutical sales and medical representatives; state laws that govern the privacy and security of health information in some circumstances, many of which differ from each other in significant ways and often are not preempted by HIPAA, thus complicating compliance efforts.</w:t>
      </w:r>
    </w:p>
    <w:p>
      <w:pPr>
        <w:spacing w:after="0" w:line="74" w:lineRule="exact"/>
        <w:rPr>
          <w:sz w:val="20"/>
          <w:szCs w:val="20"/>
          <w:color w:val="auto"/>
        </w:rPr>
      </w:pPr>
    </w:p>
    <w:p>
      <w:pPr>
        <w:ind w:right="20" w:firstLine="749"/>
        <w:spacing w:after="0" w:line="286" w:lineRule="auto"/>
        <w:rPr>
          <w:sz w:val="20"/>
          <w:szCs w:val="20"/>
          <w:color w:val="auto"/>
        </w:rPr>
      </w:pPr>
      <w:r>
        <w:rPr>
          <w:rFonts w:ascii="Arial" w:cs="Arial" w:eastAsia="Arial" w:hAnsi="Arial"/>
          <w:sz w:val="17"/>
          <w:szCs w:val="17"/>
          <w:color w:val="auto"/>
        </w:rPr>
        <w:t>Efforts to ensure that our current and future business arrangements with third parties will comply with applicable healthcare and data privacy laws and regulations will involve on-going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70" w:lineRule="exact"/>
        <w:rPr>
          <w:sz w:val="20"/>
          <w:szCs w:val="20"/>
          <w:color w:val="auto"/>
        </w:rPr>
      </w:pPr>
    </w:p>
    <w:p>
      <w:pPr>
        <w:ind w:right="200"/>
        <w:spacing w:after="0" w:line="324" w:lineRule="auto"/>
        <w:rPr>
          <w:sz w:val="20"/>
          <w:szCs w:val="20"/>
          <w:color w:val="auto"/>
        </w:rPr>
      </w:pPr>
      <w:r>
        <w:rPr>
          <w:rFonts w:ascii="Arial" w:cs="Arial" w:eastAsia="Arial" w:hAnsi="Arial"/>
          <w:sz w:val="17"/>
          <w:szCs w:val="17"/>
          <w:b w:val="1"/>
          <w:bCs w:val="1"/>
          <w:i w:val="1"/>
          <w:iCs w:val="1"/>
          <w:color w:val="auto"/>
        </w:rPr>
        <w:t>Our employees, independent contractors, consultants, commercial collaborators, principal investigators, CROs, suppliers and vendors may engage in misconduct or other improper activities, including noncompliance with regulatory standards and requirements.</w:t>
      </w:r>
    </w:p>
    <w:p>
      <w:pPr>
        <w:spacing w:after="0" w:line="39" w:lineRule="exact"/>
        <w:rPr>
          <w:sz w:val="20"/>
          <w:szCs w:val="20"/>
          <w:color w:val="auto"/>
        </w:rPr>
      </w:pPr>
    </w:p>
    <w:p>
      <w:pPr>
        <w:ind w:right="20" w:firstLine="749"/>
        <w:spacing w:after="0" w:line="304" w:lineRule="auto"/>
        <w:rPr>
          <w:sz w:val="20"/>
          <w:szCs w:val="20"/>
          <w:color w:val="auto"/>
        </w:rPr>
      </w:pPr>
      <w:r>
        <w:rPr>
          <w:rFonts w:ascii="Arial" w:cs="Arial" w:eastAsia="Arial" w:hAnsi="Arial"/>
          <w:sz w:val="16"/>
          <w:szCs w:val="16"/>
          <w:color w:val="auto"/>
        </w:rPr>
        <w:t>We are exposed to the risk that our employees, independent contractors, consultants, commercial collaborators, principal investigators, CROs, suppliers and vendors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research,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We have adopted a code of conduct, but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3" w:right="359" w:bottom="1440" w:gutter="0" w:footer="0" w:header="0"/>
        </w:sectPr>
      </w:pPr>
    </w:p>
    <w:bookmarkStart w:id="49" w:name="page50"/>
    <w:bookmarkEnd w:id="49"/>
    <w:p>
      <w:pPr>
        <w:ind w:right="180"/>
        <w:spacing w:after="0" w:line="293" w:lineRule="auto"/>
        <w:rPr>
          <w:sz w:val="20"/>
          <w:szCs w:val="20"/>
          <w:color w:val="auto"/>
        </w:rPr>
      </w:pPr>
      <w:r>
        <w:rPr>
          <w:rFonts w:ascii="Arial" w:cs="Arial" w:eastAsia="Arial" w:hAnsi="Arial"/>
          <w:sz w:val="18"/>
          <w:szCs w:val="18"/>
          <w:color w:val="auto"/>
        </w:rPr>
        <w:t>Medicare and Medicaid, integrity oversight and reporting obligations, contractual damages, reputational harm, diminished profits and future earnings and the curtailment or restructuring of our operations.</w:t>
      </w:r>
    </w:p>
    <w:p>
      <w:pPr>
        <w:spacing w:after="0" w:line="48"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b w:val="1"/>
          <w:bCs w:val="1"/>
          <w:i w:val="1"/>
          <w:iCs w:val="1"/>
          <w:color w:val="auto"/>
        </w:rPr>
        <w:t>If we fail to comply with other U.S. healthcare laws and compliance requirements, we could become subject to fines or penalties or incur costs that could have a material adverse effect on our business.</w:t>
      </w:r>
    </w:p>
    <w:p>
      <w:pPr>
        <w:spacing w:after="0" w:line="76" w:lineRule="exact"/>
        <w:rPr>
          <w:sz w:val="20"/>
          <w:szCs w:val="20"/>
          <w:color w:val="auto"/>
        </w:rPr>
      </w:pPr>
    </w:p>
    <w:p>
      <w:pPr>
        <w:ind w:right="200" w:firstLine="749"/>
        <w:spacing w:after="0" w:line="270" w:lineRule="auto"/>
        <w:rPr>
          <w:sz w:val="20"/>
          <w:szCs w:val="20"/>
          <w:color w:val="auto"/>
        </w:rPr>
      </w:pPr>
      <w:r>
        <w:rPr>
          <w:rFonts w:ascii="Arial" w:cs="Arial" w:eastAsia="Arial" w:hAnsi="Arial"/>
          <w:sz w:val="18"/>
          <w:szCs w:val="18"/>
          <w:color w:val="auto"/>
        </w:rPr>
        <w:t>In the United States, our current and future activities with investigators, healthcare professionals, consultants, third-party payors, patient organizations and customers are subject to regulation by various federal, state and local authorities in addition to the FDA, which may include but are not limited to, CMS, other divisions of the U.S. Department of Health and Human Services (e.g., the Office of Inspector General), the U.S. Department of Justice (DOJ) and individual U.S. Attorney offices within the DOJ, and state and local governments. For example, our business practices, including our clinical research, sales, marketing and scientific/educational grant programs may be required to comply with the anti-fraud and abuse provisions of the Social Security Act, the false claims laws, the patient data privacy and security provisions of HIPAA transparency requirements, and similar state laws, each as amended, as applicable.</w:t>
      </w:r>
    </w:p>
    <w:p>
      <w:pPr>
        <w:spacing w:after="0" w:line="85" w:lineRule="exact"/>
        <w:rPr>
          <w:sz w:val="20"/>
          <w:szCs w:val="20"/>
          <w:color w:val="auto"/>
        </w:rPr>
      </w:pPr>
    </w:p>
    <w:p>
      <w:pPr>
        <w:ind w:right="60" w:firstLine="749"/>
        <w:spacing w:after="0" w:line="286" w:lineRule="auto"/>
        <w:rPr>
          <w:sz w:val="20"/>
          <w:szCs w:val="20"/>
          <w:color w:val="auto"/>
        </w:rPr>
      </w:pPr>
      <w:r>
        <w:rPr>
          <w:rFonts w:ascii="Arial" w:cs="Arial" w:eastAsia="Arial" w:hAnsi="Arial"/>
          <w:sz w:val="17"/>
          <w:szCs w:val="17"/>
          <w:color w:val="auto"/>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good, item, facility or service reimbursable, in whole or part, under Medicare, Medicaid or other federal healthcare programs. The term “remuneration” has been interpreted broadly to include anything of value. The federal Anti-Kickback Statute has been interpreted to apply to arrangements between pharmaceutical manufacturers on one hand and prescribers, purchasers, and formulary managers on the other.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Our practices may not in all cases meet all of the criteria for protection under a statutory exception or regulatory safe harbor.</w:t>
      </w:r>
    </w:p>
    <w:p>
      <w:pPr>
        <w:spacing w:after="0" w:line="70" w:lineRule="exact"/>
        <w:rPr>
          <w:sz w:val="20"/>
          <w:szCs w:val="20"/>
          <w:color w:val="auto"/>
        </w:rPr>
      </w:pPr>
    </w:p>
    <w:p>
      <w:pPr>
        <w:ind w:right="120" w:firstLine="749"/>
        <w:spacing w:after="0" w:line="272" w:lineRule="auto"/>
        <w:rPr>
          <w:sz w:val="20"/>
          <w:szCs w:val="20"/>
          <w:color w:val="auto"/>
        </w:rPr>
      </w:pPr>
      <w:r>
        <w:rPr>
          <w:rFonts w:ascii="Arial" w:cs="Arial" w:eastAsia="Arial" w:hAnsi="Arial"/>
          <w:sz w:val="18"/>
          <w:szCs w:val="18"/>
          <w:color w:val="auto"/>
        </w:rPr>
        <w:t>Additionally, the intent standard under the federal Anti-Kickback Statute was amended by the ACA, to a stricter standard such that a person or entity no longer needs to have actual knowledge of the federal Anti-Kickback Statute or specific intent to violate it in order to have committed a violation. Rather, if “one purpose” of the remuneration is to induce referrals, the federal Anti-Kickback Statute is implicated. In addition, the ACA codified case law that a claim that includes items or services resulting from a violation of the federal Anti-Kickback Statute constitutes a false or fraudulent claim for purposes of the federal civil False Claims Act (discussed below).</w:t>
      </w:r>
    </w:p>
    <w:p>
      <w:pPr>
        <w:spacing w:after="0" w:line="83" w:lineRule="exact"/>
        <w:rPr>
          <w:sz w:val="20"/>
          <w:szCs w:val="20"/>
          <w:color w:val="auto"/>
        </w:rPr>
      </w:pPr>
    </w:p>
    <w:p>
      <w:pPr>
        <w:jc w:val="both"/>
        <w:ind w:right="160" w:firstLine="749"/>
        <w:spacing w:after="0" w:line="279" w:lineRule="auto"/>
        <w:rPr>
          <w:sz w:val="20"/>
          <w:szCs w:val="20"/>
          <w:color w:val="auto"/>
        </w:rPr>
      </w:pPr>
      <w:r>
        <w:rPr>
          <w:rFonts w:ascii="Arial" w:cs="Arial" w:eastAsia="Arial" w:hAnsi="Arial"/>
          <w:sz w:val="18"/>
          <w:szCs w:val="18"/>
          <w:color w:val="auto"/>
        </w:rPr>
        <w:t>The civil monetary penalties statute imposes penalties against any person or entity who, among other things, is determined to have presented or caused to be presented a claim to a federal healthcare program that the person knows or should know is for a medical or other item or service that was not provided as claimed or is false or fraudulent.</w:t>
      </w:r>
    </w:p>
    <w:p>
      <w:pPr>
        <w:spacing w:after="0" w:line="75" w:lineRule="exact"/>
        <w:rPr>
          <w:sz w:val="20"/>
          <w:szCs w:val="20"/>
          <w:color w:val="auto"/>
        </w:rPr>
      </w:pPr>
    </w:p>
    <w:p>
      <w:pPr>
        <w:ind w:right="20" w:firstLine="749"/>
        <w:spacing w:after="0" w:line="287" w:lineRule="auto"/>
        <w:rPr>
          <w:sz w:val="20"/>
          <w:szCs w:val="20"/>
          <w:color w:val="auto"/>
        </w:rPr>
      </w:pPr>
      <w:r>
        <w:rPr>
          <w:rFonts w:ascii="Arial" w:cs="Arial" w:eastAsia="Arial" w:hAnsi="Arial"/>
          <w:sz w:val="17"/>
          <w:szCs w:val="17"/>
          <w:color w:val="auto"/>
        </w:rPr>
        <w:t>The federal civil False Claims Act prohibits, among other things, any person or entity from knowingly presenting, or causing to be presented, a false claim for payment to, or approval by, the federal government, knowingly making, using, or causing to be made or used a false record or statement material to a false or fraudulent claim to the federal government, or knowingly making a false statement to improperly avoid, decrease or conceal an obligation to pay money to the federal government. As a result of a modification made by the Fraud Enforcement and Recovery Act of 2009, a claim includes “any request or demand” for money or property presented to the U.S. government. Pharmaceutical and other healthcare companies are being investigated or, in the past,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non-reimbursable, uses.</w:t>
      </w:r>
    </w:p>
    <w:p>
      <w:pPr>
        <w:spacing w:after="0" w:line="74" w:lineRule="exact"/>
        <w:rPr>
          <w:sz w:val="20"/>
          <w:szCs w:val="20"/>
          <w:color w:val="auto"/>
        </w:rPr>
      </w:pPr>
    </w:p>
    <w:p>
      <w:pPr>
        <w:ind w:right="60" w:firstLine="749"/>
        <w:spacing w:after="0" w:line="270" w:lineRule="auto"/>
        <w:rPr>
          <w:sz w:val="20"/>
          <w:szCs w:val="20"/>
          <w:color w:val="auto"/>
        </w:rPr>
      </w:pPr>
      <w:r>
        <w:rPr>
          <w:rFonts w:ascii="Arial" w:cs="Arial" w:eastAsia="Arial" w:hAnsi="Arial"/>
          <w:sz w:val="18"/>
          <w:szCs w:val="18"/>
          <w:color w:val="auto"/>
        </w:rPr>
        <w:t>HIPAA imposes criminal and civil liability for, among other things,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and knowingly and willfully falsifying, concealing or covering up by trick, scheme or device, a material fact or making any materially false, fictitious or fraudulent statement in connection with the delivery of or payment for healthcare benefits, items or services. Like the Anti-Kickback Statute, the ACA amended the intent standard for certain healthcare fraud statutes under HIPAA such that a person or entity no longer needs to have actual knowledge of the statute or specific intent to violate it in order to have committed a violation.</w:t>
      </w:r>
    </w:p>
    <w:p>
      <w:pPr>
        <w:spacing w:after="0" w:line="84" w:lineRule="exact"/>
        <w:rPr>
          <w:sz w:val="20"/>
          <w:szCs w:val="20"/>
          <w:color w:val="auto"/>
        </w:rPr>
      </w:pPr>
    </w:p>
    <w:p>
      <w:pPr>
        <w:ind w:firstLine="749"/>
        <w:spacing w:after="0" w:line="293" w:lineRule="auto"/>
        <w:rPr>
          <w:sz w:val="20"/>
          <w:szCs w:val="20"/>
          <w:color w:val="auto"/>
        </w:rPr>
      </w:pPr>
      <w:r>
        <w:rPr>
          <w:rFonts w:ascii="Arial" w:cs="Arial" w:eastAsia="Arial" w:hAnsi="Arial"/>
          <w:sz w:val="18"/>
          <w:szCs w:val="18"/>
          <w:color w:val="auto"/>
        </w:rPr>
        <w:t>Analogous U.S. state laws and regulations, including state anti-kickback and false claims laws, may apply to claims involving healthcare items or services reimbursed by any third-party payor, including private insurers our business practices.</w:t>
      </w:r>
    </w:p>
    <w:p>
      <w:pPr>
        <w:spacing w:after="0" w:line="62" w:lineRule="exact"/>
        <w:rPr>
          <w:sz w:val="20"/>
          <w:szCs w:val="20"/>
          <w:color w:val="auto"/>
        </w:rPr>
      </w:pPr>
    </w:p>
    <w:p>
      <w:pPr>
        <w:ind w:right="20" w:firstLine="749"/>
        <w:spacing w:after="0" w:line="279" w:lineRule="auto"/>
        <w:rPr>
          <w:sz w:val="20"/>
          <w:szCs w:val="20"/>
          <w:color w:val="auto"/>
        </w:rPr>
      </w:pPr>
      <w:r>
        <w:rPr>
          <w:rFonts w:ascii="Arial" w:cs="Arial" w:eastAsia="Arial" w:hAnsi="Arial"/>
          <w:sz w:val="18"/>
          <w:szCs w:val="18"/>
          <w:color w:val="auto"/>
        </w:rPr>
        <w:t>HIPAA, as amended by HITECH, and their implementing regulations, imposes requirements on certain types of individuals and entities relating to the privacy, security and transmission of individually identifiable health information. Among other things, HITECH makes HIPAA’s privacy and security standards directly applicable to business associates that are independent contractors or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0" w:name="page51"/>
    <w:bookmarkEnd w:id="50"/>
    <w:p>
      <w:pPr>
        <w:ind w:right="80"/>
        <w:spacing w:after="0" w:line="275" w:lineRule="auto"/>
        <w:rPr>
          <w:sz w:val="20"/>
          <w:szCs w:val="20"/>
          <w:color w:val="auto"/>
        </w:rPr>
      </w:pPr>
      <w:r>
        <w:rPr>
          <w:rFonts w:ascii="Arial" w:cs="Arial" w:eastAsia="Arial" w:hAnsi="Arial"/>
          <w:sz w:val="18"/>
          <w:szCs w:val="18"/>
          <w:color w:val="auto"/>
        </w:rPr>
        <w:t>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77" w:lineRule="exact"/>
        <w:rPr>
          <w:sz w:val="20"/>
          <w:szCs w:val="20"/>
          <w:color w:val="auto"/>
        </w:rPr>
      </w:pPr>
    </w:p>
    <w:p>
      <w:pPr>
        <w:ind w:right="60" w:firstLine="749"/>
        <w:spacing w:after="0" w:line="309" w:lineRule="auto"/>
        <w:rPr>
          <w:sz w:val="20"/>
          <w:szCs w:val="20"/>
          <w:color w:val="auto"/>
        </w:rPr>
      </w:pPr>
      <w:r>
        <w:rPr>
          <w:rFonts w:ascii="Arial" w:cs="Arial" w:eastAsia="Arial" w:hAnsi="Arial"/>
          <w:sz w:val="16"/>
          <w:szCs w:val="16"/>
          <w:color w:val="auto"/>
        </w:rPr>
        <w:t>Additionally, the federal Physician Payments Sunshine Act within the ACA, and its implementing regulations, require that certain manufacturers of drugs, devices, biological and medical supplies for which payment is available under Medicare, Medicaid or the Children’s Health Insurance Program (with certain exceptions) report annually to CMS information related to certain payments or other transfers of value made or distributed to physicians and teaching hospitals, or to entities or individuals at the request of, or designated on behalf of, the physicians and teaching hospitals, and to report annually certain ownership and investment interests held by physicians and their immediate family members. Effective January 1, 2022, such reporting obligations for payments and transfers of value made in 2021 to covered recipients will be expanded to include physician assistants, nurse practitioners, clinical nurse specialists, certified registered nurse anesthetists and anesthesiologist assistants and certified nurse-midwives.</w:t>
      </w:r>
    </w:p>
    <w:p>
      <w:pPr>
        <w:spacing w:after="0" w:line="56" w:lineRule="exact"/>
        <w:rPr>
          <w:sz w:val="20"/>
          <w:szCs w:val="20"/>
          <w:color w:val="auto"/>
        </w:rPr>
      </w:pPr>
    </w:p>
    <w:p>
      <w:pPr>
        <w:ind w:right="140" w:firstLine="749"/>
        <w:spacing w:after="0" w:line="292" w:lineRule="auto"/>
        <w:rPr>
          <w:sz w:val="20"/>
          <w:szCs w:val="20"/>
          <w:color w:val="auto"/>
        </w:rPr>
      </w:pPr>
      <w:r>
        <w:rPr>
          <w:rFonts w:ascii="Arial" w:cs="Arial" w:eastAsia="Arial" w:hAnsi="Arial"/>
          <w:sz w:val="17"/>
          <w:szCs w:val="17"/>
          <w:color w:val="auto"/>
        </w:rPr>
        <w:t>In order to distribute products commercially, we must comply with state laws that require the registration of manufacturers and wholesale distributors of drug and biological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w:t>
      </w:r>
    </w:p>
    <w:p>
      <w:pPr>
        <w:spacing w:after="0" w:line="66" w:lineRule="exact"/>
        <w:rPr>
          <w:sz w:val="20"/>
          <w:szCs w:val="20"/>
          <w:color w:val="auto"/>
        </w:rPr>
      </w:pPr>
    </w:p>
    <w:p>
      <w:pPr>
        <w:ind w:right="60" w:firstLine="749"/>
        <w:spacing w:after="0" w:line="287" w:lineRule="auto"/>
        <w:rPr>
          <w:sz w:val="20"/>
          <w:szCs w:val="20"/>
          <w:color w:val="auto"/>
        </w:rPr>
      </w:pPr>
      <w:r>
        <w:rPr>
          <w:rFonts w:ascii="Arial" w:cs="Arial" w:eastAsia="Arial" w:hAnsi="Arial"/>
          <w:sz w:val="17"/>
          <w:szCs w:val="17"/>
          <w:color w:val="auto"/>
        </w:rPr>
        <w:t>State and local laws also require pharmaceutical and biotechnology companies to comply with the pharmaceutical industry’s voluntary compliance guidelines and the relevant compliance guidance promulgated by the U.S. federal government, establish marketing compliance programs, restrict payments that may be made to healthcare providers professionals and entities and other potential referral sources, file periodic reports with the state relating to pricing and marketing, make periodic public disclosures on sales, marketing, pricing, clinical trials and other activities, and/or register field representatives, as well as to prohibit pharmacies and other healthcare entities from providing certain physician prescribing data to pharmaceutical and biotechnology companies for use in sales and marketing, and to prohibit certain other sales and marketing practices. All of our activities are potentially subject to federal and state consumer protection and unfair competition laws. Ensuring that our internal operations and future business arrangements with third parties comply with applicable healthcare laws and regulations will involve substantial costs.</w:t>
      </w:r>
    </w:p>
    <w:p>
      <w:pPr>
        <w:spacing w:after="0" w:line="74" w:lineRule="exact"/>
        <w:rPr>
          <w:sz w:val="20"/>
          <w:szCs w:val="20"/>
          <w:color w:val="auto"/>
        </w:rPr>
      </w:pPr>
    </w:p>
    <w:p>
      <w:pPr>
        <w:ind w:right="120" w:firstLine="749"/>
        <w:spacing w:after="0" w:line="286" w:lineRule="auto"/>
        <w:rPr>
          <w:sz w:val="20"/>
          <w:szCs w:val="20"/>
          <w:color w:val="auto"/>
        </w:rPr>
      </w:pPr>
      <w:r>
        <w:rPr>
          <w:rFonts w:ascii="Arial" w:cs="Arial" w:eastAsia="Arial" w:hAnsi="Arial"/>
          <w:sz w:val="17"/>
          <w:szCs w:val="17"/>
          <w:color w:val="auto"/>
        </w:rPr>
        <w:t>Because of the breadth of these laws and the narrowness of the statutory exceptions and safe harbors available,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federal and state healthcare laws described above or any other governmental regulations that apply to us, we may be subject to penalties, including without limitation, civil, criminal and/or administrative penalties, damages, fines, disgorgement, individual imprisonment, exclusion from participation in government programs, such as Medicare and Medicaid, injunctions, private “qui tam” actions brought by individual whistleblowers in the name of the government, exclusion, debarment or refusal to allow us to enter into government contracts, contractual damages, reputational harm, administrative burdens, diminished profits and future earnings, additional reporting requirements and/or oversight if we become subject to a corporate integrity agreement or similar agreement to resolve allegations of non-compliance with these laws, and the curtailment or restructuring of our operations, any of which could adversely affect our ability to operate our business and our results of operations.</w:t>
      </w:r>
    </w:p>
    <w:p>
      <w:pPr>
        <w:spacing w:after="0" w:line="60"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our business.</w:t>
      </w:r>
    </w:p>
    <w:p>
      <w:pPr>
        <w:spacing w:after="0" w:line="76" w:lineRule="exact"/>
        <w:rPr>
          <w:sz w:val="20"/>
          <w:szCs w:val="20"/>
          <w:color w:val="auto"/>
        </w:rPr>
      </w:pPr>
    </w:p>
    <w:p>
      <w:pPr>
        <w:ind w:right="20" w:firstLine="749"/>
        <w:spacing w:after="0" w:line="290"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68" w:lineRule="exact"/>
        <w:rPr>
          <w:sz w:val="20"/>
          <w:szCs w:val="20"/>
          <w:color w:val="auto"/>
        </w:rPr>
      </w:pPr>
    </w:p>
    <w:p>
      <w:pPr>
        <w:ind w:right="120" w:firstLine="749"/>
        <w:spacing w:after="0" w:line="275"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spacing w:after="0" w:line="77" w:lineRule="exact"/>
        <w:rPr>
          <w:sz w:val="20"/>
          <w:szCs w:val="20"/>
          <w:color w:val="auto"/>
        </w:rPr>
      </w:pPr>
    </w:p>
    <w:p>
      <w:pPr>
        <w:ind w:firstLine="749"/>
        <w:spacing w:after="0" w:line="279"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1" w:name="page52"/>
    <w:bookmarkEnd w:id="51"/>
    <w:p>
      <w:pPr>
        <w:ind w:right="140"/>
        <w:spacing w:after="0" w:line="294" w:lineRule="auto"/>
        <w:rPr>
          <w:sz w:val="20"/>
          <w:szCs w:val="20"/>
          <w:color w:val="auto"/>
        </w:rPr>
      </w:pPr>
      <w:r>
        <w:rPr>
          <w:rFonts w:ascii="Arial" w:cs="Arial" w:eastAsia="Arial" w:hAnsi="Arial"/>
          <w:sz w:val="16"/>
          <w:szCs w:val="16"/>
          <w:b w:val="1"/>
          <w:bCs w:val="1"/>
          <w:i w:val="1"/>
          <w:iCs w:val="1"/>
          <w:color w:val="auto"/>
        </w:rPr>
        <w:t>Our business activities may be subject to the U.S. Foreign Corrupt Practices Act (FCPA) and similar anti-bribery and anti-corruption laws of other countries in which we operate, as well as U.S. and certain foreign export controls, trade sanctions, and import laws and regulations. Compliance with these legal requirements could limit our ability to compete in foreign markets and subject us to liability if we violate them.</w:t>
      </w:r>
    </w:p>
    <w:p>
      <w:pPr>
        <w:spacing w:after="0" w:line="53" w:lineRule="exact"/>
        <w:rPr>
          <w:sz w:val="20"/>
          <w:szCs w:val="20"/>
          <w:color w:val="auto"/>
        </w:rPr>
      </w:pPr>
    </w:p>
    <w:p>
      <w:pPr>
        <w:ind w:right="40" w:firstLine="749"/>
        <w:spacing w:after="0" w:line="304" w:lineRule="auto"/>
        <w:rPr>
          <w:sz w:val="20"/>
          <w:szCs w:val="20"/>
          <w:color w:val="auto"/>
        </w:rPr>
      </w:pPr>
      <w:r>
        <w:rPr>
          <w:rFonts w:ascii="Arial" w:cs="Arial" w:eastAsia="Arial" w:hAnsi="Arial"/>
          <w:sz w:val="16"/>
          <w:szCs w:val="16"/>
          <w:color w:val="auto"/>
        </w:rPr>
        <w:t>Our business activities may be subject to the FCPA and similar anti-bribery or anti-corruption laws, regulations or rules of other countries in which we operate. The FCPA generally prohibits companies and their employees and third-party intermediaries from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hospitals are owned and operated by the government, and doctors and other hospital employees would be considered foreign officials under the FCPA. Recently, the SEC and DOJ have increased their FCPA enforcement activities with respect to biotechnology and pharmaceutical companies. There is no certainty that all of our employees, agents or contractors, or those of our affiliates, will comply with all applicable laws and regulations, particularly given the high level of complexity of these laws. Violations of these laws and regulations could result in fines, criminal sanctions against us, our officers or our employees, disgorgement, and other sanctions and remedial measures, and prohibitions on the conduct of our business. Any such violations could include prohibitions on our ability to offer our products in one or more countries and could materially damage our reputation, our brand, our international activities, our ability to attract and retain employees and our business, prospects, operating results and financial condition.</w:t>
      </w:r>
    </w:p>
    <w:p>
      <w:pPr>
        <w:spacing w:after="0" w:line="62" w:lineRule="exact"/>
        <w:rPr>
          <w:sz w:val="20"/>
          <w:szCs w:val="20"/>
          <w:color w:val="auto"/>
        </w:rPr>
      </w:pPr>
    </w:p>
    <w:p>
      <w:pPr>
        <w:ind w:right="40" w:firstLine="749"/>
        <w:spacing w:after="0" w:line="306" w:lineRule="auto"/>
        <w:rPr>
          <w:sz w:val="20"/>
          <w:szCs w:val="20"/>
          <w:color w:val="auto"/>
        </w:rPr>
      </w:pPr>
      <w:r>
        <w:rPr>
          <w:rFonts w:ascii="Arial" w:cs="Arial" w:eastAsia="Arial" w:hAnsi="Arial"/>
          <w:sz w:val="16"/>
          <w:szCs w:val="16"/>
          <w:color w:val="auto"/>
        </w:rPr>
        <w:t>In addition,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international sales and adversely affect our revenue.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shipment of certain products and services to countries, governments, and persons targeted by U.S. sanctions.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products targeted by such regulations, could result in decreased use of our products by, or in our decreased ability to export our products to, existing or potential customers with international operations. Any decreased use of our products or limitation on our ability to export or sell our products would likely adversely affect our business.</w:t>
      </w:r>
    </w:p>
    <w:p>
      <w:pPr>
        <w:spacing w:after="0" w:line="57" w:lineRule="exact"/>
        <w:rPr>
          <w:sz w:val="20"/>
          <w:szCs w:val="20"/>
          <w:color w:val="auto"/>
        </w:rPr>
      </w:pPr>
    </w:p>
    <w:p>
      <w:pPr>
        <w:ind w:right="20"/>
        <w:spacing w:after="0" w:line="293" w:lineRule="auto"/>
        <w:rPr>
          <w:sz w:val="20"/>
          <w:szCs w:val="20"/>
          <w:color w:val="auto"/>
        </w:rPr>
      </w:pPr>
      <w:r>
        <w:rPr>
          <w:rFonts w:ascii="Arial" w:cs="Arial" w:eastAsia="Arial" w:hAnsi="Arial"/>
          <w:sz w:val="18"/>
          <w:szCs w:val="18"/>
          <w:b w:val="1"/>
          <w:bCs w:val="1"/>
          <w:i w:val="1"/>
          <w:iCs w:val="1"/>
          <w:color w:val="auto"/>
        </w:rPr>
        <w:t>If we fail to comply with California laws or Nasdaq rules (if adopted) governing the diversity of our board of directors, we could be exposed to financial penalties and suffer reputational harm.</w:t>
      </w:r>
    </w:p>
    <w:p>
      <w:pPr>
        <w:spacing w:after="0" w:line="62" w:lineRule="exact"/>
        <w:rPr>
          <w:sz w:val="20"/>
          <w:szCs w:val="20"/>
          <w:color w:val="auto"/>
        </w:rPr>
      </w:pPr>
    </w:p>
    <w:p>
      <w:pPr>
        <w:ind w:firstLine="749"/>
        <w:spacing w:after="0" w:line="271" w:lineRule="auto"/>
        <w:rPr>
          <w:sz w:val="20"/>
          <w:szCs w:val="20"/>
          <w:color w:val="auto"/>
        </w:rPr>
      </w:pPr>
      <w:r>
        <w:rPr>
          <w:rFonts w:ascii="Arial" w:cs="Arial" w:eastAsia="Arial" w:hAnsi="Arial"/>
          <w:sz w:val="18"/>
          <w:szCs w:val="18"/>
          <w:color w:val="auto"/>
        </w:rPr>
        <w:t>In September 2018, California’s Senate Bill 826 was signed into law. Senate Bill 826 generally requires that a public company with a principal executive office in California have a minimum number of females on its board of director, with such minimum number dependent on the size of such board of directors. By December 31, 2019, each public company with a principal executive office in California was required to have at least one female on its board of directors. By December 31, 2021, each public company with a principal executive office in California will be required to have at least two females on its board of directors if such company has at least five directors, and at least three females on its board of directors if such company has at least six directors.</w:t>
      </w:r>
    </w:p>
    <w:p>
      <w:pPr>
        <w:spacing w:after="0" w:line="83" w:lineRule="exact"/>
        <w:rPr>
          <w:sz w:val="20"/>
          <w:szCs w:val="20"/>
          <w:color w:val="auto"/>
        </w:rPr>
      </w:pPr>
    </w:p>
    <w:p>
      <w:pPr>
        <w:ind w:right="60" w:firstLine="794"/>
        <w:spacing w:after="0" w:line="308" w:lineRule="auto"/>
        <w:rPr>
          <w:sz w:val="20"/>
          <w:szCs w:val="20"/>
          <w:color w:val="auto"/>
        </w:rPr>
      </w:pPr>
      <w:r>
        <w:rPr>
          <w:rFonts w:ascii="Arial" w:cs="Arial" w:eastAsia="Arial" w:hAnsi="Arial"/>
          <w:sz w:val="16"/>
          <w:szCs w:val="16"/>
          <w:color w:val="auto"/>
        </w:rPr>
        <w:t>Additionally, in September 2020, Assembly Bill 979 was signed into law. Assembly Bill 979 generally requires that a public company with a principal executive office in California have a minimum number of directors from underrepresented communities, with such minimum number dependent on the size of such board of directors. A director from an underrepresented community means a director who self-identifies as Black, African American, Hispanic, Latino, Asian, Pacific Islander, Native American, Native Hawaiian, Alaska Native, gay, lesbian, bisexual or transgender. By December 31, 2021, each public company with a principal executive office in California will be required to have at least one director from an underrepresented community. By December 31, 2022, a public company with a principal executive office in California will be required to have a minimum of two directors from an underrepresented community if such company has more than four but fewer than nine directors, and a minimum of three directors from an underrepresented community if such company has nine or more directors. These laws do not provide a transition period for newly listed companies.</w:t>
      </w:r>
    </w:p>
    <w:p>
      <w:pPr>
        <w:spacing w:after="0" w:line="55" w:lineRule="exact"/>
        <w:rPr>
          <w:sz w:val="20"/>
          <w:szCs w:val="20"/>
          <w:color w:val="auto"/>
        </w:rPr>
      </w:pPr>
    </w:p>
    <w:p>
      <w:pPr>
        <w:ind w:firstLine="749"/>
        <w:spacing w:after="0" w:line="270" w:lineRule="auto"/>
        <w:rPr>
          <w:sz w:val="20"/>
          <w:szCs w:val="20"/>
          <w:color w:val="auto"/>
        </w:rPr>
      </w:pPr>
      <w:r>
        <w:rPr>
          <w:rFonts w:ascii="Arial" w:cs="Arial" w:eastAsia="Arial" w:hAnsi="Arial"/>
          <w:sz w:val="18"/>
          <w:szCs w:val="18"/>
          <w:color w:val="auto"/>
        </w:rPr>
        <w:t>In addition, in December 2020, Nasdaq announced that it filed with the SEC a proposal to advance board diversity and enhance transparency of board diversity statistics through new listing requirements. If approved by the SEC, the proposed rule would require certain Nasdaq-listed companies to annually disclose diversity statistics regarding their directors’ voluntary self-identified characteristics and include at least two diverse directors on their boards of directors or publicly disclose why their boards of directors do not include diverse directors. Under the proposed rule, a diverse director is someone who self-identifies either as female, Black or African American, Hispanic or Latinx, Asian, Native American or Alaska Native, Native Hawaiian or Pacific Islander, or two or more races or ethnicities, or lesbian, gay, bisexual, transgender or a member of the queer community. Under a proposed phase-in period for</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3" w:right="359" w:bottom="1440" w:gutter="0" w:footer="0" w:header="0"/>
        </w:sectPr>
      </w:pPr>
    </w:p>
    <w:bookmarkStart w:id="52" w:name="page53"/>
    <w:bookmarkEnd w:id="52"/>
    <w:p>
      <w:pPr>
        <w:ind w:right="60"/>
        <w:spacing w:after="0" w:line="293" w:lineRule="auto"/>
        <w:rPr>
          <w:sz w:val="20"/>
          <w:szCs w:val="20"/>
          <w:color w:val="auto"/>
        </w:rPr>
      </w:pPr>
      <w:r>
        <w:rPr>
          <w:rFonts w:ascii="Arial" w:cs="Arial" w:eastAsia="Arial" w:hAnsi="Arial"/>
          <w:sz w:val="18"/>
          <w:szCs w:val="18"/>
          <w:color w:val="auto"/>
        </w:rPr>
        <w:t>companies listed on the Nasdaq Global Select Market, this disclosure requirement would require one diverse director two years after rule adoption and two diverse directors four years after rule adoption.</w:t>
      </w:r>
    </w:p>
    <w:p>
      <w:pPr>
        <w:spacing w:after="0" w:line="62" w:lineRule="exact"/>
        <w:rPr>
          <w:sz w:val="20"/>
          <w:szCs w:val="20"/>
          <w:color w:val="auto"/>
        </w:rPr>
      </w:pPr>
    </w:p>
    <w:p>
      <w:pPr>
        <w:ind w:right="40" w:firstLine="749"/>
        <w:spacing w:after="0" w:line="287" w:lineRule="auto"/>
        <w:rPr>
          <w:sz w:val="20"/>
          <w:szCs w:val="20"/>
          <w:color w:val="auto"/>
        </w:rPr>
      </w:pPr>
      <w:r>
        <w:rPr>
          <w:rFonts w:ascii="Arial" w:cs="Arial" w:eastAsia="Arial" w:hAnsi="Arial"/>
          <w:sz w:val="17"/>
          <w:szCs w:val="17"/>
          <w:color w:val="auto"/>
        </w:rPr>
        <w:t>Our board of directors currently includes two female directors and one director from an underrepresented community. Based on the current composition of our board of directors, if we do not add at least one female director to our board of directors prior to December 31, 2021 or one additional director from an "underrepresented community" to our board of directors prior to December 31, 2022, we would be out of compliance with Senate Bill 826 or Assembly Bill 979, respectively. An initial violation of either law may result in a fine from the California Secretary of State in the amount of $100,000, with each subsequent violation resulting in a fine of $300,000. In addition, if the new Nasdaq diversity rule is adopted and our current or future diverse directors no longer serve on our board of directors we could be out of compliance with Nasdaq. Additionally, we cannot guarantee that we can recruit, attract and/or retain qualified members of the board of directors and meet gender and diversity requirements under California law or the proposed Nasdaq rule, which may expose us to financial penalties and adversely affect our reputation.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managing our growth and other risks related to our business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is highly dependent on our ability to attract and retain highly skilled executive officers and employees.</w:t>
      </w:r>
    </w:p>
    <w:p>
      <w:pPr>
        <w:spacing w:after="0" w:line="131" w:lineRule="exact"/>
        <w:rPr>
          <w:sz w:val="20"/>
          <w:szCs w:val="20"/>
          <w:color w:val="auto"/>
        </w:rPr>
      </w:pPr>
    </w:p>
    <w:p>
      <w:pPr>
        <w:ind w:firstLine="749"/>
        <w:spacing w:after="0" w:line="290" w:lineRule="auto"/>
        <w:rPr>
          <w:sz w:val="20"/>
          <w:szCs w:val="20"/>
          <w:color w:val="auto"/>
        </w:rPr>
      </w:pPr>
      <w:r>
        <w:rPr>
          <w:rFonts w:ascii="Arial" w:cs="Arial" w:eastAsia="Arial" w:hAnsi="Arial"/>
          <w:sz w:val="17"/>
          <w:szCs w:val="17"/>
          <w:color w:val="auto"/>
        </w:rPr>
        <w:t>To succeed, we must recruit, retain, manage and motivate qualified clinical, scientific, technical and management personnel, and we face significant competition for experienced personnel. We are highly dependent on the principal members of our management and scientific and medical staff.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We could in the future have difficulty attracting and retaining experienced personnel and may be required to expend significant financial resources in our employee recruitment and retention efforts.</w:t>
      </w:r>
    </w:p>
    <w:p>
      <w:pPr>
        <w:spacing w:after="0" w:line="68" w:lineRule="exact"/>
        <w:rPr>
          <w:sz w:val="20"/>
          <w:szCs w:val="20"/>
          <w:color w:val="auto"/>
        </w:rPr>
      </w:pPr>
    </w:p>
    <w:p>
      <w:pPr>
        <w:ind w:right="40" w:firstLine="749"/>
        <w:spacing w:after="0" w:line="292" w:lineRule="auto"/>
        <w:rPr>
          <w:sz w:val="20"/>
          <w:szCs w:val="20"/>
          <w:color w:val="auto"/>
        </w:rPr>
      </w:pPr>
      <w:r>
        <w:rPr>
          <w:rFonts w:ascii="Arial" w:cs="Arial" w:eastAsia="Arial" w:hAnsi="Arial"/>
          <w:sz w:val="17"/>
          <w:szCs w:val="17"/>
          <w:color w:val="auto"/>
        </w:rPr>
        <w:t>Many of the other biotechnology companies that we compete against for qualified personnel have greater financial and other resources, different risk profiles and a longer history in the industry than we do. They also may provide higher compensation,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product candidates will be limited and the potential for successfully growing our business will be harmed.</w:t>
      </w:r>
    </w:p>
    <w:p>
      <w:pPr>
        <w:spacing w:after="0" w:line="66" w:lineRule="exact"/>
        <w:rPr>
          <w:sz w:val="20"/>
          <w:szCs w:val="20"/>
          <w:color w:val="auto"/>
        </w:rPr>
      </w:pPr>
    </w:p>
    <w:p>
      <w:pPr>
        <w:ind w:right="40" w:firstLine="749"/>
        <w:spacing w:after="0" w:line="288" w:lineRule="auto"/>
        <w:rPr>
          <w:sz w:val="20"/>
          <w:szCs w:val="20"/>
          <w:color w:val="auto"/>
        </w:rPr>
      </w:pPr>
      <w:r>
        <w:rPr>
          <w:rFonts w:ascii="Arial" w:cs="Arial" w:eastAsia="Arial" w:hAnsi="Arial"/>
          <w:sz w:val="17"/>
          <w:szCs w:val="17"/>
          <w:color w:val="auto"/>
        </w:rPr>
        <w:t>Additionally, we rely on our scientific founders and other scientific and clinical advisors and consultants to assist us in formulating our research, development and clinical strategies. These advisors and consultants are not our employees and may have commitments to, or consulting or advisory contracts with, other entities that may limit their availability to us. In addition, these advisors and consultants typically will not enter into non-compete agreements with us. If a conflict of interest arises between their work for us and their work for another entity, we may lose their services. Furthermore, our advisors may have arrangements with other companies to assist those companies in developing products or technologies that may compete with ours. In particular, if we are unable to maintain consulting relationships with our scientific founders or if they provide services to our competitors, our development and commercialization efforts will be impaired and our business will be significantly harmed.</w:t>
      </w:r>
    </w:p>
    <w:p>
      <w:pPr>
        <w:spacing w:after="0" w:line="73" w:lineRule="exact"/>
        <w:rPr>
          <w:sz w:val="20"/>
          <w:szCs w:val="20"/>
          <w:color w:val="auto"/>
        </w:rPr>
      </w:pPr>
    </w:p>
    <w:p>
      <w:pPr>
        <w:spacing w:after="0" w:line="293" w:lineRule="auto"/>
        <w:rPr>
          <w:sz w:val="20"/>
          <w:szCs w:val="20"/>
          <w:color w:val="auto"/>
        </w:rPr>
      </w:pPr>
      <w:r>
        <w:rPr>
          <w:rFonts w:ascii="Arial" w:cs="Arial" w:eastAsia="Arial" w:hAnsi="Arial"/>
          <w:sz w:val="18"/>
          <w:szCs w:val="18"/>
          <w:b w:val="1"/>
          <w:bCs w:val="1"/>
          <w:i w:val="1"/>
          <w:iCs w:val="1"/>
          <w:color w:val="auto"/>
        </w:rPr>
        <w:t>If we are unable to establish sales or marketing capabilities or enter into agreements with third parties to sell or market our product candidates, we may not be able to successfully sell or market our product candidates that obtain regulatory approval.</w:t>
      </w:r>
    </w:p>
    <w:p>
      <w:pPr>
        <w:spacing w:after="0" w:line="62" w:lineRule="exact"/>
        <w:rPr>
          <w:sz w:val="20"/>
          <w:szCs w:val="20"/>
          <w:color w:val="auto"/>
        </w:rPr>
      </w:pPr>
    </w:p>
    <w:p>
      <w:pPr>
        <w:ind w:right="60" w:firstLine="749"/>
        <w:spacing w:after="0" w:line="275" w:lineRule="auto"/>
        <w:rPr>
          <w:sz w:val="20"/>
          <w:szCs w:val="20"/>
          <w:color w:val="auto"/>
        </w:rPr>
      </w:pPr>
      <w:r>
        <w:rPr>
          <w:rFonts w:ascii="Arial" w:cs="Arial" w:eastAsia="Arial" w:hAnsi="Arial"/>
          <w:sz w:val="18"/>
          <w:szCs w:val="18"/>
          <w:color w:val="auto"/>
        </w:rPr>
        <w:t>We currently do not have and have never had a marketing or sales team. In order to commercialize any product candidates, if approved, we must build marketing, sales, distribution, managerial and other non-technical capabilities or make arrangements with third parties to perform these services for each of the territories in which we may have approval to sell or market our product candidates. We may not be successful in accomplishing these required tasks.</w:t>
      </w:r>
    </w:p>
    <w:p>
      <w:pPr>
        <w:spacing w:after="0" w:line="77" w:lineRule="exact"/>
        <w:rPr>
          <w:sz w:val="20"/>
          <w:szCs w:val="20"/>
          <w:color w:val="auto"/>
        </w:rPr>
      </w:pPr>
    </w:p>
    <w:p>
      <w:pPr>
        <w:ind w:right="40" w:firstLine="749"/>
        <w:spacing w:after="0" w:line="305" w:lineRule="auto"/>
        <w:rPr>
          <w:sz w:val="20"/>
          <w:szCs w:val="20"/>
          <w:color w:val="auto"/>
        </w:rPr>
      </w:pPr>
      <w:r>
        <w:rPr>
          <w:rFonts w:ascii="Arial" w:cs="Arial" w:eastAsia="Arial" w:hAnsi="Arial"/>
          <w:sz w:val="16"/>
          <w:szCs w:val="16"/>
          <w:color w:val="auto"/>
        </w:rPr>
        <w:t>Establishing an internal sales or marketing team with technical expertise and supporting distribution capabilities to commercialize our product candidates will be expensive and time-consuming, and will require significant attention of our executive officers to manage. Any failure or delay in the development of our internal sales, marketing and distribution capabilities could adversely impact the commercialization of any of our product candidates that we obtain approval to market, if we do not have arrangements in place with third parties to provide such services on our behalf.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and such arrangements may prove to be less profitable than commercializing the product on our own.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unable to successfully commercialize our approved product candidates, either on our own or through collaborations with one or more third parties, our future product revenue will suffer, and we may incur significant additional losses.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53" w:name="page54"/>
    <w:bookmarkEnd w:id="53"/>
    <w:p>
      <w:pPr>
        <w:ind w:right="320"/>
        <w:spacing w:after="0" w:line="293" w:lineRule="auto"/>
        <w:rPr>
          <w:sz w:val="20"/>
          <w:szCs w:val="20"/>
          <w:color w:val="auto"/>
        </w:rPr>
      </w:pPr>
      <w:r>
        <w:rPr>
          <w:rFonts w:ascii="Arial" w:cs="Arial" w:eastAsia="Arial" w:hAnsi="Arial"/>
          <w:sz w:val="18"/>
          <w:szCs w:val="18"/>
          <w:b w:val="1"/>
          <w:bCs w:val="1"/>
          <w:i w:val="1"/>
          <w:iCs w:val="1"/>
          <w:color w:val="auto"/>
        </w:rPr>
        <w:t>In order to successfully implement our plans and strategies, we will need to grow the size of our organization, and we may experience difficulties in managing this growth.</w:t>
      </w:r>
    </w:p>
    <w:p>
      <w:pPr>
        <w:spacing w:after="0" w:line="62" w:lineRule="exact"/>
        <w:rPr>
          <w:sz w:val="20"/>
          <w:szCs w:val="20"/>
          <w:color w:val="auto"/>
        </w:rPr>
      </w:pPr>
    </w:p>
    <w:p>
      <w:pPr>
        <w:ind w:right="740" w:firstLine="749"/>
        <w:spacing w:after="0" w:line="329" w:lineRule="auto"/>
        <w:rPr>
          <w:sz w:val="20"/>
          <w:szCs w:val="20"/>
          <w:color w:val="auto"/>
        </w:rPr>
      </w:pPr>
      <w:r>
        <w:rPr>
          <w:rFonts w:ascii="Arial" w:cs="Arial" w:eastAsia="Arial" w:hAnsi="Arial"/>
          <w:sz w:val="16"/>
          <w:szCs w:val="16"/>
          <w:color w:val="auto"/>
        </w:rPr>
        <w:t>As of September 30, 2021, we had 74 full-time employees, including 52 employees engaged in research and development. In order to successfully implement our development and commercialization plans and strategies, we expect to need additional managerial, operational, sales, marketing, financial and other personnel. Future growth would impose significant added responsibilities on members of management, including:</w:t>
      </w:r>
    </w:p>
    <w:p>
      <w:pPr>
        <w:spacing w:after="0" w:line="40"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identifying, recruiting, integrating, maintaining and motivating additional employees;</w:t>
      </w:r>
    </w:p>
    <w:p>
      <w:pPr>
        <w:spacing w:after="0" w:line="131" w:lineRule="exact"/>
        <w:rPr>
          <w:sz w:val="20"/>
          <w:szCs w:val="20"/>
          <w:color w:val="auto"/>
        </w:rPr>
      </w:pPr>
    </w:p>
    <w:p>
      <w:pPr>
        <w:ind w:left="1200" w:right="40"/>
        <w:spacing w:after="0" w:line="279" w:lineRule="auto"/>
        <w:rPr>
          <w:sz w:val="20"/>
          <w:szCs w:val="20"/>
          <w:color w:val="auto"/>
        </w:rPr>
      </w:pPr>
      <w:r>
        <w:rPr>
          <w:rFonts w:ascii="Arial" w:cs="Arial" w:eastAsia="Arial" w:hAnsi="Arial"/>
          <w:sz w:val="18"/>
          <w:szCs w:val="18"/>
          <w:color w:val="auto"/>
        </w:rPr>
        <w:t>managing our internal development efforts effectively, including the clinical, FDA, EMA and other comparable foreign regulatory agencies’ review process for ORIC-101 and any other product candidates, while complying with any contractual obligations to contractors and other third parties we may have; and</w:t>
      </w:r>
    </w:p>
    <w:p>
      <w:pPr>
        <w:spacing w:after="0" w:line="7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improving our operational, financial and management controls, reporting systems and procedures.</w:t>
      </w:r>
    </w:p>
    <w:p>
      <w:pPr>
        <w:spacing w:after="0" w:line="131" w:lineRule="exact"/>
        <w:rPr>
          <w:sz w:val="20"/>
          <w:szCs w:val="20"/>
          <w:color w:val="auto"/>
        </w:rPr>
      </w:pPr>
    </w:p>
    <w:p>
      <w:pPr>
        <w:ind w:right="340" w:firstLine="749"/>
        <w:spacing w:after="0" w:line="329" w:lineRule="auto"/>
        <w:rPr>
          <w:sz w:val="20"/>
          <w:szCs w:val="20"/>
          <w:color w:val="auto"/>
        </w:rPr>
      </w:pPr>
      <w:r>
        <w:rPr>
          <w:rFonts w:ascii="Arial" w:cs="Arial" w:eastAsia="Arial" w:hAnsi="Arial"/>
          <w:sz w:val="16"/>
          <w:szCs w:val="16"/>
          <w:color w:val="auto"/>
        </w:rPr>
        <w:t>Our future financial performance and our ability to successfully develop and, if approved, commercialize ORIC-101 and other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40" w:lineRule="exact"/>
        <w:rPr>
          <w:sz w:val="20"/>
          <w:szCs w:val="20"/>
          <w:color w:val="auto"/>
        </w:rPr>
      </w:pPr>
    </w:p>
    <w:p>
      <w:pPr>
        <w:ind w:right="160" w:firstLine="749"/>
        <w:spacing w:after="0" w:line="309" w:lineRule="auto"/>
        <w:rPr>
          <w:sz w:val="20"/>
          <w:szCs w:val="20"/>
          <w:color w:val="auto"/>
        </w:rPr>
      </w:pPr>
      <w:r>
        <w:rPr>
          <w:rFonts w:ascii="Arial" w:cs="Arial" w:eastAsia="Arial" w:hAnsi="Arial"/>
          <w:sz w:val="16"/>
          <w:szCs w:val="16"/>
          <w:color w:val="auto"/>
        </w:rPr>
        <w:t>We currently rely, and for the foreseeable future will continue to rely, in substantial part on certain independent organizations, advisors and consultants to provide certain services, including key aspects of clinical development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 party service providers is compromised for any reason, our clinical trials may be extended, delayed or terminated, and we may not be able to obtain marketing approval of ORIC-101 and any other product candidates or otherwise advance our business. We cannot assure you that we will be able to manage our existing third-party service providers or find other competent outside contractors and consultants on economically reasonable terms, or at all.</w:t>
      </w:r>
    </w:p>
    <w:p>
      <w:pPr>
        <w:spacing w:after="0" w:line="56" w:lineRule="exact"/>
        <w:rPr>
          <w:sz w:val="20"/>
          <w:szCs w:val="20"/>
          <w:color w:val="auto"/>
        </w:rPr>
      </w:pPr>
    </w:p>
    <w:p>
      <w:pPr>
        <w:ind w:right="200" w:firstLine="749"/>
        <w:spacing w:after="0" w:line="279" w:lineRule="auto"/>
        <w:rPr>
          <w:sz w:val="20"/>
          <w:szCs w:val="20"/>
          <w:color w:val="auto"/>
        </w:rPr>
      </w:pPr>
      <w:r>
        <w:rPr>
          <w:rFonts w:ascii="Arial" w:cs="Arial" w:eastAsia="Arial" w:hAnsi="Arial"/>
          <w:sz w:val="18"/>
          <w:szCs w:val="18"/>
          <w:color w:val="auto"/>
        </w:rPr>
        <w:t>If we are not able to effectively expand our organization by hiring new employees and/or engaging additional third-party service providers, we may not be able to successfully implement the tasks necessary to further develop and commercialize ORIC-101 and other product candidates and, accordingly, may not achieve our research, development and commercialization goals.</w:t>
      </w:r>
    </w:p>
    <w:p>
      <w:pPr>
        <w:spacing w:after="0" w:line="75" w:lineRule="exact"/>
        <w:rPr>
          <w:sz w:val="20"/>
          <w:szCs w:val="20"/>
          <w:color w:val="auto"/>
        </w:rPr>
      </w:pPr>
    </w:p>
    <w:p>
      <w:pPr>
        <w:jc w:val="both"/>
        <w:ind w:right="260"/>
        <w:spacing w:after="0" w:line="275" w:lineRule="auto"/>
        <w:rPr>
          <w:sz w:val="20"/>
          <w:szCs w:val="20"/>
          <w:color w:val="auto"/>
        </w:rPr>
      </w:pPr>
      <w:r>
        <w:rPr>
          <w:rFonts w:ascii="Arial" w:cs="Arial" w:eastAsia="Arial" w:hAnsi="Arial"/>
          <w:sz w:val="18"/>
          <w:szCs w:val="18"/>
          <w:b w:val="1"/>
          <w:bCs w:val="1"/>
          <w:i w:val="1"/>
          <w:iCs w:val="1"/>
          <w:color w:val="auto"/>
        </w:rPr>
        <w:t>Our internal computer systems, or those of any of our CROs, manufacturers, other contractors or consultants or potential future collaborators, may fail or suffer security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77" w:lineRule="exact"/>
        <w:rPr>
          <w:sz w:val="20"/>
          <w:szCs w:val="20"/>
          <w:color w:val="auto"/>
        </w:rPr>
      </w:pPr>
    </w:p>
    <w:p>
      <w:pPr>
        <w:ind w:firstLine="749"/>
        <w:spacing w:after="0" w:line="302" w:lineRule="auto"/>
        <w:rPr>
          <w:sz w:val="20"/>
          <w:szCs w:val="20"/>
          <w:color w:val="auto"/>
        </w:rPr>
      </w:pPr>
      <w:r>
        <w:rPr>
          <w:rFonts w:ascii="Arial" w:cs="Arial" w:eastAsia="Arial" w:hAnsi="Arial"/>
          <w:sz w:val="16"/>
          <w:szCs w:val="16"/>
          <w:color w:val="auto"/>
        </w:rPr>
        <w:t>Despite the implementation of security measures in an effort to protect systems that store our information, given their size and complexity and the increasing amounts of information maintained on our internal information technology systems, and those of our third-party CROs, other contractors (including sites performing our clinical trials) and consultants, these systems are potentially vulnerable to breakdown or other damage or interruption from service interruptions, system malfunction, natural disasters, terrorism, war and telecommunication and electrical failures, as well as security breaches from inadvertent or intentional actions by our employees,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 which may compromise our system infrastructure or lead to the loss, destruction, alteration, disclosure, or dissemination of, or damage or unauthorized access to, our data or data that is processed or maintained on our behalf, or other assets. For example, we have received phishing attacks, and companies have experienced an increase in phishing and social engineering attacks from third parties in connection with the COVID-19 pandemic, and the increase in remote working further increases security threats. To the extent that any disruption or security breach were to result in any loss, destruction, unavailability, alteration, disclosure, or dissemination of, or damage to or unauthorized access, our applications, any other data processed or maintained on our behalf, or other assets, or for it to be believed or reported that any of these occurred, we could incur liability, financial harm and reputational damage and the development and commercialization of our product candidates could be delayed. We cannot assure you that our data protection efforts and our investment in information technology, or the efforts or investments of CROs, consultants or other third parties, will prevent significant breakdowns or breaches in systems or other cyber incidents that cause loss, destruction, unavailability, alteration or dissemination of, or damage or unauthorized access to, our data and other data processed or maintained on our behalf or other assets that could have a material adverse effect upon our reputation, business, operations or financial condition. For example, if such an event were to occur and cause interruptions in our operations, it could result in a material disruption of our programs and the development of our product candidates could be delayed. In addition, the loss of clinical trial data for our product candidates could result in delays in our marketing approval efforts and significantly increase our costs to recover or reproduce the data. Furthermore, significant disruptions of our internal information technology systems or security breaches could result in the loss, misappropriation, and/or unauthorized access, use, or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54" w:name="page55"/>
    <w:bookmarkEnd w:id="54"/>
    <w:p>
      <w:pPr>
        <w:ind w:right="80"/>
        <w:spacing w:after="0" w:line="288" w:lineRule="auto"/>
        <w:rPr>
          <w:sz w:val="20"/>
          <w:szCs w:val="20"/>
          <w:color w:val="auto"/>
        </w:rPr>
      </w:pPr>
      <w:r>
        <w:rPr>
          <w:rFonts w:ascii="Arial" w:cs="Arial" w:eastAsia="Arial" w:hAnsi="Arial"/>
          <w:sz w:val="17"/>
          <w:szCs w:val="17"/>
          <w:color w:val="auto"/>
        </w:rPr>
        <w:t>disclosure or dissemination of, or the prevention of access to, data (including trade secrets or other confidential information, intellectual property, proprietary business information, and personal information), which could result in financial, legal, business, and reputational harm to us. For example, any such event that leads to loss, damage, or unauthorized access to, or use, alteration, or disclosure or dissemination of, personal information, including personal information regarding our clinical trial subjects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spacing w:after="0" w:line="73" w:lineRule="exact"/>
        <w:rPr>
          <w:sz w:val="20"/>
          <w:szCs w:val="20"/>
          <w:color w:val="auto"/>
        </w:rPr>
      </w:pPr>
    </w:p>
    <w:p>
      <w:pPr>
        <w:ind w:right="20" w:firstLine="749"/>
        <w:spacing w:after="0" w:line="286" w:lineRule="auto"/>
        <w:rPr>
          <w:sz w:val="20"/>
          <w:szCs w:val="20"/>
          <w:color w:val="auto"/>
        </w:rPr>
      </w:pPr>
      <w:r>
        <w:rPr>
          <w:rFonts w:ascii="Arial" w:cs="Arial" w:eastAsia="Arial" w:hAnsi="Arial"/>
          <w:sz w:val="17"/>
          <w:szCs w:val="17"/>
          <w:color w:val="auto"/>
        </w:rPr>
        <w:t>Notifications and follow-up actions related to a security incident could impact our reputation and cause us to incur significant costs, including legal expenses and remediation costs. For example, the loss of clinical trial data from completed or future clinical trials could result in delays in our regulatory approval efforts and significantly increase our costs to recover or reproduce the lost data. We expect to incur significant costs in an effort to detect and prevent security incidents, and we may face increased costs and requirements to expend substantial resources in the event of an actual or perceived security breach. We also rely on third parties to manufacture our product candidates, and similar events relating to their computer systems could also have a material adverse effect on our business. To the extent that any disruption or security incident were to result in any loss, destruction, or alteration of, or damage or unauthorized access to, our data or other information that is processed or maintained on or behalf, or inappropriate disclosure or dissemination of any such information, we could be exposed to litigation and governmental investigations, the further development and commercialization of our product candidates could be delayed, and we could be subject to significant fines or penalties for any noncompliance with certain state, federal and/or international privacy and security laws.</w:t>
      </w:r>
    </w:p>
    <w:p>
      <w:pPr>
        <w:spacing w:after="0" w:line="74" w:lineRule="exact"/>
        <w:rPr>
          <w:sz w:val="20"/>
          <w:szCs w:val="20"/>
          <w:color w:val="auto"/>
        </w:rPr>
      </w:pPr>
    </w:p>
    <w:p>
      <w:pPr>
        <w:ind w:right="240" w:firstLine="749"/>
        <w:spacing w:after="0" w:line="319" w:lineRule="auto"/>
        <w:rPr>
          <w:sz w:val="20"/>
          <w:szCs w:val="20"/>
          <w:color w:val="auto"/>
        </w:rPr>
      </w:pPr>
      <w:r>
        <w:rPr>
          <w:rFonts w:ascii="Arial" w:cs="Arial" w:eastAsia="Arial" w:hAnsi="Arial"/>
          <w:sz w:val="16"/>
          <w:szCs w:val="16"/>
          <w:color w:val="auto"/>
        </w:rPr>
        <w:t>Our insurance policies may not be adequate to compensate us for the potential losses arising from any such disruption in or, failure or security breach of our systems or third-party systems where information important to our business operations or commercial development is stored.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48" w:lineRule="exact"/>
        <w:rPr>
          <w:sz w:val="20"/>
          <w:szCs w:val="20"/>
          <w:color w:val="auto"/>
        </w:rPr>
      </w:pPr>
    </w:p>
    <w:p>
      <w:pPr>
        <w:ind w:right="440"/>
        <w:spacing w:after="0" w:line="293" w:lineRule="auto"/>
        <w:rPr>
          <w:sz w:val="20"/>
          <w:szCs w:val="20"/>
          <w:color w:val="auto"/>
        </w:rPr>
      </w:pPr>
      <w:r>
        <w:rPr>
          <w:rFonts w:ascii="Arial" w:cs="Arial" w:eastAsia="Arial" w:hAnsi="Arial"/>
          <w:sz w:val="18"/>
          <w:szCs w:val="18"/>
          <w:b w:val="1"/>
          <w:bCs w:val="1"/>
          <w:i w:val="1"/>
          <w:iCs w:val="1"/>
          <w:color w:val="auto"/>
        </w:rPr>
        <w:t>Our operations are vulnerable to interruption by fire, earthquakes, power loss, telecommunications failure, terrorist activity, pandemics and other events beyond our control, which could harm our business.</w:t>
      </w:r>
    </w:p>
    <w:p>
      <w:pPr>
        <w:spacing w:after="0" w:line="62" w:lineRule="exact"/>
        <w:rPr>
          <w:sz w:val="20"/>
          <w:szCs w:val="20"/>
          <w:color w:val="auto"/>
        </w:rPr>
      </w:pPr>
    </w:p>
    <w:p>
      <w:pPr>
        <w:ind w:firstLine="749"/>
        <w:spacing w:after="0" w:line="272" w:lineRule="auto"/>
        <w:rPr>
          <w:sz w:val="20"/>
          <w:szCs w:val="20"/>
          <w:color w:val="auto"/>
        </w:rPr>
      </w:pPr>
      <w:r>
        <w:rPr>
          <w:rFonts w:ascii="Arial" w:cs="Arial" w:eastAsia="Arial" w:hAnsi="Arial"/>
          <w:sz w:val="18"/>
          <w:szCs w:val="18"/>
          <w:color w:val="auto"/>
        </w:rPr>
        <w:t>Our facilities are located in California. We have not undertaken a systematic analysis of the potential consequences to our business and financial results from a major flood, fire, earthquake, power loss, terrorist activity, pandemics or other disasters and do not have a recovery plan for such disasters. In addition, we do not carry sufficient insurance to compensate us for actual losses from interruption of our business that may occur, and any losses or damages incurred by us could harm our business. The occurrence of any of these business disruptions could seriously harm our operations and financial condition and increase our costs and expenses.</w:t>
      </w:r>
    </w:p>
    <w:p>
      <w:pPr>
        <w:spacing w:after="0" w:line="83" w:lineRule="exact"/>
        <w:rPr>
          <w:sz w:val="20"/>
          <w:szCs w:val="20"/>
          <w:color w:val="auto"/>
        </w:rPr>
      </w:pPr>
    </w:p>
    <w:p>
      <w:pPr>
        <w:ind w:right="300"/>
        <w:spacing w:after="0" w:line="293" w:lineRule="auto"/>
        <w:rPr>
          <w:sz w:val="20"/>
          <w:szCs w:val="20"/>
          <w:color w:val="auto"/>
        </w:rPr>
      </w:pPr>
      <w:r>
        <w:rPr>
          <w:rFonts w:ascii="Arial" w:cs="Arial" w:eastAsia="Arial" w:hAnsi="Arial"/>
          <w:sz w:val="18"/>
          <w:szCs w:val="18"/>
          <w:b w:val="1"/>
          <w:bCs w:val="1"/>
          <w:i w:val="1"/>
          <w:iCs w:val="1"/>
          <w:color w:val="auto"/>
        </w:rPr>
        <w:t>Our Chief Financial Officer and Chief Business Officer were subpoenaed for information by the Securities and Exchange Commission on a matter unrelated to ORIC.</w:t>
      </w:r>
    </w:p>
    <w:p>
      <w:pPr>
        <w:spacing w:after="0" w:line="62" w:lineRule="exact"/>
        <w:rPr>
          <w:sz w:val="20"/>
          <w:szCs w:val="20"/>
          <w:color w:val="auto"/>
        </w:rPr>
      </w:pPr>
    </w:p>
    <w:p>
      <w:pPr>
        <w:ind w:right="40" w:firstLine="749"/>
        <w:spacing w:after="0" w:line="290" w:lineRule="auto"/>
        <w:rPr>
          <w:sz w:val="20"/>
          <w:szCs w:val="20"/>
          <w:color w:val="auto"/>
        </w:rPr>
      </w:pPr>
      <w:r>
        <w:rPr>
          <w:rFonts w:ascii="Arial" w:cs="Arial" w:eastAsia="Arial" w:hAnsi="Arial"/>
          <w:sz w:val="17"/>
          <w:szCs w:val="17"/>
          <w:color w:val="auto"/>
        </w:rPr>
        <w:t>Our Chief Financial Officer and Chief Business Officer each received subpoenas for documents and information, in their personal capacities, from the SEC in March and April 2020 related to an SEC investigation into the trading of securities of certain other companies. On August 17, 2021, our Chief Financial Officer received a letter from the SEC indicating that the SEC had concluded its investigation as to him without recommending further action. On the same date, the SEC filed a civil enforcement action against our Chief Business Officer. The SEC’s civil enforcement action may become time consuming and distracting for our Chief Business Officer, and if such action is successful, he could be subject to fines, penalties and the imposition of restrictive sanctions that may affect his ability to serve as an officer of our company.</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utilize our net operating loss carryforwards and certain other tax attributes to offset future taxable income may be limited.</w:t>
      </w:r>
    </w:p>
    <w:p>
      <w:pPr>
        <w:spacing w:after="0" w:line="142" w:lineRule="exact"/>
        <w:rPr>
          <w:sz w:val="20"/>
          <w:szCs w:val="20"/>
          <w:color w:val="auto"/>
        </w:rPr>
      </w:pPr>
    </w:p>
    <w:p>
      <w:pPr>
        <w:ind w:right="80" w:firstLine="749"/>
        <w:spacing w:after="0" w:line="287" w:lineRule="auto"/>
        <w:rPr>
          <w:sz w:val="20"/>
          <w:szCs w:val="20"/>
          <w:color w:val="auto"/>
        </w:rPr>
      </w:pPr>
      <w:r>
        <w:rPr>
          <w:rFonts w:ascii="Arial" w:cs="Arial" w:eastAsia="Arial" w:hAnsi="Arial"/>
          <w:sz w:val="17"/>
          <w:szCs w:val="17"/>
          <w:color w:val="auto"/>
        </w:rPr>
        <w:t>Our net operating loss (NOL) carryforwards may be unavailable to offset future taxable income because of restrictions under U.S. tax law. Our NOLs generated in tax years beginning prior to January 1, 2018 are only permitted to be carried forward for 20 taxable years under applicable U.S. federal tax law, and therefore could expire unused. Under tax legislation commonly referred to as the Tax Cuts and Jobs Act (Tax Act) as amended by the Coronavirus Aid, Relief, and Economic Security Act (CARES Act), our federal NOLs generated in tax years beginning after December 31, 2017 may be carried forward indefinitely, but for taxable years beginning after December 31, 2020, the deductibility of federal NOLs generated in tax years beginning after December 31, 2017 is limited to 80% of our current year taxable income. As of December 31, 2020, we had available NOL carryforwards of $130.8 million, of which $89.2 million do not expire. We also have available California NOL carryforwards of approximately $132.0 million as of December 31, 2020, which begin to expire in 2034 and are subject to limitation on use.</w:t>
      </w:r>
    </w:p>
    <w:p>
      <w:pPr>
        <w:spacing w:after="0" w:line="74" w:lineRule="exact"/>
        <w:rPr>
          <w:sz w:val="20"/>
          <w:szCs w:val="20"/>
          <w:color w:val="auto"/>
        </w:rPr>
      </w:pPr>
    </w:p>
    <w:p>
      <w:pPr>
        <w:jc w:val="both"/>
        <w:ind w:right="280" w:firstLine="749"/>
        <w:spacing w:after="0" w:line="279" w:lineRule="auto"/>
        <w:rPr>
          <w:sz w:val="20"/>
          <w:szCs w:val="20"/>
          <w:color w:val="auto"/>
        </w:rPr>
      </w:pPr>
      <w:r>
        <w:rPr>
          <w:rFonts w:ascii="Arial" w:cs="Arial" w:eastAsia="Arial" w:hAnsi="Arial"/>
          <w:sz w:val="18"/>
          <w:szCs w:val="18"/>
          <w:color w:val="auto"/>
        </w:rPr>
        <w:t>In addition, under Sections 382 and 383 of the Internal Revenue Code of 1986, as amended (Code), if a corporation undergoes an “ownership change” (generally defined as a cumulative change in the corporation’s ownership by “5-percent shareholders” that exceeds 50 percentage points over a rolling three-year period), the corporation’s ability to use its pre-change NOLs</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55" w:name="page56"/>
    <w:bookmarkEnd w:id="55"/>
    <w:p>
      <w:pPr>
        <w:spacing w:after="0" w:line="271" w:lineRule="auto"/>
        <w:rPr>
          <w:sz w:val="20"/>
          <w:szCs w:val="20"/>
          <w:color w:val="auto"/>
        </w:rPr>
      </w:pPr>
      <w:r>
        <w:rPr>
          <w:rFonts w:ascii="Arial" w:cs="Arial" w:eastAsia="Arial" w:hAnsi="Arial"/>
          <w:sz w:val="18"/>
          <w:szCs w:val="18"/>
          <w:color w:val="auto"/>
        </w:rPr>
        <w:t>and certain other pre-change tax attributes to offset its post-change taxable income may be limited. Similar rules may apply under state tax laws. We may have experienced such ownership changes in the past, and we may experience ownership changes in the future as a result of shifts in our stock ownership, some of which are outside our control. We have not conducted any studies to determine annual limitations, if any, that could result from such changes in the ownership. Our ability to utilize our NOLs and certain other tax attributes could be limited by an “ownership change” as described above and consequently, we may not be able to utilize a material portion of our NOLs and certain other tax attributes, which could have a material adverse effect on our cash flows and results of operations.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 reform could materially adversely affect our company.</w:t>
      </w:r>
    </w:p>
    <w:p>
      <w:pPr>
        <w:spacing w:after="0" w:line="131" w:lineRule="exact"/>
        <w:rPr>
          <w:sz w:val="20"/>
          <w:szCs w:val="20"/>
          <w:color w:val="auto"/>
        </w:rPr>
      </w:pPr>
    </w:p>
    <w:p>
      <w:pPr>
        <w:ind w:right="20" w:firstLine="749"/>
        <w:spacing w:after="0" w:line="304" w:lineRule="auto"/>
        <w:rPr>
          <w:sz w:val="20"/>
          <w:szCs w:val="20"/>
          <w:color w:val="auto"/>
        </w:rPr>
      </w:pPr>
      <w:r>
        <w:rPr>
          <w:rFonts w:ascii="Arial" w:cs="Arial" w:eastAsia="Arial" w:hAnsi="Arial"/>
          <w:sz w:val="16"/>
          <w:szCs w:val="16"/>
          <w:color w:val="auto"/>
        </w:rPr>
        <w:t>Recent legislation commonly known as the Tax Act, significantly revises the Code. The Tax Act, as amended by the CARES Act, among other things, reduces the corporate tax rate from a top marginal rate of 35% to a flat rate of 21%, repeals the alternative minimum tax for corporations, limits the tax deduction for interest expense to 30% (50% for taxable years beginning in 2019 or 2020) of adjusted taxable income (except for certain small businesses), limits the deduction in taxable years beginning after December 31, 2020, for NOLs carried forward from taxable years beginning after December 31, 2017, eliminates net operating loss carrybacks for NOLs generated in taxable years beginning after December 31, 2020, and modifies or repeals many business deductions and credits. Our financial statements included elsewhere in this periodic report reflect the effects of the Tax Act based on current guidance. However, there remain uncertainties and ambiguities in the application of certain provisions of the Tax Act and, as a result, we made certain judgments and assumptions in the interpretation thereof. The U.S. Treasury Department and the Internal Revenue Service, or the IRS, may issue further guidance on how the provisions of the Tax Act will be applied or otherwise administered, which may differ from our current interpretation. In addition, the Tax Act could be subject to potential amendments and technical corrections, any of which could materially lessen or increase certain adverse impacts of the legislation on us. Additionally, the new administration in the United States and congressional decisions made in the near future may result in increased corporate tax. For example, President Biden has proposed increasing the corporate tax rate to 28%. If enacted, such legislation may increase the amount of tax we may owe in future taxable years, which may adversely impact our business.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variety of risks associated with marketing our product candidates internationally could materially adversely affect our business.</w:t>
      </w:r>
    </w:p>
    <w:p>
      <w:pPr>
        <w:spacing w:after="0" w:line="131" w:lineRule="exact"/>
        <w:rPr>
          <w:sz w:val="20"/>
          <w:szCs w:val="20"/>
          <w:color w:val="auto"/>
        </w:rPr>
      </w:pPr>
    </w:p>
    <w:p>
      <w:pPr>
        <w:ind w:right="240" w:firstLine="749"/>
        <w:spacing w:after="0" w:line="293" w:lineRule="auto"/>
        <w:rPr>
          <w:sz w:val="20"/>
          <w:szCs w:val="20"/>
          <w:color w:val="auto"/>
        </w:rPr>
      </w:pPr>
      <w:r>
        <w:rPr>
          <w:rFonts w:ascii="Arial" w:cs="Arial" w:eastAsia="Arial" w:hAnsi="Arial"/>
          <w:sz w:val="18"/>
          <w:szCs w:val="18"/>
          <w:color w:val="auto"/>
        </w:rPr>
        <w:t>We may seek regulatory approval of our product candidates outside of the United States and, accordingly, we expect that we will be subject to additional risks related to operating in foreign countries if we obtain the necessary approvals, including:</w:t>
      </w:r>
    </w:p>
    <w:p>
      <w:pPr>
        <w:spacing w:after="0" w:line="6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differing regulatory requirements and reimbursement regimes in foreign countries;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unexpected changes in tariffs, trade barriers, price and exchange controls and other regulatory requirements;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compliance with tax, employment, immigration and labor laws for employees living or traveling abroad;</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foreign taxes, including withholding of payroll taxes;</w:t>
      </w:r>
    </w:p>
    <w:p>
      <w:pPr>
        <w:spacing w:after="0" w:line="131" w:lineRule="exact"/>
        <w:rPr>
          <w:sz w:val="20"/>
          <w:szCs w:val="20"/>
          <w:color w:val="auto"/>
        </w:rPr>
      </w:pPr>
    </w:p>
    <w:p>
      <w:pPr>
        <w:ind w:left="1200" w:right="240"/>
        <w:spacing w:after="0" w:line="293" w:lineRule="auto"/>
        <w:rPr>
          <w:sz w:val="20"/>
          <w:szCs w:val="20"/>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6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difficulties staffing and managing foreign operations;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workforce uncertainty in countries where labor unrest is more common than in the United States;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potential liability under the FCPA or comparable foreign regulations;</w:t>
      </w:r>
    </w:p>
    <w:p>
      <w:pPr>
        <w:spacing w:after="0" w:line="131" w:lineRule="exact"/>
        <w:rPr>
          <w:sz w:val="20"/>
          <w:szCs w:val="20"/>
          <w:color w:val="auto"/>
        </w:rPr>
      </w:pPr>
    </w:p>
    <w:p>
      <w:pPr>
        <w:ind w:left="1200" w:right="240"/>
        <w:spacing w:after="0" w:line="293" w:lineRule="auto"/>
        <w:rPr>
          <w:sz w:val="20"/>
          <w:szCs w:val="20"/>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62" w:lineRule="exact"/>
        <w:rPr>
          <w:sz w:val="20"/>
          <w:szCs w:val="20"/>
          <w:color w:val="auto"/>
        </w:rPr>
      </w:pPr>
    </w:p>
    <w:p>
      <w:pPr>
        <w:ind w:left="1200" w:right="1440"/>
        <w:spacing w:after="0" w:line="391" w:lineRule="auto"/>
        <w:rPr>
          <w:sz w:val="20"/>
          <w:szCs w:val="20"/>
          <w:color w:val="auto"/>
        </w:rPr>
      </w:pPr>
      <w:r>
        <w:rPr>
          <w:rFonts w:ascii="Arial" w:cs="Arial" w:eastAsia="Arial" w:hAnsi="Arial"/>
          <w:sz w:val="18"/>
          <w:szCs w:val="18"/>
          <w:color w:val="auto"/>
        </w:rPr>
        <w:t>production shortages resulting from any events affecting raw material supply or manufacturing capabilities abroad; and business interruptions resulting from geo-political actions, including war and terrorism.</w:t>
      </w:r>
    </w:p>
    <w:p>
      <w:pPr>
        <w:spacing w:after="0" w:line="1" w:lineRule="exact"/>
        <w:rPr>
          <w:sz w:val="20"/>
          <w:szCs w:val="20"/>
          <w:color w:val="auto"/>
        </w:rPr>
      </w:pPr>
    </w:p>
    <w:p>
      <w:pPr>
        <w:ind w:right="400" w:firstLine="749"/>
        <w:spacing w:after="0" w:line="293" w:lineRule="auto"/>
        <w:rPr>
          <w:sz w:val="20"/>
          <w:szCs w:val="20"/>
          <w:color w:val="auto"/>
        </w:rPr>
      </w:pPr>
      <w:r>
        <w:rPr>
          <w:rFonts w:ascii="Arial" w:cs="Arial" w:eastAsia="Arial" w:hAnsi="Arial"/>
          <w:sz w:val="18"/>
          <w:szCs w:val="18"/>
          <w:color w:val="auto"/>
        </w:rPr>
        <w:t>These and other risks associated with our international operations may materially adversely affect our ability to attain or maintain profitable operations.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on our ability to protect our intellectual property and our proprietary technologies.</w:t>
      </w:r>
    </w:p>
    <w:p>
      <w:pPr>
        <w:spacing w:after="0" w:line="131" w:lineRule="exact"/>
        <w:rPr>
          <w:sz w:val="20"/>
          <w:szCs w:val="20"/>
          <w:color w:val="auto"/>
        </w:rPr>
      </w:pPr>
    </w:p>
    <w:p>
      <w:pPr>
        <w:ind w:right="140" w:firstLine="749"/>
        <w:spacing w:after="0" w:line="272" w:lineRule="auto"/>
        <w:rPr>
          <w:sz w:val="20"/>
          <w:szCs w:val="20"/>
          <w:color w:val="auto"/>
        </w:rPr>
      </w:pPr>
      <w:r>
        <w:rPr>
          <w:rFonts w:ascii="Arial" w:cs="Arial" w:eastAsia="Arial" w:hAnsi="Arial"/>
          <w:sz w:val="18"/>
          <w:szCs w:val="18"/>
          <w:color w:val="auto"/>
        </w:rPr>
        <w:t>Our commercial success depends in part on our ability to obtain and maintain patent protection and trade secret protection for our product candidates, proprietary technologies and their uses as well as our ability to operate without infringing upon the proprietary rights of others. We generally seek to protect our proprietary position by filing patent applications in the United States and abroad related to our product candidates, proprietary technologies and their uses that are important to our business. We also seek to protect our proprietary position by acquiring or in-licensing relevant issued patents or pending applications from third parties.</w:t>
      </w:r>
    </w:p>
    <w:p>
      <w:pPr>
        <w:spacing w:after="0" w:line="83" w:lineRule="exact"/>
        <w:rPr>
          <w:sz w:val="20"/>
          <w:szCs w:val="20"/>
          <w:color w:val="auto"/>
        </w:rPr>
      </w:pPr>
    </w:p>
    <w:p>
      <w:pPr>
        <w:ind w:right="60" w:firstLine="749"/>
        <w:spacing w:after="0" w:line="272" w:lineRule="auto"/>
        <w:rPr>
          <w:sz w:val="20"/>
          <w:szCs w:val="20"/>
          <w:color w:val="auto"/>
        </w:rPr>
      </w:pPr>
      <w:r>
        <w:rPr>
          <w:rFonts w:ascii="Arial" w:cs="Arial" w:eastAsia="Arial" w:hAnsi="Arial"/>
          <w:sz w:val="18"/>
          <w:szCs w:val="18"/>
          <w:color w:val="auto"/>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or the patent applications of our licensors will result in additional patents being issued or that issued patents will afford sufficient protection against competitors with similar technology, nor can there be any assurance that the patents issued will not be infringed, designed around or invalidated by third parties.</w:t>
      </w:r>
    </w:p>
    <w:p>
      <w:pPr>
        <w:spacing w:after="0" w:line="83" w:lineRule="exact"/>
        <w:rPr>
          <w:sz w:val="20"/>
          <w:szCs w:val="20"/>
          <w:color w:val="auto"/>
        </w:rPr>
      </w:pPr>
    </w:p>
    <w:p>
      <w:pPr>
        <w:ind w:right="40" w:firstLine="749"/>
        <w:spacing w:after="0" w:line="272" w:lineRule="auto"/>
        <w:rPr>
          <w:sz w:val="20"/>
          <w:szCs w:val="20"/>
          <w:color w:val="auto"/>
        </w:rPr>
      </w:pPr>
      <w:r>
        <w:rPr>
          <w:rFonts w:ascii="Arial" w:cs="Arial" w:eastAsia="Arial" w:hAnsi="Arial"/>
          <w:sz w:val="18"/>
          <w:szCs w:val="18"/>
          <w:color w:val="auto"/>
        </w:rPr>
        <w:t>Even issued patents may later be found invalid or unenforceable or may be modified or revoked in proceedings instituted by third parties before various patent offices or in courts. The degree of future protection for our and our licensors’ proprietary rights is uncertain. Only limited protection may be available and may not adequately protect our rights or permit us to gain or keep any competitive advantage. These uncertainties and/or limitations in our ability to properly protect the intellectual property rights relating to our product candidates could have a material adverse effect on our financial condition and results of operations.</w:t>
      </w:r>
    </w:p>
    <w:p>
      <w:pPr>
        <w:spacing w:after="0" w:line="83" w:lineRule="exact"/>
        <w:rPr>
          <w:sz w:val="20"/>
          <w:szCs w:val="20"/>
          <w:color w:val="auto"/>
        </w:rPr>
      </w:pPr>
    </w:p>
    <w:p>
      <w:pPr>
        <w:ind w:firstLine="749"/>
        <w:spacing w:after="0" w:line="272" w:lineRule="auto"/>
        <w:rPr>
          <w:sz w:val="20"/>
          <w:szCs w:val="20"/>
          <w:color w:val="auto"/>
        </w:rPr>
      </w:pPr>
      <w:r>
        <w:rPr>
          <w:rFonts w:ascii="Arial" w:cs="Arial" w:eastAsia="Arial" w:hAnsi="Arial"/>
          <w:sz w:val="18"/>
          <w:szCs w:val="18"/>
          <w:color w:val="auto"/>
        </w:rPr>
        <w:t>Although as of September 30, 2021 we owned eight and licensed three issued patents in the United States, we cannot be certain that the claims in our other U.S. pending patent applications, corresponding international patent applications and patent applications in certain foreign territories, or those of our licensors, will be considered patentable by the United States Patent and Trademark Office (USPTO), courts in the United States or by the patent offices and courts in foreign countries, nor can we be certain that the claims in our issued or licensed patents will not be found invalid or unenforceable if challenged.</w:t>
      </w:r>
    </w:p>
    <w:p>
      <w:pPr>
        <w:spacing w:after="0" w:line="83" w:lineRule="exact"/>
        <w:rPr>
          <w:sz w:val="20"/>
          <w:szCs w:val="20"/>
          <w:color w:val="auto"/>
        </w:rPr>
      </w:pPr>
    </w:p>
    <w:p>
      <w:pPr>
        <w:ind w:firstLine="749"/>
        <w:spacing w:after="0" w:line="279" w:lineRule="auto"/>
        <w:rPr>
          <w:sz w:val="20"/>
          <w:szCs w:val="20"/>
          <w:color w:val="auto"/>
        </w:rPr>
      </w:pPr>
      <w:r>
        <w:rPr>
          <w:rFonts w:ascii="Arial" w:cs="Arial" w:eastAsia="Arial" w:hAnsi="Arial"/>
          <w:sz w:val="18"/>
          <w:szCs w:val="18"/>
          <w:color w:val="auto"/>
        </w:rPr>
        <w:t>The patent application process is subject to numerous risks and uncertainties, and there can be no assurance that we or any of our potential future collaborators will be successful in protecting our product candidates by obtaining and defending patents. These risks and uncertainties include the following:</w:t>
      </w:r>
    </w:p>
    <w:p>
      <w:pPr>
        <w:spacing w:after="0" w:line="75" w:lineRule="exact"/>
        <w:rPr>
          <w:sz w:val="20"/>
          <w:szCs w:val="20"/>
          <w:color w:val="auto"/>
        </w:rPr>
      </w:pPr>
    </w:p>
    <w:p>
      <w:pPr>
        <w:ind w:left="1200" w:right="20"/>
        <w:spacing w:after="0" w:line="303" w:lineRule="auto"/>
        <w:rPr>
          <w:sz w:val="20"/>
          <w:szCs w:val="20"/>
          <w:color w:val="auto"/>
        </w:rPr>
      </w:pPr>
      <w:r>
        <w:rPr>
          <w:rFonts w:ascii="Arial" w:cs="Arial" w:eastAsia="Arial" w:hAnsi="Arial"/>
          <w:sz w:val="17"/>
          <w:szCs w:val="17"/>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56"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patent applications may not result in any patents being issued;</w:t>
      </w:r>
    </w:p>
    <w:p>
      <w:pPr>
        <w:spacing w:after="0" w:line="131" w:lineRule="exact"/>
        <w:rPr>
          <w:sz w:val="20"/>
          <w:szCs w:val="20"/>
          <w:color w:val="auto"/>
        </w:rPr>
      </w:pPr>
    </w:p>
    <w:p>
      <w:pPr>
        <w:ind w:left="1200" w:right="280"/>
        <w:spacing w:after="0" w:line="293" w:lineRule="auto"/>
        <w:rPr>
          <w:sz w:val="20"/>
          <w:szCs w:val="20"/>
          <w:color w:val="auto"/>
        </w:rPr>
      </w:pPr>
      <w:r>
        <w:rPr>
          <w:rFonts w:ascii="Arial" w:cs="Arial" w:eastAsia="Arial" w:hAnsi="Arial"/>
          <w:sz w:val="18"/>
          <w:szCs w:val="18"/>
          <w:color w:val="auto"/>
        </w:rPr>
        <w:t>patents may be challenged, invalidated, modified, revoked, circumvented, found to be unenforceable or otherwise may not provide any competitive advantage;</w:t>
      </w:r>
    </w:p>
    <w:p>
      <w:pPr>
        <w:spacing w:after="0" w:line="62" w:lineRule="exact"/>
        <w:rPr>
          <w:sz w:val="20"/>
          <w:szCs w:val="20"/>
          <w:color w:val="auto"/>
        </w:rPr>
      </w:pPr>
    </w:p>
    <w:p>
      <w:pPr>
        <w:jc w:val="both"/>
        <w:ind w:left="1200" w:right="60"/>
        <w:spacing w:after="0" w:line="279" w:lineRule="auto"/>
        <w:rPr>
          <w:sz w:val="20"/>
          <w:szCs w:val="20"/>
          <w:color w:val="auto"/>
        </w:rPr>
      </w:pPr>
      <w:r>
        <w:rPr>
          <w:rFonts w:ascii="Arial" w:cs="Arial" w:eastAsia="Arial" w:hAnsi="Arial"/>
          <w:sz w:val="18"/>
          <w:szCs w:val="18"/>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w:t>
      </w:r>
    </w:p>
    <w:p>
      <w:pPr>
        <w:spacing w:after="0" w:line="75" w:lineRule="exact"/>
        <w:rPr>
          <w:sz w:val="20"/>
          <w:szCs w:val="20"/>
          <w:color w:val="auto"/>
        </w:rPr>
      </w:pPr>
    </w:p>
    <w:p>
      <w:pPr>
        <w:jc w:val="both"/>
        <w:ind w:left="1200" w:right="300"/>
        <w:spacing w:after="0" w:line="279" w:lineRule="auto"/>
        <w:rPr>
          <w:sz w:val="20"/>
          <w:szCs w:val="20"/>
          <w:color w:val="auto"/>
        </w:rPr>
      </w:pPr>
      <w:r>
        <w:rPr>
          <w:rFonts w:ascii="Arial" w:cs="Arial" w:eastAsia="Arial" w:hAnsi="Arial"/>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75" w:lineRule="exact"/>
        <w:rPr>
          <w:sz w:val="20"/>
          <w:szCs w:val="20"/>
          <w:color w:val="auto"/>
        </w:rPr>
      </w:pPr>
    </w:p>
    <w:p>
      <w:pPr>
        <w:ind w:left="1200" w:right="80"/>
        <w:spacing w:after="0" w:line="293" w:lineRule="auto"/>
        <w:rPr>
          <w:sz w:val="20"/>
          <w:szCs w:val="20"/>
          <w:color w:val="auto"/>
        </w:rPr>
      </w:pPr>
      <w:r>
        <w:rPr>
          <w:rFonts w:ascii="Arial" w:cs="Arial" w:eastAsia="Arial" w:hAnsi="Arial"/>
          <w:sz w:val="18"/>
          <w:szCs w:val="18"/>
          <w:color w:val="auto"/>
        </w:rPr>
        <w:t>countries other than the United States may have patent laws less favorable to patentees than those upheld by U.S. courts, allowing foreign competitors a better opportunity to create, develop and market competing product candidates.</w:t>
      </w:r>
    </w:p>
    <w:p>
      <w:pPr>
        <w:spacing w:after="0" w:line="62" w:lineRule="exact"/>
        <w:rPr>
          <w:sz w:val="20"/>
          <w:szCs w:val="20"/>
          <w:color w:val="auto"/>
        </w:rPr>
      </w:pPr>
    </w:p>
    <w:p>
      <w:pPr>
        <w:ind w:right="100" w:firstLine="749"/>
        <w:spacing w:after="0" w:line="275" w:lineRule="auto"/>
        <w:rPr>
          <w:sz w:val="20"/>
          <w:szCs w:val="20"/>
          <w:color w:val="auto"/>
        </w:rPr>
      </w:pPr>
      <w:r>
        <w:rPr>
          <w:rFonts w:ascii="Arial" w:cs="Arial" w:eastAsia="Arial" w:hAnsi="Arial"/>
          <w:sz w:val="18"/>
          <w:szCs w:val="18"/>
          <w:color w:val="auto"/>
        </w:rPr>
        <w:t>The patent prosecution process is also expensive and time-consuming, and we and our licensors may not be able to file and prosecute all necessary or desirable patent applications at a reasonable cost or in a timely manner or in all jurisdictions where protection may be commercially advantageous. It is also possible that we or our licensors will fail to identify patentable aspects of our research and development output before it is too late to obtain patent protection.</w:t>
      </w:r>
    </w:p>
    <w:p>
      <w:pPr>
        <w:spacing w:after="0" w:line="77" w:lineRule="exact"/>
        <w:rPr>
          <w:sz w:val="20"/>
          <w:szCs w:val="20"/>
          <w:color w:val="auto"/>
        </w:rPr>
      </w:pPr>
    </w:p>
    <w:p>
      <w:pPr>
        <w:ind w:right="20" w:firstLine="749"/>
        <w:spacing w:after="0" w:line="275" w:lineRule="auto"/>
        <w:rPr>
          <w:sz w:val="20"/>
          <w:szCs w:val="20"/>
          <w:color w:val="auto"/>
        </w:rPr>
      </w:pPr>
      <w:r>
        <w:rPr>
          <w:rFonts w:ascii="Arial" w:cs="Arial" w:eastAsia="Arial" w:hAnsi="Arial"/>
          <w:sz w:val="18"/>
          <w:szCs w:val="18"/>
          <w:color w:val="auto"/>
        </w:rPr>
        <w:t>In addition, although we enter into non-disclosure and confidentiality agreements with parties who have access to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 ability to seek patent protection.</w:t>
      </w:r>
    </w:p>
    <w:p>
      <w:pPr>
        <w:spacing w:after="0" w:line="77" w:lineRule="exact"/>
        <w:rPr>
          <w:sz w:val="20"/>
          <w:szCs w:val="20"/>
          <w:color w:val="auto"/>
        </w:rPr>
      </w:pPr>
    </w:p>
    <w:p>
      <w:pPr>
        <w:ind w:right="20" w:firstLine="749"/>
        <w:spacing w:after="0" w:line="279" w:lineRule="auto"/>
        <w:rPr>
          <w:sz w:val="20"/>
          <w:szCs w:val="20"/>
          <w:color w:val="auto"/>
        </w:rPr>
      </w:pPr>
      <w:r>
        <w:rPr>
          <w:rFonts w:ascii="Arial" w:cs="Arial" w:eastAsia="Arial" w:hAnsi="Arial"/>
          <w:sz w:val="18"/>
          <w:szCs w:val="18"/>
          <w:color w:val="auto"/>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2" w:right="379" w:bottom="1440" w:gutter="0" w:footer="0" w:header="0"/>
        </w:sectPr>
      </w:pPr>
    </w:p>
    <w:bookmarkStart w:id="57" w:name="page58"/>
    <w:bookmarkEnd w:id="57"/>
    <w:p>
      <w:pPr>
        <w:ind w:right="60"/>
        <w:spacing w:after="0" w:line="293" w:lineRule="auto"/>
        <w:rPr>
          <w:sz w:val="20"/>
          <w:szCs w:val="20"/>
          <w:color w:val="auto"/>
        </w:rPr>
      </w:pPr>
      <w:r>
        <w:rPr>
          <w:rFonts w:ascii="Arial" w:cs="Arial" w:eastAsia="Arial" w:hAnsi="Arial"/>
          <w:sz w:val="18"/>
          <w:szCs w:val="18"/>
          <w:b w:val="1"/>
          <w:bCs w:val="1"/>
          <w:i w:val="1"/>
          <w:iCs w:val="1"/>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62" w:lineRule="exact"/>
        <w:rPr>
          <w:sz w:val="20"/>
          <w:szCs w:val="20"/>
          <w:color w:val="auto"/>
        </w:rPr>
      </w:pPr>
    </w:p>
    <w:p>
      <w:pPr>
        <w:ind w:firstLine="749"/>
        <w:spacing w:after="0" w:line="275" w:lineRule="auto"/>
        <w:rPr>
          <w:sz w:val="20"/>
          <w:szCs w:val="20"/>
          <w:color w:val="auto"/>
        </w:rPr>
      </w:pPr>
      <w:r>
        <w:rPr>
          <w:rFonts w:ascii="Arial" w:cs="Arial" w:eastAsia="Arial" w:hAnsi="Arial"/>
          <w:sz w:val="18"/>
          <w:szCs w:val="18"/>
          <w:color w:val="auto"/>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and those of our licensors may not result in patents being issued which protect our product candidates or which effectively prevent others from commercializing competitive product candidates.</w:t>
      </w:r>
    </w:p>
    <w:p>
      <w:pPr>
        <w:spacing w:after="0" w:line="77" w:lineRule="exact"/>
        <w:rPr>
          <w:sz w:val="20"/>
          <w:szCs w:val="20"/>
          <w:color w:val="auto"/>
        </w:rPr>
      </w:pPr>
    </w:p>
    <w:p>
      <w:pPr>
        <w:ind w:right="40" w:firstLine="749"/>
        <w:spacing w:after="0" w:line="269" w:lineRule="auto"/>
        <w:rPr>
          <w:sz w:val="20"/>
          <w:szCs w:val="20"/>
          <w:color w:val="auto"/>
        </w:rPr>
      </w:pPr>
      <w:r>
        <w:rPr>
          <w:rFonts w:ascii="Arial" w:cs="Arial" w:eastAsia="Arial" w:hAnsi="Arial"/>
          <w:sz w:val="18"/>
          <w:szCs w:val="18"/>
          <w:color w:val="auto"/>
        </w:rPr>
        <w:t>Moreover, the coverage claimed in a patent application can be significantly reduced before the patent is issued, and its scope can be reinterpreted after issuance. Even if patent applications we own or in-license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or invalidated as a result of challenges by third parties. Consequently, we do not know whether our product candidates will be protectable or remain protected by valid and enforceable patents. Our competitors or other third parties may be able to circumvent our patents or the patents of our licensors by developing similar or alternative technologies or products in a non-infringing manner which could materially adversely affect our business, financial condition, results of operations and prospects.</w:t>
      </w:r>
    </w:p>
    <w:p>
      <w:pPr>
        <w:spacing w:after="0" w:line="88" w:lineRule="exact"/>
        <w:rPr>
          <w:sz w:val="20"/>
          <w:szCs w:val="20"/>
          <w:color w:val="auto"/>
        </w:rPr>
      </w:pPr>
    </w:p>
    <w:p>
      <w:pPr>
        <w:ind w:right="20" w:firstLine="749"/>
        <w:spacing w:after="0" w:line="304" w:lineRule="auto"/>
        <w:rPr>
          <w:sz w:val="20"/>
          <w:szCs w:val="20"/>
          <w:color w:val="auto"/>
        </w:rPr>
      </w:pPr>
      <w:r>
        <w:rPr>
          <w:rFonts w:ascii="Arial" w:cs="Arial" w:eastAsia="Arial" w:hAnsi="Arial"/>
          <w:sz w:val="16"/>
          <w:szCs w:val="16"/>
          <w:color w:val="auto"/>
        </w:rPr>
        <w:t xml:space="preserve">The issuance of a patent is not conclusive as to its inventorship, scope, validity or enforceability, and our patents or the patents of our licensors may be challenged in the courts or patent offices in the United States and abroad. We may be subject to a third-party pre-issuance submission of prior art to the USPTO, or become involved in opposition, derivation, revocation, reexamination, post-grant review (PGR) and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(IPR), or other similar proceedings challenging our owned or in-licensed patent rights. An adverse determination in any such submission, proceeding or litigation could reduce the scope of, or invalidate or render unenforceable, our patent rights or those of our licensors, allow third parties to commercialize our product candidates and compete directly with us, without payment to us, or result in our inability to manufacture or commercialize products without infringing third-party patent rights. Moreover, our patents or the patents of our licensors may become subject to post-grant challenge proceedings, such as oppositions in a foreign patent office, that challenge our priority of invention or other features of patentability with respect to our patents and patent applications and those of our licensors.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product candidates. Such proceedings also may result in substantial cost and require significant time from our scientists and management, even if the eventual outcome is favorable to us. In addition, if the breadth or strength of protection provided by our patents and patent applications or the patents and patent applications of our licensors is threatened, regardless of the outcome, it could dissuade companies from collaborating with us to license, develop or commercialize current or future product candidates.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131" w:lineRule="exact"/>
        <w:rPr>
          <w:sz w:val="20"/>
          <w:szCs w:val="20"/>
          <w:color w:val="auto"/>
        </w:rPr>
      </w:pPr>
    </w:p>
    <w:p>
      <w:pPr>
        <w:ind w:right="120" w:firstLine="749"/>
        <w:spacing w:after="0" w:line="293"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2" w:lineRule="exact"/>
        <w:rPr>
          <w:sz w:val="20"/>
          <w:szCs w:val="20"/>
          <w:color w:val="auto"/>
        </w:rPr>
      </w:pPr>
    </w:p>
    <w:p>
      <w:pPr>
        <w:ind w:left="1200" w:right="160"/>
        <w:spacing w:after="0" w:line="293" w:lineRule="auto"/>
        <w:rPr>
          <w:sz w:val="20"/>
          <w:szCs w:val="20"/>
          <w:color w:val="auto"/>
        </w:rPr>
      </w:pPr>
      <w:r>
        <w:rPr>
          <w:rFonts w:ascii="Arial" w:cs="Arial" w:eastAsia="Arial" w:hAnsi="Arial"/>
          <w:sz w:val="18"/>
          <w:szCs w:val="18"/>
          <w:color w:val="auto"/>
        </w:rPr>
        <w:t>others may be able to develop products that are similar to our product candidates but that are not covered by the claims of the patents that we own or license;</w:t>
      </w:r>
    </w:p>
    <w:p>
      <w:pPr>
        <w:spacing w:after="0" w:line="62" w:lineRule="exact"/>
        <w:rPr>
          <w:sz w:val="20"/>
          <w:szCs w:val="20"/>
          <w:color w:val="auto"/>
        </w:rPr>
      </w:pPr>
    </w:p>
    <w:p>
      <w:pPr>
        <w:ind w:left="1200" w:right="20"/>
        <w:spacing w:after="0" w:line="293" w:lineRule="auto"/>
        <w:rPr>
          <w:sz w:val="20"/>
          <w:szCs w:val="20"/>
          <w:color w:val="auto"/>
        </w:rPr>
      </w:pPr>
      <w:r>
        <w:rPr>
          <w:rFonts w:ascii="Arial" w:cs="Arial" w:eastAsia="Arial" w:hAnsi="Arial"/>
          <w:sz w:val="18"/>
          <w:szCs w:val="18"/>
          <w:color w:val="auto"/>
        </w:rPr>
        <w:t>we or our licensors or collaborators might not have been the first to make the inventions covered by the issued patents or patent application that we own or license;</w:t>
      </w:r>
    </w:p>
    <w:p>
      <w:pPr>
        <w:spacing w:after="0" w:line="6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we or our licensors or collaborators might not have been the first to file patent applications covering certain of our inventions;</w:t>
      </w:r>
    </w:p>
    <w:p>
      <w:pPr>
        <w:spacing w:after="0" w:line="131" w:lineRule="exact"/>
        <w:rPr>
          <w:sz w:val="20"/>
          <w:szCs w:val="20"/>
          <w:color w:val="auto"/>
        </w:rPr>
      </w:pPr>
    </w:p>
    <w:p>
      <w:pPr>
        <w:ind w:left="1200" w:right="780"/>
        <w:spacing w:after="0" w:line="293" w:lineRule="auto"/>
        <w:rPr>
          <w:sz w:val="20"/>
          <w:szCs w:val="20"/>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6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it is possible that the pending patent applications we own or license will not lead to issued patents;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issued patents that we own or license may be held invalid or unenforceable, as a result of legal challenges by our competitors;</w:t>
      </w:r>
    </w:p>
    <w:p>
      <w:pPr>
        <w:spacing w:after="0" w:line="131" w:lineRule="exact"/>
        <w:rPr>
          <w:sz w:val="20"/>
          <w:szCs w:val="20"/>
          <w:color w:val="auto"/>
        </w:rPr>
      </w:pPr>
    </w:p>
    <w:p>
      <w:pPr>
        <w:ind w:left="1200" w:right="540"/>
        <w:spacing w:after="0" w:line="324" w:lineRule="auto"/>
        <w:rPr>
          <w:sz w:val="20"/>
          <w:szCs w:val="20"/>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3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we may not develop additional proprietary technologies that are patentable;</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patents of others may have an adverse effect on our business; and</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8" w:name="page59"/>
    <w:bookmarkEnd w:id="58"/>
    <w:p>
      <w:pPr>
        <w:ind w:left="1200" w:right="140"/>
        <w:spacing w:after="0" w:line="293" w:lineRule="auto"/>
        <w:rPr>
          <w:sz w:val="20"/>
          <w:szCs w:val="20"/>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6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Should any of these events occur, it could significantly harm our business, results of operations and prospects.</w:t>
      </w:r>
    </w:p>
    <w:p>
      <w:pPr>
        <w:spacing w:after="0" w:line="131" w:lineRule="exact"/>
        <w:rPr>
          <w:sz w:val="20"/>
          <w:szCs w:val="20"/>
          <w:color w:val="auto"/>
        </w:rPr>
      </w:pPr>
    </w:p>
    <w:p>
      <w:pPr>
        <w:ind w:right="440"/>
        <w:spacing w:after="0" w:line="279" w:lineRule="auto"/>
        <w:rPr>
          <w:sz w:val="20"/>
          <w:szCs w:val="20"/>
          <w:color w:val="auto"/>
        </w:rPr>
      </w:pPr>
      <w:r>
        <w:rPr>
          <w:rFonts w:ascii="Arial" w:cs="Arial" w:eastAsia="Arial" w:hAnsi="Arial"/>
          <w:sz w:val="18"/>
          <w:szCs w:val="18"/>
          <w:b w:val="1"/>
          <w:bCs w:val="1"/>
          <w:i w:val="1"/>
          <w:iCs w:val="1"/>
          <w:color w:val="auto"/>
        </w:rPr>
        <w:t>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p>
    <w:p>
      <w:pPr>
        <w:spacing w:after="0" w:line="75" w:lineRule="exact"/>
        <w:rPr>
          <w:sz w:val="20"/>
          <w:szCs w:val="20"/>
          <w:color w:val="auto"/>
        </w:rPr>
      </w:pPr>
    </w:p>
    <w:p>
      <w:pPr>
        <w:ind w:right="100" w:firstLine="749"/>
        <w:spacing w:after="0" w:line="287" w:lineRule="auto"/>
        <w:rPr>
          <w:sz w:val="20"/>
          <w:szCs w:val="20"/>
          <w:color w:val="auto"/>
        </w:rPr>
      </w:pPr>
      <w:r>
        <w:rPr>
          <w:rFonts w:ascii="Arial" w:cs="Arial" w:eastAsia="Arial" w:hAnsi="Arial"/>
          <w:sz w:val="17"/>
          <w:szCs w:val="17"/>
          <w:color w:val="auto"/>
        </w:rPr>
        <w:t>Our commercial success depends in part on avoiding infringement of the patents and proprietary rights of third parties. However, our research, development and commercialization activities may be subject to claims that we infringe or otherwise violate patents or other intellectual property rights owned or controlled by third parties. Other entities may have or obtain patents or proprietary rights that could limit our ability to make, use, sell, offer for sale or import our product candidates and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IPR proceedings and PGR proceedings before the USPTO and/or corresponding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w:t>
      </w:r>
    </w:p>
    <w:p>
      <w:pPr>
        <w:spacing w:after="0" w:line="70" w:lineRule="exact"/>
        <w:rPr>
          <w:sz w:val="20"/>
          <w:szCs w:val="20"/>
          <w:color w:val="auto"/>
        </w:rPr>
      </w:pPr>
    </w:p>
    <w:p>
      <w:pPr>
        <w:ind w:right="20" w:firstLine="749"/>
        <w:spacing w:after="0" w:line="286" w:lineRule="auto"/>
        <w:rPr>
          <w:sz w:val="20"/>
          <w:szCs w:val="20"/>
          <w:color w:val="auto"/>
        </w:rPr>
      </w:pPr>
      <w:r>
        <w:rPr>
          <w:rFonts w:ascii="Arial" w:cs="Arial" w:eastAsia="Arial" w:hAnsi="Arial"/>
          <w:sz w:val="17"/>
          <w:szCs w:val="17"/>
          <w:color w:val="auto"/>
        </w:rPr>
        <w:t>As the biopharmaceutical industry expands and more patents are issued, the risk increases that our product candidates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any of our product candidates, and we cannot be certain that we or our licensors were the first to file a patent application related to a product candidate or technology. Moreover, because patent applications can take many years to issue, there may be currently pending patent applications that may later result in issued patents that our product candidates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 that use of our technologies infringes upon these patents. Any claims of patent infringement asserted by third parties would be time consuming and could:</w:t>
      </w:r>
    </w:p>
    <w:p>
      <w:pPr>
        <w:spacing w:after="0" w:line="70"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result in costly litigation that may cause negative publicity;</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divert the time and attention of our technical personnel and management;</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cause development delays;</w:t>
      </w:r>
    </w:p>
    <w:p>
      <w:pPr>
        <w:spacing w:after="0" w:line="131" w:lineRule="exact"/>
        <w:rPr>
          <w:sz w:val="20"/>
          <w:szCs w:val="20"/>
          <w:color w:val="auto"/>
        </w:rPr>
      </w:pPr>
    </w:p>
    <w:p>
      <w:pPr>
        <w:ind w:left="1200" w:right="120"/>
        <w:spacing w:after="0" w:line="293" w:lineRule="auto"/>
        <w:rPr>
          <w:sz w:val="20"/>
          <w:szCs w:val="20"/>
          <w:color w:val="auto"/>
        </w:rPr>
      </w:pPr>
      <w:r>
        <w:rPr>
          <w:rFonts w:ascii="Arial" w:cs="Arial" w:eastAsia="Arial" w:hAnsi="Arial"/>
          <w:sz w:val="18"/>
          <w:szCs w:val="18"/>
          <w:color w:val="auto"/>
        </w:rPr>
        <w:t>prevent us from commercializing any of our product candidates until the asserted patent expires or is held finally invalid, not infringed, or unenforceable in a court of law;</w:t>
      </w:r>
    </w:p>
    <w:p>
      <w:pPr>
        <w:spacing w:after="0" w:line="62" w:lineRule="exact"/>
        <w:rPr>
          <w:sz w:val="20"/>
          <w:szCs w:val="20"/>
          <w:color w:val="auto"/>
        </w:rPr>
      </w:pPr>
    </w:p>
    <w:p>
      <w:pPr>
        <w:ind w:left="1200" w:right="2760"/>
        <w:spacing w:after="0" w:line="391" w:lineRule="auto"/>
        <w:rPr>
          <w:sz w:val="20"/>
          <w:szCs w:val="20"/>
          <w:color w:val="auto"/>
        </w:rPr>
      </w:pPr>
      <w:r>
        <w:rPr>
          <w:rFonts w:ascii="Arial" w:cs="Arial" w:eastAsia="Arial" w:hAnsi="Arial"/>
          <w:sz w:val="18"/>
          <w:szCs w:val="18"/>
          <w:color w:val="auto"/>
        </w:rPr>
        <w:t>require us to develop non-infringing technology, which may not be possible on a cost-effective basis; subject us to significant liability to third parties; or</w:t>
      </w:r>
    </w:p>
    <w:p>
      <w:pPr>
        <w:spacing w:after="0" w:line="1" w:lineRule="exact"/>
        <w:rPr>
          <w:sz w:val="20"/>
          <w:szCs w:val="20"/>
          <w:color w:val="auto"/>
        </w:rPr>
      </w:pPr>
    </w:p>
    <w:p>
      <w:pPr>
        <w:ind w:left="1200" w:right="160"/>
        <w:spacing w:after="0" w:line="293" w:lineRule="auto"/>
        <w:rPr>
          <w:sz w:val="20"/>
          <w:szCs w:val="20"/>
          <w:color w:val="auto"/>
        </w:rPr>
      </w:pPr>
      <w:r>
        <w:rPr>
          <w:rFonts w:ascii="Arial" w:cs="Arial" w:eastAsia="Arial" w:hAnsi="Arial"/>
          <w:sz w:val="18"/>
          <w:szCs w:val="18"/>
          <w:color w:val="auto"/>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62" w:lineRule="exact"/>
        <w:rPr>
          <w:sz w:val="20"/>
          <w:szCs w:val="20"/>
          <w:color w:val="auto"/>
        </w:rPr>
      </w:pPr>
    </w:p>
    <w:p>
      <w:pPr>
        <w:ind w:right="80" w:firstLine="749"/>
        <w:spacing w:after="0" w:line="271" w:lineRule="auto"/>
        <w:rPr>
          <w:sz w:val="20"/>
          <w:szCs w:val="20"/>
          <w:color w:val="auto"/>
        </w:rPr>
      </w:pPr>
      <w:r>
        <w:rPr>
          <w:rFonts w:ascii="Arial" w:cs="Arial" w:eastAsia="Arial" w:hAnsi="Arial"/>
          <w:sz w:val="18"/>
          <w:szCs w:val="18"/>
          <w:color w:val="auto"/>
        </w:rPr>
        <w:t>Although no third party has asserted a claim of patent infringement against us as of the date of this periodic report, others may hold proprietary rights that could prevent our product candidates from being marketed. For example, we are aware of issued patents that claim a method of treatment based upon a general mode of action. These patents appear to be licensed to a potential competitor. These claims could be alleged to cover our lead product candidate, ORIC-101, in certain treatment indications. While we believe that these patents are difficult to enforce and that we would have valid defenses to these claims of patent infringement, we cannot be certain that we would prevail in any dispute and we cannot be certain how an adverse determination would affect our business.</w:t>
      </w:r>
    </w:p>
    <w:p>
      <w:pPr>
        <w:spacing w:after="0" w:line="83" w:lineRule="exact"/>
        <w:rPr>
          <w:sz w:val="20"/>
          <w:szCs w:val="20"/>
          <w:color w:val="auto"/>
        </w:rPr>
      </w:pPr>
    </w:p>
    <w:p>
      <w:pPr>
        <w:ind w:firstLine="749"/>
        <w:spacing w:after="0" w:line="271" w:lineRule="auto"/>
        <w:rPr>
          <w:sz w:val="20"/>
          <w:szCs w:val="20"/>
          <w:color w:val="auto"/>
        </w:rPr>
      </w:pPr>
      <w:r>
        <w:rPr>
          <w:rFonts w:ascii="Arial" w:cs="Arial" w:eastAsia="Arial" w:hAnsi="Arial"/>
          <w:sz w:val="18"/>
          <w:szCs w:val="18"/>
          <w:color w:val="auto"/>
        </w:rPr>
        <w:t>It is possible that a third party may assert a claim of patent infringement directed at any of our product candidates. Any patent-related legal action against us claiming damages and seeking to enjoin commercial activities relating to our products, treatment indications, or processes could subject us to significant liability for damages, including treble damages if we were determined to willfully infringe, and require us to obtain a license to manufacture or market our product candidates.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9" w:name="page60"/>
    <w:bookmarkEnd w:id="59"/>
    <w:p>
      <w:pPr>
        <w:ind w:right="20"/>
        <w:spacing w:after="0" w:line="311" w:lineRule="auto"/>
        <w:rPr>
          <w:sz w:val="20"/>
          <w:szCs w:val="20"/>
          <w:color w:val="auto"/>
        </w:rPr>
      </w:pPr>
      <w:r>
        <w:rPr>
          <w:rFonts w:ascii="Arial" w:cs="Arial" w:eastAsia="Arial" w:hAnsi="Arial"/>
          <w:sz w:val="16"/>
          <w:szCs w:val="16"/>
          <w:color w:val="auto"/>
        </w:rPr>
        <w:t>would be made available on commercially reasonable terms, if at all. Moreover, even if we or our future strategic partners were able to obtain a license, the rights may be nonexclusive, which could result in our competitors gaining access to the same intellectual property. In addition, we cannot be certain that we could redesign our product candidates, treatment indications, or processes to avoid infringement, if necessary. Accordingly, an adverse determination in a judicial or administrative proceeding, or the failure to obtain necessary licenses, could prevent us from developing and commercializing our product candidates, which could harm our business, financial condition and operating results. In addition, intellectual property litigation, regardless of its outcome, may cause negative publicity and could prohibit us from marketing or otherwise commercializing our product candidates and technology.</w:t>
      </w:r>
    </w:p>
    <w:p>
      <w:pPr>
        <w:spacing w:after="0" w:line="55" w:lineRule="exact"/>
        <w:rPr>
          <w:sz w:val="20"/>
          <w:szCs w:val="20"/>
          <w:color w:val="auto"/>
        </w:rPr>
      </w:pPr>
    </w:p>
    <w:p>
      <w:pPr>
        <w:ind w:right="60" w:firstLine="749"/>
        <w:spacing w:after="0" w:line="292" w:lineRule="auto"/>
        <w:rPr>
          <w:sz w:val="20"/>
          <w:szCs w:val="20"/>
          <w:color w:val="auto"/>
        </w:rPr>
      </w:pPr>
      <w:r>
        <w:rPr>
          <w:rFonts w:ascii="Arial" w:cs="Arial" w:eastAsia="Arial" w:hAnsi="Arial"/>
          <w:sz w:val="17"/>
          <w:szCs w:val="17"/>
          <w:color w:val="auto"/>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results of operations, financial condition and prospects.</w:t>
      </w:r>
    </w:p>
    <w:p>
      <w:pPr>
        <w:spacing w:after="0" w:line="66" w:lineRule="exact"/>
        <w:rPr>
          <w:sz w:val="20"/>
          <w:szCs w:val="20"/>
          <w:color w:val="auto"/>
        </w:rPr>
      </w:pPr>
    </w:p>
    <w:p>
      <w:pPr>
        <w:ind w:right="40" w:firstLine="749"/>
        <w:spacing w:after="0" w:line="306" w:lineRule="auto"/>
        <w:rPr>
          <w:sz w:val="20"/>
          <w:szCs w:val="20"/>
          <w:color w:val="auto"/>
        </w:rPr>
      </w:pPr>
      <w:r>
        <w:rPr>
          <w:rFonts w:ascii="Arial" w:cs="Arial" w:eastAsia="Arial" w:hAnsi="Arial"/>
          <w:sz w:val="16"/>
          <w:szCs w:val="16"/>
          <w:color w:val="auto"/>
        </w:rPr>
        <w:t>We may in the future pursue invalidity proceedings with respect to third-party patents. The outcome following legal assertions of invalidity is unpredictable. Even if resolved in our favor, these legal proceedings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these third parties may be able to sustain the costs of such proceedings more effectively than we can because of their greater financial resources. Uncertainties resulting from the initiation and continuation of patent proceedings could compromise our ability to compete in the marketplace. If we do not prevail in the patent proceedings the third parties may assert a claim of patent infringement directed at our product candidates.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obtaining or maintaining necessary rights to our product candidates through acquisitions and in-licenses.</w:t>
      </w:r>
    </w:p>
    <w:p>
      <w:pPr>
        <w:spacing w:after="0" w:line="129" w:lineRule="exact"/>
        <w:rPr>
          <w:sz w:val="20"/>
          <w:szCs w:val="20"/>
          <w:color w:val="auto"/>
        </w:rPr>
      </w:pPr>
    </w:p>
    <w:p>
      <w:pPr>
        <w:ind w:firstLine="749"/>
        <w:spacing w:after="0" w:line="306" w:lineRule="auto"/>
        <w:rPr>
          <w:sz w:val="20"/>
          <w:szCs w:val="20"/>
          <w:color w:val="auto"/>
        </w:rPr>
      </w:pPr>
      <w:r>
        <w:rPr>
          <w:rFonts w:ascii="Arial" w:cs="Arial" w:eastAsia="Arial" w:hAnsi="Arial"/>
          <w:sz w:val="16"/>
          <w:szCs w:val="16"/>
          <w:color w:val="auto"/>
        </w:rPr>
        <w:t>Because our development programs may require the use of proprietary rights held by third parties, the growth of our business may depend in part on our ability to acquire, in-license, or use these third-party proprietary rights. We may be unable to acquire 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or maintain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involved in lawsuits to protect or enforce our patents or our licensors’ patents, which could be expensive, time consuming and unsuccessful.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Further, our issued patents or our licensors’ patents could be found invalid or unenforceable if challenged in court.</w:t>
      </w:r>
    </w:p>
    <w:p>
      <w:pPr>
        <w:spacing w:after="0" w:line="101" w:lineRule="exact"/>
        <w:rPr>
          <w:sz w:val="20"/>
          <w:szCs w:val="20"/>
          <w:color w:val="auto"/>
        </w:rPr>
      </w:pPr>
    </w:p>
    <w:p>
      <w:pPr>
        <w:ind w:right="40" w:firstLine="749"/>
        <w:spacing w:after="0" w:line="269" w:lineRule="auto"/>
        <w:rPr>
          <w:sz w:val="20"/>
          <w:szCs w:val="20"/>
          <w:color w:val="auto"/>
        </w:rPr>
      </w:pPr>
      <w:r>
        <w:rPr>
          <w:rFonts w:ascii="Arial" w:cs="Arial" w:eastAsia="Arial" w:hAnsi="Arial"/>
          <w:sz w:val="18"/>
          <w:szCs w:val="18"/>
          <w:color w:val="auto"/>
        </w:rPr>
        <w:t>Competitors may infringe our intellectual property rights. To prevent infringement or unauthorized use, we may be required to file infringement claims, which can be expensive and time-consuming. In addition, in a patent infringement proceeding, a court may decide that a patent we own or in-license is not valid, is unenforceable and/or is not infringed. If we or any of our potential future collaborators were to initiate legal proceedings against a third party to enforce a patent directed at one of our product candidates, the defendant could counterclaim that our patent or the patent of our licensors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lack of sufficient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w:t>
      </w:r>
    </w:p>
    <w:p>
      <w:pPr>
        <w:spacing w:after="0" w:line="86" w:lineRule="exact"/>
        <w:rPr>
          <w:sz w:val="20"/>
          <w:szCs w:val="20"/>
          <w:color w:val="auto"/>
        </w:rPr>
      </w:pPr>
    </w:p>
    <w:p>
      <w:pPr>
        <w:ind w:right="80" w:firstLine="749"/>
        <w:spacing w:after="0" w:line="272" w:lineRule="auto"/>
        <w:rPr>
          <w:sz w:val="20"/>
          <w:szCs w:val="20"/>
          <w:color w:val="auto"/>
        </w:rPr>
      </w:pPr>
      <w:r>
        <w:rPr>
          <w:rFonts w:ascii="Arial" w:cs="Arial" w:eastAsia="Arial" w:hAnsi="Arial"/>
          <w:sz w:val="18"/>
          <w:szCs w:val="18"/>
          <w:color w:val="auto"/>
        </w:rPr>
        <w:t>Third parties may also raise similar invalidity claims before the USPTO or patent offices abroad, even outside the context of litigation. Such mechanisms include re-examination, PGR, IPR, derivation proceedings, and equivalent proceedings in foreign jurisdictions (e.g., opposition proceedings). The outcome following legal assertions of invalidity and/or unenforceability is unpredictable. With respect to the validity question, for example, we cannot be certain that there is no invalidating prior art, of which we, our licensors, and the patent examiners are unaware during prosecution. There is also no assurance that there is not prior art of</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0" w:name="page61"/>
    <w:bookmarkEnd w:id="60"/>
    <w:p>
      <w:pPr>
        <w:ind w:right="100"/>
        <w:spacing w:after="0" w:line="272" w:lineRule="auto"/>
        <w:rPr>
          <w:sz w:val="20"/>
          <w:szCs w:val="20"/>
          <w:color w:val="auto"/>
        </w:rPr>
      </w:pPr>
      <w:r>
        <w:rPr>
          <w:rFonts w:ascii="Arial" w:cs="Arial" w:eastAsia="Arial" w:hAnsi="Arial"/>
          <w:sz w:val="18"/>
          <w:szCs w:val="18"/>
          <w:color w:val="auto"/>
        </w:rPr>
        <w:t>which we are aware, but which we do not believe affects the validity or enforceability of a claim in our patents and patent applications or the patents and patent applications of our licensors, which may, nonetheless, ultimately be found to affect the validity or enforceability of a claim. If a third party were to prevail on a legal assertion of invalidity or unenforceability, we would lose at least part, and perhaps all, of the patent protection on our technology or platform, or any product candidates that we may develop. Such a loss of patent protection would have a material adverse impact on our business, financial condition, results of operations and prospects.</w:t>
      </w:r>
    </w:p>
    <w:p>
      <w:pPr>
        <w:spacing w:after="0" w:line="83" w:lineRule="exact"/>
        <w:rPr>
          <w:sz w:val="20"/>
          <w:szCs w:val="20"/>
          <w:color w:val="auto"/>
        </w:rPr>
      </w:pPr>
    </w:p>
    <w:p>
      <w:pPr>
        <w:jc w:val="both"/>
        <w:ind w:right="180" w:firstLine="749"/>
        <w:spacing w:after="0" w:line="359" w:lineRule="auto"/>
        <w:rPr>
          <w:sz w:val="20"/>
          <w:szCs w:val="20"/>
          <w:color w:val="auto"/>
        </w:rPr>
      </w:pPr>
      <w:r>
        <w:rPr>
          <w:rFonts w:ascii="Arial" w:cs="Arial" w:eastAsia="Arial" w:hAnsi="Arial"/>
          <w:sz w:val="16"/>
          <w:szCs w:val="16"/>
          <w:color w:val="auto"/>
        </w:rPr>
        <w:t>In addition, if the breadth or strength of protection provided by our patents and patent applications or the patents and patent applications of our licensors is threatened, it could dissuade companies from collaborating with us to license, develop or commercialize current or future product candidates.</w:t>
      </w:r>
    </w:p>
    <w:p>
      <w:pPr>
        <w:spacing w:after="0" w:line="17" w:lineRule="exact"/>
        <w:rPr>
          <w:sz w:val="20"/>
          <w:szCs w:val="20"/>
          <w:color w:val="auto"/>
        </w:rPr>
      </w:pPr>
    </w:p>
    <w:p>
      <w:pPr>
        <w:ind w:right="60" w:firstLine="749"/>
        <w:spacing w:after="0" w:line="308" w:lineRule="auto"/>
        <w:rPr>
          <w:sz w:val="20"/>
          <w:szCs w:val="20"/>
          <w:color w:val="auto"/>
        </w:rPr>
      </w:pPr>
      <w:r>
        <w:rPr>
          <w:rFonts w:ascii="Arial" w:cs="Arial" w:eastAsia="Arial" w:hAnsi="Arial"/>
          <w:sz w:val="16"/>
          <w:szCs w:val="16"/>
          <w:color w:val="auto"/>
        </w:rPr>
        <w:t>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55" w:lineRule="exact"/>
        <w:rPr>
          <w:sz w:val="20"/>
          <w:szCs w:val="20"/>
          <w:color w:val="auto"/>
        </w:rPr>
      </w:pPr>
    </w:p>
    <w:p>
      <w:pPr>
        <w:ind w:right="60" w:firstLine="749"/>
        <w:spacing w:after="0" w:line="27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75" w:lineRule="exact"/>
        <w:rPr>
          <w:sz w:val="20"/>
          <w:szCs w:val="20"/>
          <w:color w:val="auto"/>
        </w:rPr>
      </w:pPr>
    </w:p>
    <w:p>
      <w:pPr>
        <w:ind w:right="300" w:firstLine="749"/>
        <w:spacing w:after="0" w:line="293" w:lineRule="auto"/>
        <w:rPr>
          <w:sz w:val="20"/>
          <w:szCs w:val="20"/>
          <w:color w:val="auto"/>
        </w:rPr>
      </w:pPr>
      <w:r>
        <w:rPr>
          <w:rFonts w:ascii="Arial" w:cs="Arial" w:eastAsia="Arial" w:hAnsi="Arial"/>
          <w:sz w:val="18"/>
          <w:szCs w:val="18"/>
          <w:color w:val="auto"/>
        </w:rPr>
        <w:t>In addition, the issuance of a patent does not give us the right to practice the patented invention. Third parties may have blocking patents that could prevent us from marketing our own patented product and practicing our own patented technology.</w:t>
      </w:r>
    </w:p>
    <w:p>
      <w:pPr>
        <w:spacing w:after="0" w:line="62" w:lineRule="exact"/>
        <w:rPr>
          <w:sz w:val="20"/>
          <w:szCs w:val="20"/>
          <w:color w:val="auto"/>
        </w:rPr>
      </w:pPr>
    </w:p>
    <w:p>
      <w:pPr>
        <w:ind w:right="480"/>
        <w:spacing w:after="0" w:line="293" w:lineRule="auto"/>
        <w:rPr>
          <w:sz w:val="20"/>
          <w:szCs w:val="20"/>
          <w:color w:val="auto"/>
        </w:rPr>
      </w:pPr>
      <w:r>
        <w:rPr>
          <w:rFonts w:ascii="Arial" w:cs="Arial" w:eastAsia="Arial" w:hAnsi="Arial"/>
          <w:sz w:val="18"/>
          <w:szCs w:val="18"/>
          <w:b w:val="1"/>
          <w:bCs w:val="1"/>
          <w:i w:val="1"/>
          <w:iCs w:val="1"/>
          <w:color w:val="auto"/>
        </w:rPr>
        <w:t>Intellectual property litigation may lead to unfavorable publicity that harms our reputation and causes the market price of our common shares to decline.</w:t>
      </w:r>
    </w:p>
    <w:p>
      <w:pPr>
        <w:spacing w:after="0" w:line="62" w:lineRule="exact"/>
        <w:rPr>
          <w:sz w:val="20"/>
          <w:szCs w:val="20"/>
          <w:color w:val="auto"/>
        </w:rPr>
      </w:pPr>
    </w:p>
    <w:p>
      <w:pPr>
        <w:ind w:firstLine="749"/>
        <w:spacing w:after="0" w:line="272" w:lineRule="auto"/>
        <w:rPr>
          <w:sz w:val="20"/>
          <w:szCs w:val="20"/>
          <w:color w:val="auto"/>
        </w:rPr>
      </w:pPr>
      <w:r>
        <w:rPr>
          <w:rFonts w:ascii="Arial" w:cs="Arial" w:eastAsia="Arial" w:hAnsi="Arial"/>
          <w:sz w:val="18"/>
          <w:szCs w:val="18"/>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pacing w:after="0" w:line="83" w:lineRule="exact"/>
        <w:rPr>
          <w:sz w:val="20"/>
          <w:szCs w:val="20"/>
          <w:color w:val="auto"/>
        </w:rPr>
      </w:pPr>
    </w:p>
    <w:p>
      <w:pPr>
        <w:ind w:right="280"/>
        <w:spacing w:after="0" w:line="293" w:lineRule="auto"/>
        <w:rPr>
          <w:sz w:val="20"/>
          <w:szCs w:val="20"/>
          <w:color w:val="auto"/>
        </w:rPr>
      </w:pPr>
      <w:r>
        <w:rPr>
          <w:rFonts w:ascii="Arial" w:cs="Arial" w:eastAsia="Arial" w:hAnsi="Arial"/>
          <w:sz w:val="18"/>
          <w:szCs w:val="18"/>
          <w:b w:val="1"/>
          <w:bCs w:val="1"/>
          <w:i w:val="1"/>
          <w:iCs w:val="1"/>
          <w:color w:val="auto"/>
        </w:rPr>
        <w:t>Derivation proceedings may be necessary to determine priority of inventions, and an unfavorable outcome may require us to cease using the related technology or to attempt to license rights from the prevailing party.</w:t>
      </w:r>
    </w:p>
    <w:p>
      <w:pPr>
        <w:spacing w:after="0" w:line="62" w:lineRule="exact"/>
        <w:rPr>
          <w:sz w:val="20"/>
          <w:szCs w:val="20"/>
          <w:color w:val="auto"/>
        </w:rPr>
      </w:pPr>
    </w:p>
    <w:p>
      <w:pPr>
        <w:ind w:right="80" w:firstLine="749"/>
        <w:spacing w:after="0" w:line="288" w:lineRule="auto"/>
        <w:rPr>
          <w:sz w:val="20"/>
          <w:szCs w:val="20"/>
          <w:color w:val="auto"/>
        </w:rPr>
      </w:pPr>
      <w:r>
        <w:rPr>
          <w:rFonts w:ascii="Arial" w:cs="Arial" w:eastAsia="Arial" w:hAnsi="Arial"/>
          <w:sz w:val="17"/>
          <w:szCs w:val="17"/>
          <w:color w:val="auto"/>
        </w:rPr>
        <w:t>Derivation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derivation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our product candidates to market.</w:t>
      </w:r>
    </w:p>
    <w:p>
      <w:pPr>
        <w:spacing w:after="0" w:line="73" w:lineRule="exact"/>
        <w:rPr>
          <w:sz w:val="20"/>
          <w:szCs w:val="20"/>
          <w:color w:val="auto"/>
        </w:rPr>
      </w:pPr>
    </w:p>
    <w:p>
      <w:pPr>
        <w:ind w:right="440"/>
        <w:spacing w:after="0" w:line="293" w:lineRule="auto"/>
        <w:rPr>
          <w:sz w:val="20"/>
          <w:szCs w:val="20"/>
          <w:color w:val="auto"/>
        </w:rPr>
      </w:pPr>
      <w:r>
        <w:rPr>
          <w:rFonts w:ascii="Arial" w:cs="Arial" w:eastAsia="Arial" w:hAnsi="Arial"/>
          <w:sz w:val="18"/>
          <w:szCs w:val="18"/>
          <w:b w:val="1"/>
          <w:bCs w:val="1"/>
          <w:i w:val="1"/>
          <w:iCs w:val="1"/>
          <w:color w:val="auto"/>
        </w:rPr>
        <w:t>Recent patent reform legislation could increase the uncertainties and costs surrounding the prosecution of our patent applications or those of our licensors and the enforcement or defense of our issued patents or those of our licensors.</w:t>
      </w:r>
    </w:p>
    <w:p>
      <w:pPr>
        <w:spacing w:after="0" w:line="62" w:lineRule="exact"/>
        <w:rPr>
          <w:sz w:val="20"/>
          <w:szCs w:val="20"/>
          <w:color w:val="auto"/>
        </w:rPr>
      </w:pPr>
    </w:p>
    <w:p>
      <w:pPr>
        <w:ind w:right="100" w:firstLine="749"/>
        <w:spacing w:after="0" w:line="286" w:lineRule="auto"/>
        <w:rPr>
          <w:sz w:val="20"/>
          <w:szCs w:val="20"/>
          <w:color w:val="auto"/>
        </w:rPr>
      </w:pPr>
      <w:r>
        <w:rPr>
          <w:rFonts w:ascii="Arial" w:cs="Arial" w:eastAsia="Arial" w:hAnsi="Arial"/>
          <w:sz w:val="17"/>
          <w:szCs w:val="17"/>
          <w:color w:val="auto"/>
        </w:rPr>
        <w:t>On September 16, 2011, the Leahy-Smith America Invents Act (the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our licensors are the first to either (1) file any patent application related to our product candidates or (2) invent any of the inventions claimed in the patents or patent applications.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61" w:name="page62"/>
    <w:bookmarkEnd w:id="61"/>
    <w:p>
      <w:pPr>
        <w:ind w:firstLine="749"/>
        <w:spacing w:after="0" w:line="272" w:lineRule="auto"/>
        <w:rPr>
          <w:sz w:val="20"/>
          <w:szCs w:val="20"/>
          <w:color w:val="auto"/>
        </w:rPr>
      </w:pPr>
      <w:r>
        <w:rPr>
          <w:rFonts w:ascii="Arial" w:cs="Arial" w:eastAsia="Arial" w:hAnsi="Arial"/>
          <w:sz w:val="18"/>
          <w:szCs w:val="18"/>
          <w:color w:val="auto"/>
        </w:rPr>
        <w:t>The Leahy-Smith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spacing w:after="0" w:line="83" w:lineRule="exact"/>
        <w:rPr>
          <w:sz w:val="20"/>
          <w:szCs w:val="20"/>
          <w:color w:val="auto"/>
        </w:rPr>
      </w:pPr>
    </w:p>
    <w:p>
      <w:pPr>
        <w:ind w:right="20" w:firstLine="749"/>
        <w:spacing w:after="0" w:line="288" w:lineRule="auto"/>
        <w:rPr>
          <w:sz w:val="20"/>
          <w:szCs w:val="20"/>
          <w:color w:val="auto"/>
        </w:rPr>
      </w:pPr>
      <w:r>
        <w:rPr>
          <w:rFonts w:ascii="Arial" w:cs="Arial" w:eastAsia="Arial" w:hAnsi="Arial"/>
          <w:sz w:val="17"/>
          <w:szCs w:val="17"/>
          <w:color w:val="auto"/>
        </w:rPr>
        <w:t>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or those of our licensors and the enforcement or defense of our issued patents or those of our licensors, all of which could have a material adverse effect on our business, financial condition, results of operations and prospects.</w:t>
      </w:r>
    </w:p>
    <w:p>
      <w:pPr>
        <w:spacing w:after="0" w:line="73" w:lineRule="exact"/>
        <w:rPr>
          <w:sz w:val="20"/>
          <w:szCs w:val="20"/>
          <w:color w:val="auto"/>
        </w:rPr>
      </w:pPr>
    </w:p>
    <w:p>
      <w:pPr>
        <w:ind w:right="480"/>
        <w:spacing w:after="0" w:line="293" w:lineRule="auto"/>
        <w:rPr>
          <w:sz w:val="20"/>
          <w:szCs w:val="20"/>
          <w:color w:val="auto"/>
        </w:rPr>
      </w:pPr>
      <w:r>
        <w:rPr>
          <w:rFonts w:ascii="Arial" w:cs="Arial" w:eastAsia="Arial" w:hAnsi="Arial"/>
          <w:sz w:val="18"/>
          <w:szCs w:val="18"/>
          <w:b w:val="1"/>
          <w:bCs w:val="1"/>
          <w:i w:val="1"/>
          <w:iCs w:val="1"/>
          <w:color w:val="auto"/>
        </w:rPr>
        <w:t>Changes in U.S. patent law, or laws in other countries, could diminish the value of patents in general, thereby impairing our ability to protect our product candidates.</w:t>
      </w:r>
    </w:p>
    <w:p>
      <w:pPr>
        <w:spacing w:after="0" w:line="62" w:lineRule="exact"/>
        <w:rPr>
          <w:sz w:val="20"/>
          <w:szCs w:val="20"/>
          <w:color w:val="auto"/>
        </w:rPr>
      </w:pPr>
    </w:p>
    <w:p>
      <w:pPr>
        <w:ind w:right="20" w:firstLine="749"/>
        <w:spacing w:after="0" w:line="270" w:lineRule="auto"/>
        <w:rPr>
          <w:sz w:val="20"/>
          <w:szCs w:val="20"/>
          <w:color w:val="auto"/>
        </w:rPr>
      </w:pPr>
      <w:r>
        <w:rPr>
          <w:rFonts w:ascii="Arial" w:cs="Arial" w:eastAsia="Arial" w:hAnsi="Arial"/>
          <w:sz w:val="18"/>
          <w:szCs w:val="18"/>
          <w:color w:val="auto"/>
        </w:rPr>
        <w:t>As is the case with other pharmaceutical companies, our success is heavily dependent on intellectual property, particularly patents. Obtaining and enforcing patents in the pharmaceutical industry involve a high degree of technological and legal complexity. Therefore, obtaining and enforcing 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those of our licensors or in third-party patents. In addition, Congress or other foreign legislative bodies may pass patent reform legislation that is unfavorable to us.</w:t>
      </w:r>
    </w:p>
    <w:p>
      <w:pPr>
        <w:spacing w:after="0" w:line="84" w:lineRule="exact"/>
        <w:rPr>
          <w:sz w:val="20"/>
          <w:szCs w:val="20"/>
          <w:color w:val="auto"/>
        </w:rPr>
      </w:pPr>
    </w:p>
    <w:p>
      <w:pPr>
        <w:ind w:right="140" w:firstLine="749"/>
        <w:spacing w:after="0" w:line="271" w:lineRule="auto"/>
        <w:rPr>
          <w:sz w:val="20"/>
          <w:szCs w:val="20"/>
          <w:color w:val="auto"/>
        </w:rPr>
      </w:pPr>
      <w:r>
        <w:rPr>
          <w:rFonts w:ascii="Arial" w:cs="Arial" w:eastAsia="Arial" w:hAnsi="Arial"/>
          <w:sz w:val="18"/>
          <w:szCs w:val="18"/>
          <w:color w:val="auto"/>
        </w:rPr>
        <w:t>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patents and those of our licensors and the patents we might obtain or license in the future.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131" w:lineRule="exact"/>
        <w:rPr>
          <w:sz w:val="20"/>
          <w:szCs w:val="20"/>
          <w:color w:val="auto"/>
        </w:rPr>
      </w:pPr>
    </w:p>
    <w:p>
      <w:pPr>
        <w:ind w:right="120" w:firstLine="749"/>
        <w:spacing w:after="0" w:line="272" w:lineRule="auto"/>
        <w:rPr>
          <w:sz w:val="20"/>
          <w:szCs w:val="20"/>
          <w:color w:val="auto"/>
        </w:rPr>
      </w:pPr>
      <w:r>
        <w:rPr>
          <w:rFonts w:ascii="Arial" w:cs="Arial" w:eastAsia="Arial" w:hAnsi="Arial"/>
          <w:sz w:val="18"/>
          <w:szCs w:val="18"/>
          <w:color w:val="auto"/>
        </w:rPr>
        <w:t>We may also be subject to claims that former employees or other third parties have an ownership interest in our patents or those of our licensors or other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have a material adverse effect on our business. Even if we are successful in defending against such claims, litigation could result in substantial costs and distraction to management and other employees.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131" w:lineRule="exact"/>
        <w:rPr>
          <w:sz w:val="20"/>
          <w:szCs w:val="20"/>
          <w:color w:val="auto"/>
        </w:rPr>
      </w:pPr>
    </w:p>
    <w:p>
      <w:pPr>
        <w:ind w:right="80" w:firstLine="749"/>
        <w:spacing w:after="0" w:line="271" w:lineRule="auto"/>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obtain patent term extension for our product candidates, our business may be materially harmed.</w:t>
      </w:r>
    </w:p>
    <w:p>
      <w:pPr>
        <w:spacing w:after="0" w:line="131" w:lineRule="exact"/>
        <w:rPr>
          <w:sz w:val="20"/>
          <w:szCs w:val="20"/>
          <w:color w:val="auto"/>
        </w:rPr>
      </w:pPr>
    </w:p>
    <w:p>
      <w:pPr>
        <w:ind w:right="60" w:firstLine="749"/>
        <w:spacing w:after="0" w:line="308" w:lineRule="auto"/>
        <w:rPr>
          <w:sz w:val="20"/>
          <w:szCs w:val="20"/>
          <w:color w:val="auto"/>
        </w:rPr>
      </w:pPr>
      <w:r>
        <w:rPr>
          <w:rFonts w:ascii="Arial" w:cs="Arial" w:eastAsia="Arial" w:hAnsi="Arial"/>
          <w:sz w:val="16"/>
          <w:szCs w:val="16"/>
          <w:color w:val="auto"/>
        </w:rPr>
        <w:t>Depending upon the timing, duration and specifics of FDA marketing approval of our product candidates, one or more of our U.S. patents or those of our licensors may be eligible for limited patent term restoration under the Drug Price Competition and Patent Term Restoration Act of 1984 (Hatch-Waxman Amendments). The Hatch- 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2" w:name="page63"/>
    <w:bookmarkEnd w:id="62"/>
    <w:p>
      <w:pPr>
        <w:ind w:right="40"/>
        <w:spacing w:after="0" w:line="292" w:lineRule="auto"/>
        <w:rPr>
          <w:sz w:val="20"/>
          <w:szCs w:val="20"/>
          <w:color w:val="auto"/>
        </w:rPr>
      </w:pPr>
      <w:r>
        <w:rPr>
          <w:rFonts w:ascii="Arial" w:cs="Arial" w:eastAsia="Arial" w:hAnsi="Arial"/>
          <w:sz w:val="17"/>
          <w:szCs w:val="17"/>
          <w:color w:val="auto"/>
        </w:rPr>
        <w:t>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31" w:lineRule="exact"/>
        <w:rPr>
          <w:sz w:val="20"/>
          <w:szCs w:val="20"/>
          <w:color w:val="auto"/>
        </w:rPr>
      </w:pPr>
    </w:p>
    <w:p>
      <w:pPr>
        <w:ind w:right="40" w:firstLine="749"/>
        <w:spacing w:after="0" w:line="306" w:lineRule="auto"/>
        <w:rPr>
          <w:sz w:val="20"/>
          <w:szCs w:val="20"/>
          <w:color w:val="auto"/>
        </w:rPr>
      </w:pPr>
      <w:r>
        <w:rPr>
          <w:rFonts w:ascii="Arial" w:cs="Arial" w:eastAsia="Arial" w:hAnsi="Arial"/>
          <w:sz w:val="16"/>
          <w:szCs w:val="16"/>
          <w:color w:val="auto"/>
        </w:rPr>
        <w:t>Although as of September 30, 2021 we owned eight and licensed three issued patents in the United States and pending patent applications in the United States and other countries, filing, prosecuting and defending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the patents of our licensors, or other intellectual property rights may not be effective or sufficient to prevent them from competing.</w:t>
      </w:r>
    </w:p>
    <w:p>
      <w:pPr>
        <w:spacing w:after="0" w:line="62" w:lineRule="exact"/>
        <w:rPr>
          <w:sz w:val="20"/>
          <w:szCs w:val="20"/>
          <w:color w:val="auto"/>
        </w:rPr>
      </w:pPr>
    </w:p>
    <w:p>
      <w:pPr>
        <w:ind w:right="60" w:firstLine="749"/>
        <w:spacing w:after="0" w:line="269"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patents or our licensors’ patents or marketing of competing products in violation of our proprietary rights. Proceedings to enforce our patent rights and those of our licensors in foreign jurisdictions could result in substantial costs and divert our efforts and attention from other aspects of our business, could put our patents or the patents of our licensors at risk of being invalidated or interpreted narrowly and our patent applications or the patent applications of our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license, or obtain.</w:t>
      </w:r>
    </w:p>
    <w:p>
      <w:pPr>
        <w:spacing w:after="0" w:line="86" w:lineRule="exact"/>
        <w:rPr>
          <w:sz w:val="20"/>
          <w:szCs w:val="20"/>
          <w:color w:val="auto"/>
        </w:rPr>
      </w:pPr>
    </w:p>
    <w:p>
      <w:pPr>
        <w:ind w:right="220" w:firstLine="749"/>
        <w:spacing w:after="0" w:line="272"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83" w:lineRule="exact"/>
        <w:rPr>
          <w:sz w:val="20"/>
          <w:szCs w:val="20"/>
          <w:color w:val="auto"/>
        </w:rPr>
      </w:pPr>
    </w:p>
    <w:p>
      <w:pPr>
        <w:ind w:right="180"/>
        <w:spacing w:after="0" w:line="279"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75" w:lineRule="exact"/>
        <w:rPr>
          <w:sz w:val="20"/>
          <w:szCs w:val="20"/>
          <w:color w:val="auto"/>
        </w:rPr>
      </w:pPr>
    </w:p>
    <w:p>
      <w:pPr>
        <w:ind w:right="120" w:firstLine="749"/>
        <w:spacing w:after="0" w:line="308" w:lineRule="auto"/>
        <w:rPr>
          <w:sz w:val="20"/>
          <w:szCs w:val="20"/>
          <w:color w:val="auto"/>
        </w:rPr>
      </w:pPr>
      <w:r>
        <w:rPr>
          <w:rFonts w:ascii="Arial" w:cs="Arial" w:eastAsia="Arial" w:hAnsi="Arial"/>
          <w:sz w:val="16"/>
          <w:szCs w:val="16"/>
          <w:color w:val="auto"/>
        </w:rPr>
        <w:t>Periodic maintenance fees, renewal fees, annuity fees and various other governmental fees on patents and/or patent applications will be due to the USPTO and various foreign patent offices at various points over the lifetime of our patents and/or patent applications and those of our licensors.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p>
    <w:p>
      <w:pPr>
        <w:spacing w:after="0" w:line="55" w:lineRule="exact"/>
        <w:rPr>
          <w:sz w:val="20"/>
          <w:szCs w:val="20"/>
          <w:color w:val="auto"/>
        </w:rPr>
      </w:pPr>
    </w:p>
    <w:p>
      <w:pPr>
        <w:ind w:right="120"/>
        <w:spacing w:after="0" w:line="293"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ind w:firstLine="749"/>
        <w:spacing w:after="0" w:line="309" w:lineRule="auto"/>
        <w:rPr>
          <w:sz w:val="20"/>
          <w:szCs w:val="20"/>
          <w:color w:val="auto"/>
        </w:rPr>
      </w:pPr>
      <w:r>
        <w:rPr>
          <w:rFonts w:ascii="Arial" w:cs="Arial" w:eastAsia="Arial" w:hAnsi="Arial"/>
          <w:sz w:val="16"/>
          <w:szCs w:val="16"/>
          <w:color w:val="auto"/>
        </w:rPr>
        <w:t>We intend to use registered or unregistered trademarks or trade names to brand and market ourselves and our products. As of September 30, 2021, we had two pending United States trademark applications. Our trademark applications may not result in any trademark registrations being issued, and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3" w:name="page64"/>
    <w:bookmarkEnd w:id="63"/>
    <w:p>
      <w:pPr>
        <w:ind w:right="20"/>
        <w:spacing w:after="0" w:line="275" w:lineRule="auto"/>
        <w:rPr>
          <w:sz w:val="20"/>
          <w:szCs w:val="20"/>
          <w:color w:val="auto"/>
        </w:rPr>
      </w:pPr>
      <w:r>
        <w:rPr>
          <w:rFonts w:ascii="Arial" w:cs="Arial" w:eastAsia="Arial" w:hAnsi="Arial"/>
          <w:sz w:val="18"/>
          <w:szCs w:val="18"/>
          <w:color w:val="auto"/>
        </w:rPr>
        <w:t>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financial condition or results of operations.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31" w:lineRule="exact"/>
        <w:rPr>
          <w:sz w:val="20"/>
          <w:szCs w:val="20"/>
          <w:color w:val="auto"/>
        </w:rPr>
      </w:pPr>
    </w:p>
    <w:p>
      <w:pPr>
        <w:ind w:right="60" w:firstLine="749"/>
        <w:spacing w:after="0" w:line="288" w:lineRule="auto"/>
        <w:rPr>
          <w:sz w:val="20"/>
          <w:szCs w:val="20"/>
          <w:color w:val="auto"/>
        </w:rPr>
      </w:pPr>
      <w:r>
        <w:rPr>
          <w:rFonts w:ascii="Arial" w:cs="Arial" w:eastAsia="Arial" w:hAnsi="Arial"/>
          <w:sz w:val="17"/>
          <w:szCs w:val="17"/>
          <w:color w:val="auto"/>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provide any assurances that all such agreements have been duly executed, and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73" w:lineRule="exact"/>
        <w:rPr>
          <w:sz w:val="20"/>
          <w:szCs w:val="20"/>
          <w:color w:val="auto"/>
        </w:rPr>
      </w:pPr>
    </w:p>
    <w:p>
      <w:pPr>
        <w:ind w:right="60" w:firstLine="749"/>
        <w:spacing w:after="0" w:line="292" w:lineRule="auto"/>
        <w:rPr>
          <w:sz w:val="20"/>
          <w:szCs w:val="20"/>
          <w:color w:val="auto"/>
        </w:rPr>
      </w:pPr>
      <w:r>
        <w:rPr>
          <w:rFonts w:ascii="Arial" w:cs="Arial" w:eastAsia="Arial" w:hAnsi="Arial"/>
          <w:sz w:val="17"/>
          <w:szCs w:val="17"/>
          <w:color w:val="auto"/>
        </w:rPr>
        <w:t>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subject to claims that we or our employees have wrongfully used or disclosed alleged confidential information or trade secrets.</w:t>
      </w:r>
    </w:p>
    <w:p>
      <w:pPr>
        <w:spacing w:after="0" w:line="154" w:lineRule="exact"/>
        <w:rPr>
          <w:sz w:val="20"/>
          <w:szCs w:val="20"/>
          <w:color w:val="auto"/>
        </w:rPr>
      </w:pPr>
    </w:p>
    <w:p>
      <w:pPr>
        <w:ind w:firstLine="749"/>
        <w:spacing w:after="0" w:line="285" w:lineRule="auto"/>
        <w:rPr>
          <w:sz w:val="20"/>
          <w:szCs w:val="20"/>
          <w:color w:val="auto"/>
        </w:rPr>
      </w:pPr>
      <w:r>
        <w:rPr>
          <w:rFonts w:ascii="Arial" w:cs="Arial" w:eastAsia="Arial" w:hAnsi="Arial"/>
          <w:sz w:val="17"/>
          <w:szCs w:val="17"/>
          <w:color w:val="auto"/>
        </w:rPr>
        <w:t>We have entered into and may enter in the future into non-disclosure and confidentiality agreements to protect the proprietary positions of third parties, such as outside scientific collaborators, CROs, third-party manufacturers, consultants, advisors, potential partners, lessees of shared multi-company property and other third parties. We may become subject to litigation where a third party asserts that we or our employees inadvertently or otherwise breached the agreements and used or disclosed trade secrets or other information proprietary to the third parties. A third party has inquired about a potential breach of a non-disclosure and confidentiality agreement in view of our developments in the CD73 inhibitor program. The inquiry may progress to a claim that we or our employees inadvertently or otherwise breached the agreement and used trade secrets or other information proprietary to the third party.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our product candidates and technology. Failure to defend against any such claim could subject us to significant liability for monetary damages or prevent or delay our developmental and commercialization efforts, which could adversely affect our business. Even if we are successful in defending against these claims, litigation could result in substantial costs and be a distraction to our management team and other employees.</w:t>
      </w:r>
    </w:p>
    <w:p>
      <w:pPr>
        <w:spacing w:after="0" w:line="77" w:lineRule="exact"/>
        <w:rPr>
          <w:sz w:val="20"/>
          <w:szCs w:val="20"/>
          <w:color w:val="auto"/>
        </w:rPr>
      </w:pPr>
    </w:p>
    <w:p>
      <w:pPr>
        <w:ind w:firstLine="749"/>
        <w:spacing w:after="0" w:line="272" w:lineRule="auto"/>
        <w:rPr>
          <w:sz w:val="20"/>
          <w:szCs w:val="20"/>
          <w:color w:val="auto"/>
        </w:rPr>
      </w:pPr>
      <w:r>
        <w:rPr>
          <w:rFonts w:ascii="Arial" w:cs="Arial" w:eastAsia="Arial" w:hAnsi="Arial"/>
          <w:sz w:val="18"/>
          <w:szCs w:val="18"/>
          <w:color w:val="auto"/>
        </w:rPr>
        <w:t>Parties making claims against us may be able to sustain the costs of complex intellectual property litigation more effectively than we can because they have substantially greater resources.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operating results, financial condition and prospects.</w:t>
      </w:r>
    </w:p>
    <w:p>
      <w:pPr>
        <w:spacing w:after="0" w:line="83" w:lineRule="exact"/>
        <w:rPr>
          <w:sz w:val="20"/>
          <w:szCs w:val="20"/>
          <w:color w:val="auto"/>
        </w:rPr>
      </w:pPr>
    </w:p>
    <w:p>
      <w:pPr>
        <w:ind w:right="600"/>
        <w:spacing w:after="0" w:line="293" w:lineRule="auto"/>
        <w:rPr>
          <w:sz w:val="20"/>
          <w:szCs w:val="20"/>
          <w:color w:val="auto"/>
        </w:rPr>
      </w:pPr>
      <w:r>
        <w:rPr>
          <w:rFonts w:ascii="Arial" w:cs="Arial" w:eastAsia="Arial" w:hAnsi="Arial"/>
          <w:sz w:val="18"/>
          <w:szCs w:val="18"/>
          <w:b w:val="1"/>
          <w:bCs w:val="1"/>
          <w:i w:val="1"/>
          <w:iCs w:val="1"/>
          <w:color w:val="auto"/>
        </w:rPr>
        <w:t>We may be subject to claims that we have wrongfully hired an employee from a competitor or that we or our employees have wrongfully used or disclosed alleged confidential information or trade secrets of their former employers.</w:t>
      </w:r>
    </w:p>
    <w:p>
      <w:pPr>
        <w:spacing w:after="0" w:line="62" w:lineRule="exact"/>
        <w:rPr>
          <w:sz w:val="20"/>
          <w:szCs w:val="20"/>
          <w:color w:val="auto"/>
        </w:rPr>
      </w:pPr>
    </w:p>
    <w:p>
      <w:pPr>
        <w:ind w:right="20" w:firstLine="749"/>
        <w:spacing w:after="0" w:line="309" w:lineRule="auto"/>
        <w:rPr>
          <w:sz w:val="20"/>
          <w:szCs w:val="20"/>
          <w:color w:val="auto"/>
        </w:rPr>
      </w:pPr>
      <w:r>
        <w:rPr>
          <w:rFonts w:ascii="Arial" w:cs="Arial" w:eastAsia="Arial" w:hAnsi="Arial"/>
          <w:sz w:val="16"/>
          <w:szCs w:val="16"/>
          <w:color w:val="auto"/>
        </w:rPr>
        <w:t>As is common in the pharmaceutical industry,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64" w:name="page65"/>
    <w:bookmarkEnd w:id="64"/>
    <w:p>
      <w:pPr>
        <w:ind w:right="40"/>
        <w:spacing w:after="0" w:line="293" w:lineRule="auto"/>
        <w:rPr>
          <w:sz w:val="20"/>
          <w:szCs w:val="20"/>
          <w:color w:val="auto"/>
        </w:rPr>
      </w:pPr>
      <w:r>
        <w:rPr>
          <w:rFonts w:ascii="Arial" w:cs="Arial" w:eastAsia="Arial" w:hAnsi="Arial"/>
          <w:sz w:val="18"/>
          <w:szCs w:val="18"/>
          <w:b w:val="1"/>
          <w:bCs w:val="1"/>
          <w:i w:val="1"/>
          <w:iCs w:val="1"/>
          <w:color w:val="auto"/>
        </w:rPr>
        <w:t>Our rights to develop and commercialize our technology and product candidates may be subject, in part, to the terms and conditions of licenses granted to us by others.</w:t>
      </w:r>
    </w:p>
    <w:p>
      <w:pPr>
        <w:spacing w:after="0" w:line="62" w:lineRule="exact"/>
        <w:rPr>
          <w:sz w:val="20"/>
          <w:szCs w:val="20"/>
          <w:color w:val="auto"/>
        </w:rPr>
      </w:pPr>
    </w:p>
    <w:p>
      <w:pPr>
        <w:ind w:firstLine="749"/>
        <w:spacing w:after="0" w:line="275" w:lineRule="auto"/>
        <w:rPr>
          <w:sz w:val="20"/>
          <w:szCs w:val="20"/>
          <w:color w:val="auto"/>
        </w:rPr>
      </w:pPr>
      <w:r>
        <w:rPr>
          <w:rFonts w:ascii="Arial" w:cs="Arial" w:eastAsia="Arial" w:hAnsi="Arial"/>
          <w:sz w:val="18"/>
          <w:szCs w:val="18"/>
          <w:color w:val="auto"/>
        </w:rPr>
        <w:t>We have entered into license agreements with third parties and we may enter into additional license agreements in the future with others to advance our research or allow commercialization of product candidates. These and other licenses may not provide exclusive rights to use such intellectual property and technology in all relevant fields of use and in all territories in which we may wish to develop or commercialize our technology and products in the future.</w:t>
      </w:r>
    </w:p>
    <w:p>
      <w:pPr>
        <w:spacing w:after="0" w:line="77" w:lineRule="exact"/>
        <w:rPr>
          <w:sz w:val="20"/>
          <w:szCs w:val="20"/>
          <w:color w:val="auto"/>
        </w:rPr>
      </w:pPr>
    </w:p>
    <w:p>
      <w:pPr>
        <w:ind w:right="120" w:firstLine="749"/>
        <w:spacing w:after="0" w:line="271" w:lineRule="auto"/>
        <w:rPr>
          <w:sz w:val="20"/>
          <w:szCs w:val="20"/>
          <w:color w:val="auto"/>
        </w:rPr>
      </w:pPr>
      <w:r>
        <w:rPr>
          <w:rFonts w:ascii="Arial" w:cs="Arial" w:eastAsia="Arial" w:hAnsi="Arial"/>
          <w:sz w:val="18"/>
          <w:szCs w:val="18"/>
          <w:color w:val="auto"/>
        </w:rPr>
        <w:t>In addition, subject to the terms of any such license agreements, we may not have the right to control the preparation, filing, prosecution, maintenance, enforcement, and defense of patents and patent applications covering the technology that we license from third parties. In such an event, we cannot be certain that these patents and patent applications will be prepared, filed, prosecuted, maintained, enforced, and defended in a manner consistent with the best interests of our business. If our licensors fail to prosecute, maintain, enforce, and defend such patents, or lose rights to those patents or patent applications, the rights we have licensed may be reduced or eliminated, and our right to develop and commercialize any of our products that are subject of such licensed rights could be adversely affected.</w:t>
      </w:r>
    </w:p>
    <w:p>
      <w:pPr>
        <w:spacing w:after="0" w:line="83" w:lineRule="exact"/>
        <w:rPr>
          <w:sz w:val="20"/>
          <w:szCs w:val="20"/>
          <w:color w:val="auto"/>
        </w:rPr>
      </w:pPr>
    </w:p>
    <w:p>
      <w:pPr>
        <w:ind w:right="140" w:firstLine="749"/>
        <w:spacing w:after="0" w:line="275" w:lineRule="auto"/>
        <w:rPr>
          <w:sz w:val="20"/>
          <w:szCs w:val="20"/>
          <w:color w:val="auto"/>
        </w:rPr>
      </w:pPr>
      <w:r>
        <w:rPr>
          <w:rFonts w:ascii="Arial" w:cs="Arial" w:eastAsia="Arial" w:hAnsi="Arial"/>
          <w:sz w:val="18"/>
          <w:szCs w:val="18"/>
          <w:color w:val="auto"/>
        </w:rPr>
        <w:t>Our licensors may have relied on third party consultants or collaborators or on funds from third parties such that our licensors are not the sole and exclusive owners of the patents we in-licensed. If other third parties have ownership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77" w:lineRule="exact"/>
        <w:rPr>
          <w:sz w:val="20"/>
          <w:szCs w:val="20"/>
          <w:color w:val="auto"/>
        </w:rPr>
      </w:pPr>
    </w:p>
    <w:p>
      <w:pPr>
        <w:ind w:right="60" w:firstLine="749"/>
        <w:spacing w:after="0" w:line="308" w:lineRule="auto"/>
        <w:rPr>
          <w:sz w:val="20"/>
          <w:szCs w:val="20"/>
          <w:color w:val="auto"/>
        </w:rPr>
      </w:pPr>
      <w:r>
        <w:rPr>
          <w:rFonts w:ascii="Arial" w:cs="Arial" w:eastAsia="Arial" w:hAnsi="Arial"/>
          <w:sz w:val="16"/>
          <w:szCs w:val="16"/>
          <w:color w:val="auto"/>
        </w:rPr>
        <w:t>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 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w:t>
      </w:r>
    </w:p>
    <w:p>
      <w:pPr>
        <w:spacing w:after="0" w:line="55" w:lineRule="exact"/>
        <w:rPr>
          <w:sz w:val="20"/>
          <w:szCs w:val="20"/>
          <w:color w:val="auto"/>
        </w:rPr>
      </w:pPr>
    </w:p>
    <w:p>
      <w:pPr>
        <w:ind w:right="800"/>
        <w:spacing w:after="0" w:line="394" w:lineRule="auto"/>
        <w:rPr>
          <w:sz w:val="20"/>
          <w:szCs w:val="20"/>
          <w:color w:val="auto"/>
        </w:rPr>
      </w:pPr>
      <w:r>
        <w:rPr>
          <w:rFonts w:ascii="Arial" w:cs="Arial" w:eastAsia="Arial" w:hAnsi="Arial"/>
          <w:sz w:val="15"/>
          <w:szCs w:val="15"/>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1" w:lineRule="exact"/>
        <w:rPr>
          <w:sz w:val="20"/>
          <w:szCs w:val="20"/>
          <w:color w:val="auto"/>
        </w:rPr>
      </w:pPr>
    </w:p>
    <w:p>
      <w:pPr>
        <w:jc w:val="both"/>
        <w:ind w:right="120" w:firstLine="749"/>
        <w:spacing w:after="0" w:line="279" w:lineRule="auto"/>
        <w:rPr>
          <w:sz w:val="20"/>
          <w:szCs w:val="20"/>
          <w:color w:val="auto"/>
        </w:rPr>
      </w:pPr>
      <w:r>
        <w:rPr>
          <w:rFonts w:ascii="Arial" w:cs="Arial" w:eastAsia="Arial" w:hAnsi="Arial"/>
          <w:sz w:val="18"/>
          <w:szCs w:val="18"/>
          <w:color w:val="auto"/>
        </w:rPr>
        <w:t>Our existing license agreements, and we expect that our future agreements will, impose various development, diligence, commercialization, and other obligations on us. Certain of our license agreements also require us to meet development timelines, or to exercise commercially reasonable efforts to develop and commercialize licensed products, in order to maintain the license.</w:t>
      </w:r>
    </w:p>
    <w:p>
      <w:pPr>
        <w:spacing w:after="0" w:line="75" w:lineRule="exact"/>
        <w:rPr>
          <w:sz w:val="20"/>
          <w:szCs w:val="20"/>
          <w:color w:val="auto"/>
        </w:rPr>
      </w:pPr>
    </w:p>
    <w:p>
      <w:pPr>
        <w:ind w:left="760"/>
        <w:spacing w:after="0"/>
        <w:rPr>
          <w:sz w:val="20"/>
          <w:szCs w:val="20"/>
          <w:color w:val="auto"/>
        </w:rPr>
      </w:pPr>
      <w:r>
        <w:rPr>
          <w:rFonts w:ascii="Arial" w:cs="Arial" w:eastAsia="Arial" w:hAnsi="Arial"/>
          <w:sz w:val="17"/>
          <w:szCs w:val="17"/>
          <w:color w:val="auto"/>
        </w:rPr>
        <w:t>Moreover, disputes may arise between us and our licensors regarding intellectual property subject to a license agreement, including:</w:t>
      </w:r>
    </w:p>
    <w:p>
      <w:pPr>
        <w:spacing w:after="0" w:line="14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scope of rights granted under the license agreement and other interpretation-related issues;</w:t>
      </w:r>
    </w:p>
    <w:p>
      <w:pPr>
        <w:spacing w:after="0" w:line="131" w:lineRule="exact"/>
        <w:rPr>
          <w:sz w:val="20"/>
          <w:szCs w:val="20"/>
          <w:color w:val="auto"/>
        </w:rPr>
      </w:pPr>
    </w:p>
    <w:p>
      <w:pPr>
        <w:ind w:left="1200" w:right="400"/>
        <w:spacing w:after="0" w:line="293" w:lineRule="auto"/>
        <w:rPr>
          <w:sz w:val="20"/>
          <w:szCs w:val="20"/>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licensing agreement;</w:t>
      </w:r>
    </w:p>
    <w:p>
      <w:pPr>
        <w:spacing w:after="0" w:line="6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our right to sublicense patents and other rights to third parties;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our right to transfer or assign the license;</w:t>
      </w:r>
    </w:p>
    <w:p>
      <w:pPr>
        <w:spacing w:after="0" w:line="131" w:lineRule="exact"/>
        <w:rPr>
          <w:sz w:val="20"/>
          <w:szCs w:val="20"/>
          <w:color w:val="auto"/>
        </w:rPr>
      </w:pPr>
    </w:p>
    <w:p>
      <w:pPr>
        <w:ind w:left="1200" w:right="660"/>
        <w:spacing w:after="0" w:line="293" w:lineRule="auto"/>
        <w:rPr>
          <w:sz w:val="20"/>
          <w:szCs w:val="20"/>
          <w:color w:val="auto"/>
        </w:rPr>
      </w:pPr>
      <w:r>
        <w:rPr>
          <w:rFonts w:ascii="Arial" w:cs="Arial" w:eastAsia="Arial" w:hAnsi="Arial"/>
          <w:sz w:val="18"/>
          <w:szCs w:val="18"/>
          <w:color w:val="auto"/>
        </w:rPr>
        <w:t>the inventorship and ownership of inventions and know-how resulting from the joint creation or use of intellectual property by our licensors and us and our partners; and</w:t>
      </w:r>
    </w:p>
    <w:p>
      <w:pPr>
        <w:spacing w:after="0" w:line="6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priority of invention of patented technology.</w:t>
      </w:r>
    </w:p>
    <w:p>
      <w:pPr>
        <w:spacing w:after="0" w:line="131" w:lineRule="exact"/>
        <w:rPr>
          <w:sz w:val="20"/>
          <w:szCs w:val="20"/>
          <w:color w:val="auto"/>
        </w:rPr>
      </w:pPr>
    </w:p>
    <w:p>
      <w:pPr>
        <w:ind w:right="160" w:firstLine="749"/>
        <w:spacing w:after="0" w:line="271" w:lineRule="auto"/>
        <w:rPr>
          <w:sz w:val="20"/>
          <w:szCs w:val="20"/>
          <w:color w:val="auto"/>
        </w:rPr>
      </w:pPr>
      <w:r>
        <w:rPr>
          <w:rFonts w:ascii="Arial" w:cs="Arial" w:eastAsia="Arial" w:hAnsi="Arial"/>
          <w:sz w:val="18"/>
          <w:szCs w:val="18"/>
          <w:color w:val="auto"/>
        </w:rPr>
        <w:t>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5" w:name="page66"/>
    <w:bookmarkEnd w:id="65"/>
    <w:p>
      <w:pPr>
        <w:ind w:right="60"/>
        <w:spacing w:after="0" w:line="293" w:lineRule="auto"/>
        <w:rPr>
          <w:sz w:val="20"/>
          <w:szCs w:val="20"/>
          <w:color w:val="auto"/>
        </w:rPr>
      </w:pPr>
      <w:r>
        <w:rPr>
          <w:rFonts w:ascii="Arial" w:cs="Arial" w:eastAsia="Arial" w:hAnsi="Arial"/>
          <w:sz w:val="18"/>
          <w:szCs w:val="18"/>
          <w:color w:val="auto"/>
        </w:rPr>
        <w:t>commercially reasonable terms, we may be unable to successfully develop and commercialize the affected product candidates, which could have a material adverse effect on our business, financial conditions, results of operations, and prospects.</w:t>
      </w:r>
    </w:p>
    <w:p>
      <w:pPr>
        <w:spacing w:after="0" w:line="62" w:lineRule="exact"/>
        <w:rPr>
          <w:sz w:val="20"/>
          <w:szCs w:val="20"/>
          <w:color w:val="auto"/>
        </w:rPr>
      </w:pPr>
    </w:p>
    <w:p>
      <w:pPr>
        <w:ind w:right="20" w:firstLine="749"/>
        <w:spacing w:after="0" w:line="286" w:lineRule="auto"/>
        <w:rPr>
          <w:sz w:val="20"/>
          <w:szCs w:val="20"/>
          <w:color w:val="auto"/>
        </w:rPr>
      </w:pPr>
      <w:r>
        <w:rPr>
          <w:rFonts w:ascii="Arial" w:cs="Arial" w:eastAsia="Arial" w:hAnsi="Arial"/>
          <w:sz w:val="17"/>
          <w:szCs w:val="17"/>
          <w:color w:val="auto"/>
        </w:rPr>
        <w:t>In spite of our best efforts, our licensors might conclude that we have materially breached our obligations under such license agreements and might therefore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and we may be required to cease our development and commercialization of certain of our product candidates. For example, if Mirati terminates the Mirati License Agreement, we may be required to cease our development and commercialization of licensed products directed to PRC2 and would be obligated to assign to Mirati, or grant an exclusive license to Mirati with respect to, certain of our patents, know-how and regulatory filings. Likewise, if Voronoi terminates the Voronoi License Agreement, we may be required to cease our development and commercialization of licensed products directed to epidermal growth factor receptor (EGFR, or ErbB1) and human epidermal growth factor receptor 2 (HER2, or ErbB2) with exon 20 insertion mutations and we would be obligated to grant a nonexclusive license to Voronoi under certain of our patents and know-how, and to assign to Voronoi certain of our regulatory filings. Any of the foregoing could have a material adverse effect on our competitive position, business, financial conditions, results of operations, and prospects.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patent protection and patent prosecution for some of our product candidates may be dependent on third parties.</w:t>
      </w:r>
    </w:p>
    <w:p>
      <w:pPr>
        <w:spacing w:after="0" w:line="131" w:lineRule="exact"/>
        <w:rPr>
          <w:sz w:val="20"/>
          <w:szCs w:val="20"/>
          <w:color w:val="auto"/>
        </w:rPr>
      </w:pPr>
    </w:p>
    <w:p>
      <w:pPr>
        <w:ind w:right="20" w:firstLine="749"/>
        <w:spacing w:after="0" w:line="286" w:lineRule="auto"/>
        <w:rPr>
          <w:sz w:val="20"/>
          <w:szCs w:val="20"/>
          <w:color w:val="auto"/>
        </w:rPr>
      </w:pPr>
      <w:r>
        <w:rPr>
          <w:rFonts w:ascii="Arial" w:cs="Arial" w:eastAsia="Arial" w:hAnsi="Arial"/>
          <w:sz w:val="17"/>
          <w:szCs w:val="17"/>
          <w:color w:val="auto"/>
        </w:rPr>
        <w:t>While we normally seek to obtain the right to control the preparation, filing, prosecution, maintenance, enforcement, and defense of the patent applications and patents relating to our product candidates, there may be times when the preparation, filing, prosecution, maintenance, enforcement and defense activities for patents and patent applications relating to our product candidates are controlled by our licensors or collaboration partners. If any of our licensors or collaboration partners fail to prepare, file, prosecute, maintain, enforce, and defend such patents and patent applications in a manner consistent with the best interests of our business, including by payment of all applicable fees for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 competing products. In addition, even where we have the right to control the preparation, filing, prosecution, maintenance, enforcement, and defense of patents and patent applications we have licensed to and from third parties, we may still be adversely affected or prejudiced by actions or inactions of our licensees, our licensors and their counsel that took place prior to the date upon which we assumed control over such activities.</w:t>
      </w:r>
    </w:p>
    <w:p>
      <w:pPr>
        <w:spacing w:after="0" w:line="74" w:lineRule="exact"/>
        <w:rPr>
          <w:sz w:val="20"/>
          <w:szCs w:val="20"/>
          <w:color w:val="auto"/>
        </w:rPr>
      </w:pPr>
    </w:p>
    <w:p>
      <w:pPr>
        <w:ind w:right="400"/>
        <w:spacing w:after="0" w:line="279" w:lineRule="auto"/>
        <w:rPr>
          <w:sz w:val="20"/>
          <w:szCs w:val="20"/>
          <w:color w:val="auto"/>
        </w:rPr>
      </w:pPr>
      <w:r>
        <w:rPr>
          <w:rFonts w:ascii="Arial" w:cs="Arial" w:eastAsia="Arial" w:hAnsi="Arial"/>
          <w:sz w:val="18"/>
          <w:szCs w:val="18"/>
          <w:b w:val="1"/>
          <w:bCs w:val="1"/>
          <w:i w:val="1"/>
          <w:iCs w:val="1"/>
          <w:color w:val="auto"/>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75" w:lineRule="exact"/>
        <w:rPr>
          <w:sz w:val="20"/>
          <w:szCs w:val="20"/>
          <w:color w:val="auto"/>
        </w:rPr>
      </w:pPr>
    </w:p>
    <w:p>
      <w:pPr>
        <w:ind w:firstLine="749"/>
        <w:spacing w:after="0" w:line="283" w:lineRule="auto"/>
        <w:rPr>
          <w:sz w:val="20"/>
          <w:szCs w:val="20"/>
          <w:color w:val="auto"/>
        </w:rPr>
      </w:pPr>
      <w:r>
        <w:rPr>
          <w:rFonts w:ascii="Arial" w:cs="Arial" w:eastAsia="Arial" w:hAnsi="Arial"/>
          <w:sz w:val="17"/>
          <w:szCs w:val="17"/>
          <w:color w:val="auto"/>
        </w:rPr>
        <w:t>Our patent applications licensed from MSKCC, which do not cover ORIC-101, any of our current product candidates or any of our discovery and research programs, have been supported through the use of U.S. government funding awarded by the National Institutes of Health and the United States Army Medical Research and Materiel Command. Although we do not currently own issued patents or pending patent applications that have been generated through the use of U.S. government funding, we may acquire or license in the future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If the U.S. government exercised its march-in rights in our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08"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i w:val="1"/>
          <w:iCs w:val="1"/>
          <w:color w:val="auto"/>
        </w:rPr>
        <w:t>We rely on third parties to conduct our clinical trials and those third parties may not perform satisfactorily, including failing to meet deadlines for the completion of such trials, research and studies.</w:t>
      </w:r>
    </w:p>
    <w:p>
      <w:pPr>
        <w:spacing w:after="0" w:line="76" w:lineRule="exact"/>
        <w:rPr>
          <w:sz w:val="20"/>
          <w:szCs w:val="20"/>
          <w:color w:val="auto"/>
        </w:rPr>
      </w:pPr>
    </w:p>
    <w:p>
      <w:pPr>
        <w:ind w:firstLine="749"/>
        <w:spacing w:after="0" w:line="287" w:lineRule="auto"/>
        <w:rPr>
          <w:sz w:val="20"/>
          <w:szCs w:val="20"/>
          <w:color w:val="auto"/>
        </w:rPr>
      </w:pPr>
      <w:r>
        <w:rPr>
          <w:rFonts w:ascii="Arial" w:cs="Arial" w:eastAsia="Arial" w:hAnsi="Arial"/>
          <w:sz w:val="17"/>
          <w:szCs w:val="17"/>
          <w:color w:val="auto"/>
        </w:rPr>
        <w:t>We do not have the ability to independently conduct our clinical trials. We currently rely on third parties, such as CROs, clinical data management organizations, medical institutions and clinical investigators, to conduct our current and planned clinical trials of ORIC-101 and we expect to continue to rely upon third parties to conduct additional clinical trials of ORIC-101 and other product candidates. Third parties have a significant role in the conduct of our clinical trials and the subsequent collection and analysis of data. These third parties are not our employees, and except for remedies available to us under our agreements with such third parties, we have limited ability to control the amount or timing of resources that any such third party will devote to our clinical trials. The third parties we rely on for these services may also have relationships with other entities, some of which may be our competitors. Some of these third parties may terminate their engagements with us at any time. If we need to enter into alternative arrangements with a third party, it would delay our drug development activities.</w:t>
      </w:r>
    </w:p>
    <w:p>
      <w:pPr>
        <w:spacing w:after="0" w:line="74" w:lineRule="exact"/>
        <w:rPr>
          <w:sz w:val="20"/>
          <w:szCs w:val="20"/>
          <w:color w:val="auto"/>
        </w:rPr>
      </w:pPr>
    </w:p>
    <w:p>
      <w:pPr>
        <w:ind w:right="40" w:firstLine="749"/>
        <w:spacing w:after="0" w:line="286" w:lineRule="auto"/>
        <w:rPr>
          <w:sz w:val="20"/>
          <w:szCs w:val="20"/>
          <w:color w:val="auto"/>
        </w:rPr>
      </w:pPr>
      <w:r>
        <w:rPr>
          <w:rFonts w:ascii="Arial" w:cs="Arial" w:eastAsia="Arial" w:hAnsi="Arial"/>
          <w:sz w:val="17"/>
          <w:szCs w:val="17"/>
          <w:color w:val="auto"/>
        </w:rPr>
        <w:t>Our reliance on these third parties for such drug development activities will reduce our control over these activities but will not relieve us of our regulatory responsibilities. For example, we will remain responsible for ensuring that each of our clinical trials is conducted in accordance with the general investigational plan and protocols for the trial. Moreover, the FDA requires us to comply with GCP standards, regulations for conducting, recording and reporting the results of clinical trials to assure that data and reported results are reliable and accurate and that the rights, integrity and confidentiality of trial participants are protected. The EMA also requires us to comply with similar standards. Regulatory authorities enforce these GCP requirements through periodic inspections of trial sponsors, principal investigators and trial sites. If we or any of our CROs fail to comply with applicable GCP requirements, the clinical data generated in our clinical trials may be deemed unreliable and the FDA, EMA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substantially comply with GCP regulations. In addition, our clinical trials must be conducted with product produced under current cGMP regulations. Our failure to comply with these regulations may require us to repeat clinical trials, which would delay the marketing approval process.</w:t>
      </w:r>
    </w:p>
    <w:p>
      <w:pPr>
        <w:spacing w:after="0" w:line="70" w:lineRule="exact"/>
        <w:rPr>
          <w:sz w:val="20"/>
          <w:szCs w:val="20"/>
          <w:color w:val="auto"/>
        </w:rPr>
      </w:pPr>
    </w:p>
    <w:p>
      <w:pPr>
        <w:jc w:val="both"/>
        <w:ind w:right="260" w:firstLine="749"/>
        <w:spacing w:after="0" w:line="329" w:lineRule="auto"/>
        <w:rPr>
          <w:sz w:val="20"/>
          <w:szCs w:val="20"/>
          <w:color w:val="auto"/>
        </w:rPr>
      </w:pPr>
      <w:r>
        <w:rPr>
          <w:rFonts w:ascii="Arial" w:cs="Arial" w:eastAsia="Arial" w:hAnsi="Arial"/>
          <w:sz w:val="16"/>
          <w:szCs w:val="16"/>
          <w:color w:val="auto"/>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w:t>
      </w:r>
    </w:p>
    <w:p>
      <w:pPr>
        <w:spacing w:after="0" w:line="40"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i w:val="1"/>
          <w:iCs w:val="1"/>
          <w:color w:val="auto"/>
        </w:rPr>
        <w:t>We contract with third parties for the production of our product candidates for preclinical studies and, in the case of ORIC-101, our ongoing clinical trials, and expect to continue to do so for additional clinical trials and ultimately for commercialization. This reliance on third parties increases the risk that we will not have sufficient quality and quantities of our product candidates or such quantities at an acceptable cost, which could delay, prevent or impair our development or commercialization efforts.</w:t>
      </w:r>
    </w:p>
    <w:p>
      <w:pPr>
        <w:spacing w:after="0" w:line="77" w:lineRule="exact"/>
        <w:rPr>
          <w:sz w:val="20"/>
          <w:szCs w:val="20"/>
          <w:color w:val="auto"/>
        </w:rPr>
      </w:pPr>
    </w:p>
    <w:p>
      <w:pPr>
        <w:ind w:right="40" w:firstLine="749"/>
        <w:spacing w:after="0" w:line="308" w:lineRule="auto"/>
        <w:rPr>
          <w:sz w:val="20"/>
          <w:szCs w:val="20"/>
          <w:color w:val="auto"/>
        </w:rPr>
      </w:pPr>
      <w:r>
        <w:rPr>
          <w:rFonts w:ascii="Arial" w:cs="Arial" w:eastAsia="Arial" w:hAnsi="Arial"/>
          <w:sz w:val="16"/>
          <w:szCs w:val="16"/>
          <w:color w:val="auto"/>
        </w:rPr>
        <w:t>We do not currently have the infrastructure or internal capability to manufacture supplies of our product candidates for use in development and commercialization. We rely, and expect to continue to rely, on third-party manufacturers for the production of our product candidates for preclinical studies and clinical trials under the guidance of members of our organization. In the case of ORIC-101, we rely on a single third-party manufacturer and we currently have no alternative manufacturer in place. We do not have long-term supply agreements, and we purchase our required drug product on a purchase order basis, which means that aside from any binding purchase orders we have from time to time, our supplier could cease supplying to us or change the terms on which it is willing to continue supplying to us at any time. If we were to experience an unexpected loss of supply of ORIC-101 or any other product candidates for any reason, whether as a result of manufacturing, supply or storage issues or otherwise, we could experience delays, disruptions, suspensions or terminations of, or be required to restart or repeat, any pending or ongoing clinical trials.</w:t>
      </w:r>
    </w:p>
    <w:p>
      <w:pPr>
        <w:spacing w:after="0" w:line="55" w:lineRule="exact"/>
        <w:rPr>
          <w:sz w:val="20"/>
          <w:szCs w:val="20"/>
          <w:color w:val="auto"/>
        </w:rPr>
      </w:pPr>
    </w:p>
    <w:p>
      <w:pPr>
        <w:ind w:firstLine="749"/>
        <w:spacing w:after="0" w:line="303" w:lineRule="auto"/>
        <w:rPr>
          <w:sz w:val="20"/>
          <w:szCs w:val="20"/>
          <w:color w:val="auto"/>
        </w:rPr>
      </w:pPr>
      <w:r>
        <w:rPr>
          <w:rFonts w:ascii="Arial" w:cs="Arial" w:eastAsia="Arial" w:hAnsi="Arial"/>
          <w:sz w:val="17"/>
          <w:szCs w:val="17"/>
          <w:color w:val="auto"/>
        </w:rPr>
        <w:t>We expect to continue to rely on third-party manufacturers for the commercial supply of any of our product candidates for which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spacing w:after="0" w:line="43" w:lineRule="exact"/>
        <w:rPr>
          <w:sz w:val="20"/>
          <w:szCs w:val="20"/>
          <w:color w:val="auto"/>
        </w:rPr>
      </w:pPr>
    </w:p>
    <w:p>
      <w:pPr>
        <w:jc w:val="both"/>
        <w:ind w:left="1200" w:right="120"/>
        <w:spacing w:after="0" w:line="248" w:lineRule="auto"/>
        <w:rPr>
          <w:sz w:val="20"/>
          <w:szCs w:val="20"/>
          <w:color w:val="auto"/>
        </w:rPr>
      </w:pPr>
      <w:r>
        <w:rPr>
          <w:rFonts w:ascii="Arial" w:cs="Arial" w:eastAsia="Arial" w:hAnsi="Arial"/>
          <w:sz w:val="18"/>
          <w:szCs w:val="18"/>
          <w:color w:val="auto"/>
        </w:rPr>
        <w:t>the failure of the third party to manufacture our product candidates according to our schedule and specifications, or at all, including if our third-party contractors give greater priority to the supply of other products over our product candidates or otherwise do not satisfactorily perform according to the terms of the agreements between us and them;</w:t>
      </w:r>
    </w:p>
    <w:p>
      <w:pPr>
        <w:spacing w:after="0" w:line="74" w:lineRule="exact"/>
        <w:rPr>
          <w:sz w:val="20"/>
          <w:szCs w:val="20"/>
          <w:color w:val="auto"/>
        </w:rPr>
      </w:pPr>
    </w:p>
    <w:p>
      <w:pPr>
        <w:jc w:val="both"/>
        <w:ind w:left="1200" w:right="120"/>
        <w:spacing w:after="0" w:line="360" w:lineRule="auto"/>
        <w:rPr>
          <w:sz w:val="20"/>
          <w:szCs w:val="20"/>
          <w:color w:val="auto"/>
        </w:rPr>
      </w:pPr>
      <w:r>
        <w:rPr>
          <w:rFonts w:ascii="Arial" w:cs="Arial" w:eastAsia="Arial" w:hAnsi="Arial"/>
          <w:sz w:val="18"/>
          <w:szCs w:val="18"/>
          <w:color w:val="auto"/>
        </w:rPr>
        <w:t>the termination or nonrenewal of arrangements or agreements by our third-party contractors at a time that is costly or inconvenient for us; the breach by the third-party contractors of our agreements with them;</w:t>
      </w:r>
    </w:p>
    <w:p>
      <w:pPr>
        <w:ind w:left="1200" w:right="2340"/>
        <w:spacing w:after="0" w:line="465" w:lineRule="auto"/>
        <w:rPr>
          <w:sz w:val="20"/>
          <w:szCs w:val="20"/>
          <w:color w:val="auto"/>
        </w:rPr>
      </w:pPr>
      <w:r>
        <w:rPr>
          <w:rFonts w:ascii="Arial" w:cs="Arial" w:eastAsia="Arial" w:hAnsi="Arial"/>
          <w:sz w:val="16"/>
          <w:szCs w:val="16"/>
          <w:color w:val="auto"/>
        </w:rPr>
        <w:t>the failure of third-party contractors to comply with applicable regulatory requirements, including cGMPs; the failure of the third party to manufacture our product candidates according to our specifications;</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9" w:right="359" w:bottom="1440" w:gutter="0" w:footer="0" w:header="0"/>
        </w:sectPr>
      </w:pPr>
    </w:p>
    <w:bookmarkStart w:id="67" w:name="page68"/>
    <w:bookmarkEnd w:id="67"/>
    <w:p>
      <w:pPr>
        <w:ind w:left="1200" w:right="340"/>
        <w:spacing w:after="0" w:line="261" w:lineRule="auto"/>
        <w:rPr>
          <w:sz w:val="20"/>
          <w:szCs w:val="20"/>
          <w:color w:val="auto"/>
        </w:rPr>
      </w:pPr>
      <w:r>
        <w:rPr>
          <w:rFonts w:ascii="Arial" w:cs="Arial" w:eastAsia="Arial" w:hAnsi="Arial"/>
          <w:sz w:val="18"/>
          <w:szCs w:val="18"/>
          <w:color w:val="auto"/>
        </w:rPr>
        <w:t>the mislabeling of clinical supplies, potentially resulting in the wrong dose amounts being supplied or active drug or placebo not being properly identified;</w:t>
      </w:r>
    </w:p>
    <w:p>
      <w:pPr>
        <w:spacing w:after="0" w:line="63" w:lineRule="exact"/>
        <w:rPr>
          <w:sz w:val="20"/>
          <w:szCs w:val="20"/>
          <w:color w:val="auto"/>
        </w:rPr>
      </w:pPr>
    </w:p>
    <w:p>
      <w:pPr>
        <w:ind w:left="1200" w:right="60"/>
        <w:spacing w:after="0" w:line="261" w:lineRule="auto"/>
        <w:rPr>
          <w:sz w:val="20"/>
          <w:szCs w:val="20"/>
          <w:color w:val="auto"/>
        </w:rPr>
      </w:pPr>
      <w:r>
        <w:rPr>
          <w:rFonts w:ascii="Arial" w:cs="Arial" w:eastAsia="Arial" w:hAnsi="Arial"/>
          <w:sz w:val="18"/>
          <w:szCs w:val="18"/>
          <w:color w:val="auto"/>
        </w:rPr>
        <w:t>clinical supplies not being delivered to clinical sites on time, leading to clinical trial interruptions, or of drug supplies not being distributed to commercial vendors in a timely manner, resulting in lost sales; and</w:t>
      </w:r>
    </w:p>
    <w:p>
      <w:pPr>
        <w:spacing w:after="0" w:line="6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misappropriation of our proprietary information, including our trade secrets and know-how.</w:t>
      </w:r>
    </w:p>
    <w:p>
      <w:pPr>
        <w:spacing w:after="0" w:line="117" w:lineRule="exact"/>
        <w:rPr>
          <w:sz w:val="20"/>
          <w:szCs w:val="20"/>
          <w:color w:val="auto"/>
        </w:rPr>
      </w:pPr>
    </w:p>
    <w:p>
      <w:pPr>
        <w:ind w:right="20" w:firstLine="749"/>
        <w:spacing w:after="0" w:line="287" w:lineRule="auto"/>
        <w:rPr>
          <w:sz w:val="20"/>
          <w:szCs w:val="20"/>
          <w:color w:val="auto"/>
        </w:rPr>
      </w:pPr>
      <w:r>
        <w:rPr>
          <w:rFonts w:ascii="Arial" w:cs="Arial" w:eastAsia="Arial" w:hAnsi="Arial"/>
          <w:sz w:val="17"/>
          <w:szCs w:val="17"/>
          <w:color w:val="auto"/>
        </w:rPr>
        <w:t>We do not have complete control over all aspects of the manufacturing process of our contract manufacturing partners and are dependent on these contract manufacturing partners for compliance with cGMP regulations for manufacturing both active pharmaceutical ingredients (API) and finished drug products. To date, we have obtained API and drug product for our product candidates from single-source third party contract manufacturers. We are in the process of developing our supply chain for each of our product candidates and intend to put in place framework agreements under which third-party contract manufacturers will generally provide us with necessary quantities of API and drug product on a project-by-project basis based on our development needs. As we advance our product candidates through development, we will consider our lack of redundant supply for the API and drug product for each of our product candidates to protect against any potential supply disruptions. However, we may be unsuccessful in putting in place such framework agreements or protecting against potential supply disruptions.</w:t>
      </w:r>
    </w:p>
    <w:p>
      <w:pPr>
        <w:spacing w:after="0" w:line="74" w:lineRule="exact"/>
        <w:rPr>
          <w:sz w:val="20"/>
          <w:szCs w:val="20"/>
          <w:color w:val="auto"/>
        </w:rPr>
      </w:pPr>
    </w:p>
    <w:p>
      <w:pPr>
        <w:ind w:firstLine="749"/>
        <w:spacing w:after="0" w:line="305" w:lineRule="auto"/>
        <w:rPr>
          <w:sz w:val="20"/>
          <w:szCs w:val="20"/>
          <w:color w:val="auto"/>
        </w:rPr>
      </w:pPr>
      <w:r>
        <w:rPr>
          <w:rFonts w:ascii="Arial" w:cs="Arial" w:eastAsia="Arial" w:hAnsi="Arial"/>
          <w:sz w:val="16"/>
          <w:szCs w:val="16"/>
          <w:color w:val="auto"/>
        </w:rPr>
        <w:t>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EMA or others, they will not be able to secure and/or maintain marketing approval for their manufacturing facilities. In addition, we do not have control over the ability of our contract manufacturers to maintain adequate quality control, quality assurance and qualified personnel. If the FDA, EMA or a comparable foreign regulatory authority does not approve these facilities for the manufacture of our product candidates or if it withdraws any such approval in the future, we will need to find alternative manufacturing facilities, and those new facilities would need to be inspected and approved by FDA, EMA or comparable regulatory authority prior to commencing manufacturing, which would significantly impact our ability to develop, obtain marketing approval for or market our product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w:t>
      </w:r>
    </w:p>
    <w:p>
      <w:pPr>
        <w:spacing w:after="0" w:line="61" w:lineRule="exact"/>
        <w:rPr>
          <w:sz w:val="20"/>
          <w:szCs w:val="20"/>
          <w:color w:val="auto"/>
        </w:rPr>
      </w:pPr>
    </w:p>
    <w:p>
      <w:pPr>
        <w:ind w:right="140" w:firstLine="749"/>
        <w:spacing w:after="0" w:line="324" w:lineRule="auto"/>
        <w:rPr>
          <w:sz w:val="20"/>
          <w:szCs w:val="20"/>
          <w:color w:val="auto"/>
        </w:rPr>
      </w:pPr>
      <w:r>
        <w:rPr>
          <w:rFonts w:ascii="Arial" w:cs="Arial" w:eastAsia="Arial" w:hAnsi="Arial"/>
          <w:sz w:val="17"/>
          <w:szCs w:val="17"/>
          <w:color w:val="auto"/>
        </w:rPr>
        <w:t>Our current and anticipated future dependence upon others for the manufacture of our product candidates may adversely affect our future profit margins and our ability to commercialize any product candidates that receive marketing approval on a timely and competitive basis.</w:t>
      </w:r>
    </w:p>
    <w:p>
      <w:pPr>
        <w:spacing w:after="0" w:line="39" w:lineRule="exact"/>
        <w:rPr>
          <w:sz w:val="20"/>
          <w:szCs w:val="20"/>
          <w:color w:val="auto"/>
        </w:rPr>
      </w:pPr>
    </w:p>
    <w:p>
      <w:pPr>
        <w:ind w:right="20"/>
        <w:spacing w:after="0" w:line="293" w:lineRule="auto"/>
        <w:rPr>
          <w:sz w:val="20"/>
          <w:szCs w:val="20"/>
          <w:color w:val="auto"/>
        </w:rPr>
      </w:pPr>
      <w:r>
        <w:rPr>
          <w:rFonts w:ascii="Arial" w:cs="Arial" w:eastAsia="Arial" w:hAnsi="Arial"/>
          <w:sz w:val="18"/>
          <w:szCs w:val="18"/>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62" w:lineRule="exact"/>
        <w:rPr>
          <w:sz w:val="20"/>
          <w:szCs w:val="20"/>
          <w:color w:val="auto"/>
        </w:rPr>
      </w:pPr>
    </w:p>
    <w:p>
      <w:pPr>
        <w:ind w:right="60" w:firstLine="749"/>
        <w:spacing w:after="0" w:line="290" w:lineRule="auto"/>
        <w:rPr>
          <w:sz w:val="20"/>
          <w:szCs w:val="20"/>
          <w:color w:val="auto"/>
        </w:rPr>
      </w:pPr>
      <w:r>
        <w:rPr>
          <w:rFonts w:ascii="Arial" w:cs="Arial" w:eastAsia="Arial" w:hAnsi="Arial"/>
          <w:sz w:val="17"/>
          <w:szCs w:val="17"/>
          <w:color w:val="auto"/>
        </w:rPr>
        <w:t>From time to time, we evaluate various acquisition opportunities and strategic partnerships, including licensing or acquiring complementary products, intellectual property rights, technologies or businesses. For instance, in August 2020, we entered into the Mirati License Agreement pursuant to which we licensed from Mirati exclusive worldwide development and commercialization rights to its allosteric PRC2 inhibitor program and, in October 2020, we entered into the Voronoi License Agreement pursuant to which we licensed from Voronoi exclusive development and commercialization rights to its EGFR and HER2 exon 20 insertion mutation program worldwide (other than in the People’s Republic of China, Hong Kong, Macau and Taiwan). Any such acquisition or strategic partnership may entail numerous risks, including:</w:t>
      </w:r>
    </w:p>
    <w:p>
      <w:pPr>
        <w:spacing w:after="0" w:line="68"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increased operating expenses and cash requirements;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assumption of additional indebtedness or contingent liabilities;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issuance of our equity securities;</w:t>
      </w:r>
    </w:p>
    <w:p>
      <w:pPr>
        <w:spacing w:after="0" w:line="131" w:lineRule="exact"/>
        <w:rPr>
          <w:sz w:val="20"/>
          <w:szCs w:val="20"/>
          <w:color w:val="auto"/>
        </w:rPr>
      </w:pPr>
    </w:p>
    <w:p>
      <w:pPr>
        <w:ind w:left="1200" w:right="320"/>
        <w:spacing w:after="0" w:line="293" w:lineRule="auto"/>
        <w:rPr>
          <w:sz w:val="20"/>
          <w:szCs w:val="20"/>
          <w:color w:val="auto"/>
        </w:rPr>
      </w:pPr>
      <w:r>
        <w:rPr>
          <w:rFonts w:ascii="Arial" w:cs="Arial" w:eastAsia="Arial" w:hAnsi="Arial"/>
          <w:sz w:val="18"/>
          <w:szCs w:val="18"/>
          <w:color w:val="auto"/>
        </w:rPr>
        <w:t>assimilation of operations, intellectual property and products of an acquired company, including difficulties associated with integrating new personnel;</w:t>
      </w:r>
    </w:p>
    <w:p>
      <w:pPr>
        <w:spacing w:after="0" w:line="62" w:lineRule="exact"/>
        <w:rPr>
          <w:sz w:val="20"/>
          <w:szCs w:val="20"/>
          <w:color w:val="auto"/>
        </w:rPr>
      </w:pPr>
    </w:p>
    <w:p>
      <w:pPr>
        <w:ind w:left="1200" w:right="120"/>
        <w:spacing w:after="0" w:line="440" w:lineRule="auto"/>
        <w:rPr>
          <w:sz w:val="20"/>
          <w:szCs w:val="20"/>
          <w:color w:val="auto"/>
        </w:rPr>
      </w:pPr>
      <w:r>
        <w:rPr>
          <w:rFonts w:ascii="Arial" w:cs="Arial" w:eastAsia="Arial" w:hAnsi="Arial"/>
          <w:sz w:val="16"/>
          <w:szCs w:val="16"/>
          <w:color w:val="auto"/>
        </w:rPr>
        <w:t>the diversion of our management’s attention from our existing programs and initiatives in pursuing such a strategic merger or acquisition; retention of key employees, the loss of key personnel and uncertainties in our ability to maintain key business relationships;</w:t>
      </w:r>
    </w:p>
    <w:p>
      <w:pPr>
        <w:ind w:left="1200"/>
        <w:spacing w:after="0" w:line="293" w:lineRule="auto"/>
        <w:rPr>
          <w:sz w:val="20"/>
          <w:szCs w:val="20"/>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marketing approvals;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3" w:right="359" w:bottom="1440" w:gutter="0" w:footer="0" w:header="0"/>
        </w:sectPr>
      </w:pPr>
    </w:p>
    <w:bookmarkStart w:id="68" w:name="page69"/>
    <w:bookmarkEnd w:id="68"/>
    <w:p>
      <w:pPr>
        <w:ind w:left="1200" w:right="80"/>
        <w:spacing w:after="0" w:line="293" w:lineRule="auto"/>
        <w:rPr>
          <w:sz w:val="20"/>
          <w:szCs w:val="20"/>
          <w:color w:val="auto"/>
        </w:rPr>
      </w:pPr>
      <w:r>
        <w:rPr>
          <w:rFonts w:ascii="Arial" w:cs="Arial" w:eastAsia="Arial" w:hAnsi="Arial"/>
          <w:sz w:val="18"/>
          <w:szCs w:val="18"/>
          <w:color w:val="auto"/>
        </w:rPr>
        <w:t>our inability to generate revenue from acquired technology and/or products sufficient to meet our objectives in undertaking the acquisition or even to offset the associated acquisition and maintenance costs.</w:t>
      </w:r>
    </w:p>
    <w:p>
      <w:pPr>
        <w:spacing w:after="0" w:line="62" w:lineRule="exact"/>
        <w:rPr>
          <w:sz w:val="20"/>
          <w:szCs w:val="20"/>
          <w:color w:val="auto"/>
        </w:rPr>
      </w:pPr>
    </w:p>
    <w:p>
      <w:pPr>
        <w:ind w:right="60" w:firstLine="749"/>
        <w:spacing w:after="0" w:line="296" w:lineRule="auto"/>
        <w:rPr>
          <w:sz w:val="20"/>
          <w:szCs w:val="20"/>
          <w:color w:val="auto"/>
        </w:rPr>
      </w:pPr>
      <w:r>
        <w:rPr>
          <w:rFonts w:ascii="Arial" w:cs="Arial" w:eastAsia="Arial" w:hAnsi="Arial"/>
          <w:sz w:val="17"/>
          <w:szCs w:val="17"/>
          <w:color w:val="auto"/>
        </w:rPr>
        <w:t>In addition, if we undertake acquisitions or pursue partnerships in the future, we may issue dilutive securities, assume or incur debt obligations, incur large one-time expenses and acquire intangible assets that could result in significant future amortization expense. For instance, in connection with the Mirati License Agreement, we issued to Mirati 588,235 shares of our common stock and, in connection with the Voronoi License Agreement, we issued Voronoi 283,259 shares of our common stock, each of which resulted in dilution to our existing stockholders.</w:t>
      </w:r>
    </w:p>
    <w:p>
      <w:pPr>
        <w:spacing w:after="0" w:line="62" w:lineRule="exact"/>
        <w:rPr>
          <w:sz w:val="20"/>
          <w:szCs w:val="20"/>
          <w:color w:val="auto"/>
        </w:rPr>
      </w:pPr>
    </w:p>
    <w:p>
      <w:pPr>
        <w:ind w:right="180"/>
        <w:spacing w:after="0" w:line="293" w:lineRule="auto"/>
        <w:rPr>
          <w:sz w:val="20"/>
          <w:szCs w:val="20"/>
          <w:color w:val="auto"/>
        </w:rPr>
      </w:pPr>
      <w:r>
        <w:rPr>
          <w:rFonts w:ascii="Arial" w:cs="Arial" w:eastAsia="Arial" w:hAnsi="Arial"/>
          <w:sz w:val="18"/>
          <w:szCs w:val="18"/>
          <w:b w:val="1"/>
          <w:bCs w:val="1"/>
          <w:i w:val="1"/>
          <w:iCs w:val="1"/>
          <w:color w:val="auto"/>
        </w:rPr>
        <w:t>If we decide to establish collaborations, but are not able to establish those collaborations on commercially reasonable terms, we may have to alter our development and commercialization plans.</w:t>
      </w:r>
    </w:p>
    <w:p>
      <w:pPr>
        <w:spacing w:after="0" w:line="62" w:lineRule="exact"/>
        <w:rPr>
          <w:sz w:val="20"/>
          <w:szCs w:val="20"/>
          <w:color w:val="auto"/>
        </w:rPr>
      </w:pPr>
    </w:p>
    <w:p>
      <w:pPr>
        <w:ind w:right="40" w:firstLine="749"/>
        <w:spacing w:after="0" w:line="296" w:lineRule="auto"/>
        <w:rPr>
          <w:sz w:val="20"/>
          <w:szCs w:val="20"/>
          <w:color w:val="auto"/>
        </w:rPr>
      </w:pPr>
      <w:r>
        <w:rPr>
          <w:rFonts w:ascii="Arial" w:cs="Arial" w:eastAsia="Arial" w:hAnsi="Arial"/>
          <w:sz w:val="17"/>
          <w:szCs w:val="17"/>
          <w:color w:val="auto"/>
        </w:rPr>
        <w:t>Our drug development programs and the potential commercialization of our product candidates will require substantial additional cash to fund expenses. We may seek to selectively form collaborations to expand our capabilities, potentially accelerate research and development activities and provide for commercialization activities by third parties. Any of these relationships may require us to incur non-recurring and other charges, increase our near- and long-term expenditures, issue securities that dilute our existing stockholders, or disrupt our management and business.</w:t>
      </w:r>
    </w:p>
    <w:p>
      <w:pPr>
        <w:spacing w:after="0" w:line="62" w:lineRule="exact"/>
        <w:rPr>
          <w:sz w:val="20"/>
          <w:szCs w:val="20"/>
          <w:color w:val="auto"/>
        </w:rPr>
      </w:pPr>
    </w:p>
    <w:p>
      <w:pPr>
        <w:ind w:firstLine="749"/>
        <w:spacing w:after="0" w:line="306" w:lineRule="auto"/>
        <w:rPr>
          <w:sz w:val="20"/>
          <w:szCs w:val="20"/>
          <w:color w:val="auto"/>
        </w:rPr>
      </w:pPr>
      <w:r>
        <w:rPr>
          <w:rFonts w:ascii="Arial" w:cs="Arial" w:eastAsia="Arial" w:hAnsi="Arial"/>
          <w:sz w:val="16"/>
          <w:szCs w:val="16"/>
          <w:color w:val="auto"/>
        </w:rPr>
        <w:t>We would face significant competition in seeking appropriate collaborators and the negotiation process is time-consuming and complex.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EMA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and industry and market conditions generally. The potential collaborator may also consider alternative product candidates or technologies for similar indications that may be available to collaborate on and whether such collaboration could be more attractive than the one with us for our product candidate. Further, we may not be successful in our efforts to establish a collaboration or other alternative arrangements for product candidates because they may be deemed to be at too early of a stage of development for collaborative effort and third parties may not view them as having the requisite potential to demonstrate safety and efficacy.</w:t>
      </w:r>
    </w:p>
    <w:p>
      <w:pPr>
        <w:spacing w:after="0" w:line="57" w:lineRule="exact"/>
        <w:rPr>
          <w:sz w:val="20"/>
          <w:szCs w:val="20"/>
          <w:color w:val="auto"/>
        </w:rPr>
      </w:pPr>
    </w:p>
    <w:p>
      <w:pPr>
        <w:ind w:right="80" w:firstLine="749"/>
        <w:spacing w:after="0" w:line="279" w:lineRule="auto"/>
        <w:rPr>
          <w:sz w:val="20"/>
          <w:szCs w:val="20"/>
          <w:color w:val="auto"/>
        </w:rPr>
      </w:pPr>
      <w:r>
        <w:rPr>
          <w:rFonts w:ascii="Arial" w:cs="Arial" w:eastAsia="Arial" w:hAnsi="Arial"/>
          <w:sz w:val="18"/>
          <w:szCs w:val="18"/>
          <w:color w:val="auto"/>
        </w:rPr>
        <w:t>In addition, there have been a significant number of recent business combinations among large pharmaceutical companies that have resulted in a reduced number of potential future collaborators. Even if we are successful in entering into a collaboration, the terms and conditions of that collaboration may restrict us from entering into future agreements on certain terms with potential collaborators.</w:t>
      </w:r>
    </w:p>
    <w:p>
      <w:pPr>
        <w:spacing w:after="0" w:line="75" w:lineRule="exact"/>
        <w:rPr>
          <w:sz w:val="20"/>
          <w:szCs w:val="20"/>
          <w:color w:val="auto"/>
        </w:rPr>
      </w:pPr>
    </w:p>
    <w:p>
      <w:pPr>
        <w:ind w:right="100" w:firstLine="749"/>
        <w:spacing w:after="0" w:line="311" w:lineRule="auto"/>
        <w:rPr>
          <w:sz w:val="20"/>
          <w:szCs w:val="20"/>
          <w:color w:val="auto"/>
        </w:rPr>
      </w:pPr>
      <w:r>
        <w:rPr>
          <w:rFonts w:ascii="Arial" w:cs="Arial" w:eastAsia="Arial" w:hAnsi="Arial"/>
          <w:sz w:val="16"/>
          <w:szCs w:val="16"/>
          <w:color w:val="auto"/>
        </w:rPr>
        <w:t>If and when we seek to enter into collaborations, 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55" w:lineRule="exact"/>
        <w:rPr>
          <w:sz w:val="20"/>
          <w:szCs w:val="20"/>
          <w:color w:val="auto"/>
        </w:rPr>
      </w:pPr>
    </w:p>
    <w:p>
      <w:pPr>
        <w:ind w:right="240"/>
        <w:spacing w:after="0" w:line="293" w:lineRule="auto"/>
        <w:rPr>
          <w:sz w:val="20"/>
          <w:szCs w:val="20"/>
          <w:color w:val="auto"/>
        </w:rPr>
      </w:pPr>
      <w:r>
        <w:rPr>
          <w:rFonts w:ascii="Arial" w:cs="Arial" w:eastAsia="Arial" w:hAnsi="Arial"/>
          <w:sz w:val="18"/>
          <w:szCs w:val="18"/>
          <w:b w:val="1"/>
          <w:bCs w:val="1"/>
          <w:i w:val="1"/>
          <w:iCs w:val="1"/>
          <w:color w:val="auto"/>
        </w:rPr>
        <w:t>We may enter into collaborations with third parties for the development and commercialization of product candidates. If those collaborations are not successful, we may not be able to capitalize on the market potential of these product candidates.</w:t>
      </w:r>
    </w:p>
    <w:p>
      <w:pPr>
        <w:spacing w:after="0" w:line="62" w:lineRule="exact"/>
        <w:rPr>
          <w:sz w:val="20"/>
          <w:szCs w:val="20"/>
          <w:color w:val="auto"/>
        </w:rPr>
      </w:pPr>
    </w:p>
    <w:p>
      <w:pPr>
        <w:ind w:right="240" w:firstLine="749"/>
        <w:spacing w:after="0" w:line="296" w:lineRule="auto"/>
        <w:rPr>
          <w:sz w:val="20"/>
          <w:szCs w:val="20"/>
          <w:color w:val="auto"/>
        </w:rPr>
      </w:pPr>
      <w:r>
        <w:rPr>
          <w:rFonts w:ascii="Arial" w:cs="Arial" w:eastAsia="Arial" w:hAnsi="Arial"/>
          <w:sz w:val="17"/>
          <w:szCs w:val="17"/>
          <w:color w:val="auto"/>
        </w:rPr>
        <w:t>If we enter into any collaboration arrangements with any third parties, we will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 Collaborations involving our product candidates would pose numerous risks to us, including the following:</w:t>
      </w:r>
    </w:p>
    <w:p>
      <w:pPr>
        <w:spacing w:after="0" w:line="62" w:lineRule="exact"/>
        <w:rPr>
          <w:sz w:val="20"/>
          <w:szCs w:val="20"/>
          <w:color w:val="auto"/>
        </w:rPr>
      </w:pPr>
    </w:p>
    <w:p>
      <w:pPr>
        <w:ind w:left="1200" w:right="400"/>
        <w:spacing w:after="0" w:line="293" w:lineRule="auto"/>
        <w:rPr>
          <w:sz w:val="20"/>
          <w:szCs w:val="20"/>
          <w:color w:val="auto"/>
        </w:rPr>
      </w:pPr>
      <w:r>
        <w:rPr>
          <w:rFonts w:ascii="Arial" w:cs="Arial" w:eastAsia="Arial" w:hAnsi="Arial"/>
          <w:sz w:val="18"/>
          <w:szCs w:val="18"/>
          <w:color w:val="auto"/>
        </w:rPr>
        <w:t>collaborators have significant discretion in determining the efforts and resources that they will apply to, and the manner in which they perform their obligations under, these collaborations and may not perform their obligations as expected;</w:t>
      </w:r>
    </w:p>
    <w:p>
      <w:pPr>
        <w:spacing w:after="0" w:line="62" w:lineRule="exact"/>
        <w:rPr>
          <w:sz w:val="20"/>
          <w:szCs w:val="20"/>
          <w:color w:val="auto"/>
        </w:rPr>
      </w:pPr>
    </w:p>
    <w:p>
      <w:pPr>
        <w:ind w:left="1200"/>
        <w:spacing w:after="0" w:line="275" w:lineRule="auto"/>
        <w:rPr>
          <w:sz w:val="20"/>
          <w:szCs w:val="20"/>
          <w:color w:val="auto"/>
        </w:rPr>
      </w:pPr>
      <w:r>
        <w:rPr>
          <w:rFonts w:ascii="Arial" w:cs="Arial" w:eastAsia="Arial" w:hAnsi="Arial"/>
          <w:sz w:val="18"/>
          <w:szCs w:val="18"/>
          <w:color w:val="auto"/>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business combination or sale or disposition of a business unit or development function, or available funding or external factors such as an acquisition that diverts resources or creates competing priorities;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9" w:name="page70"/>
    <w:bookmarkEnd w:id="69"/>
    <w:p>
      <w:pPr>
        <w:ind w:left="1200" w:right="480"/>
        <w:spacing w:after="0" w:line="359" w:lineRule="auto"/>
        <w:rPr>
          <w:sz w:val="20"/>
          <w:szCs w:val="20"/>
          <w:color w:val="auto"/>
        </w:rPr>
      </w:pPr>
      <w:r>
        <w:rPr>
          <w:rFonts w:ascii="Arial" w:cs="Arial" w:eastAsia="Arial" w:hAnsi="Arial"/>
          <w:sz w:val="16"/>
          <w:szCs w:val="16"/>
          <w:color w:val="auto"/>
        </w:rPr>
        <w:t>collaborators may rely on third parties to conduct development, manufacturing, and/or commercialization activities, and except for remedies available to us under our collaboration agreements, we have limited ability to control the conduct of such activities;</w:t>
      </w:r>
    </w:p>
    <w:p>
      <w:pPr>
        <w:spacing w:after="0" w:line="17" w:lineRule="exact"/>
        <w:rPr>
          <w:sz w:val="20"/>
          <w:szCs w:val="20"/>
          <w:color w:val="auto"/>
        </w:rPr>
      </w:pPr>
    </w:p>
    <w:p>
      <w:pPr>
        <w:ind w:left="1200" w:right="160"/>
        <w:spacing w:after="0" w:line="324" w:lineRule="auto"/>
        <w:rPr>
          <w:sz w:val="20"/>
          <w:szCs w:val="20"/>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39" w:lineRule="exact"/>
        <w:rPr>
          <w:sz w:val="20"/>
          <w:szCs w:val="20"/>
          <w:color w:val="auto"/>
        </w:rPr>
      </w:pPr>
    </w:p>
    <w:p>
      <w:pPr>
        <w:ind w:left="1200" w:right="160"/>
        <w:spacing w:after="0" w:line="279" w:lineRule="auto"/>
        <w:rPr>
          <w:sz w:val="20"/>
          <w:szCs w:val="20"/>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75" w:lineRule="exact"/>
        <w:rPr>
          <w:sz w:val="20"/>
          <w:szCs w:val="20"/>
          <w:color w:val="auto"/>
        </w:rPr>
      </w:pPr>
    </w:p>
    <w:p>
      <w:pPr>
        <w:ind w:left="1200" w:right="440"/>
        <w:spacing w:after="0" w:line="293" w:lineRule="auto"/>
        <w:rPr>
          <w:sz w:val="20"/>
          <w:szCs w:val="20"/>
          <w:color w:val="auto"/>
        </w:rPr>
      </w:pPr>
      <w:r>
        <w:rPr>
          <w:rFonts w:ascii="Arial" w:cs="Arial" w:eastAsia="Arial" w:hAnsi="Arial"/>
          <w:sz w:val="18"/>
          <w:szCs w:val="18"/>
          <w:color w:val="auto"/>
        </w:rPr>
        <w:t>a collaborator with marketing and distribution rights to multiple products may not commit sufficient resources to the marketing and distribution of our product relative to other products;</w:t>
      </w:r>
    </w:p>
    <w:p>
      <w:pPr>
        <w:spacing w:after="0" w:line="6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we may grant exclusive rights to our collaborators that would prevent us from collaborating with others;</w:t>
      </w:r>
    </w:p>
    <w:p>
      <w:pPr>
        <w:spacing w:after="0" w:line="131" w:lineRule="exact"/>
        <w:rPr>
          <w:sz w:val="20"/>
          <w:szCs w:val="20"/>
          <w:color w:val="auto"/>
        </w:rPr>
      </w:pPr>
    </w:p>
    <w:p>
      <w:pPr>
        <w:ind w:left="1200"/>
        <w:spacing w:after="0" w:line="275" w:lineRule="auto"/>
        <w:rPr>
          <w:sz w:val="20"/>
          <w:szCs w:val="20"/>
          <w:color w:val="auto"/>
        </w:rPr>
      </w:pPr>
      <w:r>
        <w:rPr>
          <w:rFonts w:ascii="Arial" w:cs="Arial" w:eastAsia="Arial" w:hAnsi="Arial"/>
          <w:sz w:val="18"/>
          <w:szCs w:val="18"/>
          <w:color w:val="auto"/>
        </w:rPr>
        <w:t>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p>
      <w:pPr>
        <w:spacing w:after="0" w:line="77" w:lineRule="exact"/>
        <w:rPr>
          <w:sz w:val="20"/>
          <w:szCs w:val="20"/>
          <w:color w:val="auto"/>
        </w:rPr>
      </w:pPr>
    </w:p>
    <w:p>
      <w:pPr>
        <w:ind w:left="1200" w:right="600"/>
        <w:spacing w:after="0" w:line="279" w:lineRule="auto"/>
        <w:rPr>
          <w:sz w:val="20"/>
          <w:szCs w:val="20"/>
          <w:color w:val="auto"/>
        </w:rPr>
      </w:pPr>
      <w:r>
        <w:rPr>
          <w:rFonts w:ascii="Arial" w:cs="Arial" w:eastAsia="Arial" w:hAnsi="Arial"/>
          <w:sz w:val="18"/>
          <w:szCs w:val="18"/>
          <w:color w:val="auto"/>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spacing w:after="0" w:line="75" w:lineRule="exact"/>
        <w:rPr>
          <w:sz w:val="20"/>
          <w:szCs w:val="20"/>
          <w:color w:val="auto"/>
        </w:rPr>
      </w:pPr>
    </w:p>
    <w:p>
      <w:pPr>
        <w:ind w:left="1200" w:right="680"/>
        <w:spacing w:after="0" w:line="293" w:lineRule="auto"/>
        <w:rPr>
          <w:sz w:val="20"/>
          <w:szCs w:val="20"/>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w:t>
      </w:r>
    </w:p>
    <w:p>
      <w:pPr>
        <w:spacing w:after="0" w:line="62"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collaboration agreements may not lead to development or commercialization of product candidates in the most efficient manner or at all;</w:t>
      </w:r>
    </w:p>
    <w:p>
      <w:pPr>
        <w:spacing w:after="0" w:line="154" w:lineRule="exact"/>
        <w:rPr>
          <w:sz w:val="20"/>
          <w:szCs w:val="20"/>
          <w:color w:val="auto"/>
        </w:rPr>
      </w:pPr>
    </w:p>
    <w:p>
      <w:pPr>
        <w:ind w:left="1200" w:right="540"/>
        <w:spacing w:after="0" w:line="279" w:lineRule="auto"/>
        <w:rPr>
          <w:sz w:val="20"/>
          <w:szCs w:val="20"/>
          <w:color w:val="auto"/>
        </w:rPr>
      </w:pPr>
      <w:r>
        <w:rPr>
          <w:rFonts w:ascii="Arial" w:cs="Arial" w:eastAsia="Arial" w:hAnsi="Arial"/>
          <w:sz w:val="18"/>
          <w:szCs w:val="18"/>
          <w:color w:val="auto"/>
        </w:rPr>
        <w:t>collaborators may not provide us with timely and accurate information regarding development progress and activities under the collaboration or may limit our ability to share such information, which could adversely impact our ability to report progress to our investors and otherwise plan our own development of our product candidates;</w:t>
      </w:r>
    </w:p>
    <w:p>
      <w:pPr>
        <w:spacing w:after="0" w:line="75" w:lineRule="exact"/>
        <w:rPr>
          <w:sz w:val="20"/>
          <w:szCs w:val="20"/>
          <w:color w:val="auto"/>
        </w:rPr>
      </w:pPr>
    </w:p>
    <w:p>
      <w:pPr>
        <w:ind w:left="1200" w:right="160"/>
        <w:spacing w:after="0" w:line="293" w:lineRule="auto"/>
        <w:rPr>
          <w:sz w:val="20"/>
          <w:szCs w:val="20"/>
          <w:color w:val="auto"/>
        </w:rPr>
      </w:pPr>
      <w:r>
        <w:rPr>
          <w:rFonts w:ascii="Arial" w:cs="Arial" w:eastAsia="Arial" w:hAnsi="Arial"/>
          <w:sz w:val="18"/>
          <w:szCs w:val="18"/>
          <w:color w:val="auto"/>
        </w:rPr>
        <w:t>collaborators may own or co-own intellectual property covering our products that results from our collaborating with them, and in such cases, we would not have the exclusive right to develop or commercialize such intellectual property; and</w:t>
      </w:r>
    </w:p>
    <w:p>
      <w:pPr>
        <w:spacing w:after="0" w:line="62" w:lineRule="exact"/>
        <w:rPr>
          <w:sz w:val="20"/>
          <w:szCs w:val="20"/>
          <w:color w:val="auto"/>
        </w:rPr>
      </w:pPr>
    </w:p>
    <w:p>
      <w:pPr>
        <w:ind w:left="1200" w:right="360"/>
        <w:spacing w:after="0" w:line="293" w:lineRule="auto"/>
        <w:rPr>
          <w:sz w:val="20"/>
          <w:szCs w:val="20"/>
          <w:color w:val="auto"/>
        </w:rPr>
      </w:pPr>
      <w:r>
        <w:rPr>
          <w:rFonts w:ascii="Arial" w:cs="Arial" w:eastAsia="Arial" w:hAnsi="Arial"/>
          <w:sz w:val="18"/>
          <w:szCs w:val="18"/>
          <w:color w:val="auto"/>
        </w:rPr>
        <w:t>a collaborator’s sales and marketing activities or other operations may not be in compliance with applicable laws resulting in civil or criminal proceedings.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securities markets and ownership of our common stock</w:t>
      </w:r>
    </w:p>
    <w:p>
      <w:pPr>
        <w:spacing w:after="0" w:line="135" w:lineRule="exact"/>
        <w:rPr>
          <w:sz w:val="20"/>
          <w:szCs w:val="20"/>
          <w:color w:val="auto"/>
        </w:rPr>
      </w:pPr>
    </w:p>
    <w:p>
      <w:pPr>
        <w:ind w:right="240"/>
        <w:spacing w:after="0" w:line="293" w:lineRule="auto"/>
        <w:rPr>
          <w:sz w:val="20"/>
          <w:szCs w:val="20"/>
          <w:color w:val="auto"/>
        </w:rPr>
      </w:pPr>
      <w:r>
        <w:rPr>
          <w:rFonts w:ascii="Arial" w:cs="Arial" w:eastAsia="Arial" w:hAnsi="Arial"/>
          <w:sz w:val="18"/>
          <w:szCs w:val="18"/>
          <w:b w:val="1"/>
          <w:bCs w:val="1"/>
          <w:i w:val="1"/>
          <w:iCs w:val="1"/>
          <w:color w:val="auto"/>
        </w:rPr>
        <w:t>We do not know whether an active, liquid and orderly trading market will continue for our common stock or what the market price of our common stock will be and as a result it may be difficult for you to sell your shares of our common stock.</w:t>
      </w:r>
    </w:p>
    <w:p>
      <w:pPr>
        <w:spacing w:after="0" w:line="62" w:lineRule="exact"/>
        <w:rPr>
          <w:sz w:val="20"/>
          <w:szCs w:val="20"/>
          <w:color w:val="auto"/>
        </w:rPr>
      </w:pPr>
    </w:p>
    <w:p>
      <w:pPr>
        <w:ind w:right="140" w:firstLine="749"/>
        <w:spacing w:after="0" w:line="271" w:lineRule="auto"/>
        <w:rPr>
          <w:sz w:val="20"/>
          <w:szCs w:val="20"/>
          <w:color w:val="auto"/>
        </w:rPr>
      </w:pPr>
      <w:r>
        <w:rPr>
          <w:rFonts w:ascii="Arial" w:cs="Arial" w:eastAsia="Arial" w:hAnsi="Arial"/>
          <w:sz w:val="18"/>
          <w:szCs w:val="18"/>
          <w:color w:val="auto"/>
        </w:rPr>
        <w:t>Prior to our IPO in April 2020, there was no public market for shares of our common stock. Shares of our common stock only recently began trading on Nasdaq, but we can provide no assurance that we will be able to sustain an active trading market for our shares. The lack of an active market may impair your ability to sell your shares at the time you wish to sell them or at a price that you consider reasonable. The lack of an active market may also reduce the fair market value of your shares. Furthermore, an inactive market may also impair our ability to raise capital by selling shares of our common stock and may impair our ability to enter into strategic collaborations or acquire companies, technologies or other assets by using our shares of common stock as consideration.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stock is volatile.</w:t>
      </w:r>
    </w:p>
    <w:p>
      <w:pPr>
        <w:spacing w:after="0" w:line="131" w:lineRule="exact"/>
        <w:rPr>
          <w:sz w:val="20"/>
          <w:szCs w:val="20"/>
          <w:color w:val="auto"/>
        </w:rPr>
      </w:pPr>
    </w:p>
    <w:p>
      <w:pPr>
        <w:ind w:right="100" w:firstLine="749"/>
        <w:spacing w:after="0" w:line="303" w:lineRule="auto"/>
        <w:rPr>
          <w:sz w:val="20"/>
          <w:szCs w:val="20"/>
          <w:color w:val="auto"/>
        </w:rPr>
      </w:pPr>
      <w:r>
        <w:rPr>
          <w:rFonts w:ascii="Arial" w:cs="Arial" w:eastAsia="Arial" w:hAnsi="Arial"/>
          <w:sz w:val="17"/>
          <w:szCs w:val="17"/>
          <w:color w:val="auto"/>
        </w:rPr>
        <w:t>The trading price of our common stock is highly volatile and subject to wide fluctuations in response to various factors, some of which we cannot control. The stock market in general, and pharmaceutical and biotechnology companies in particular, have experienced extreme price and volume fluctuations that have often been unrelated or disproportionate to the operating performance of these companies.</w:t>
      </w:r>
    </w:p>
    <w:p>
      <w:pPr>
        <w:spacing w:after="0" w:line="16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476" w:right="479" w:bottom="1440" w:gutter="0" w:footer="0" w:header="0"/>
        </w:sectPr>
      </w:pPr>
    </w:p>
    <w:bookmarkStart w:id="70" w:name="page71"/>
    <w:bookmarkEnd w:id="70"/>
    <w:p>
      <w:pPr>
        <w:ind w:left="760"/>
        <w:spacing w:after="0"/>
        <w:rPr>
          <w:sz w:val="20"/>
          <w:szCs w:val="20"/>
          <w:color w:val="auto"/>
        </w:rPr>
      </w:pPr>
      <w:r>
        <w:rPr>
          <w:rFonts w:ascii="Arial" w:cs="Arial" w:eastAsia="Arial" w:hAnsi="Arial"/>
          <w:sz w:val="16"/>
          <w:szCs w:val="16"/>
          <w:color w:val="auto"/>
        </w:rPr>
        <w:t>Broad market and industry factors may negatively affect the market price of our common stock, regardless of our actual operating performance.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factors discussed in this “Risk factors” section and elsewhere in this periodic report, these factors include:</w:t>
      </w:r>
    </w:p>
    <w:p>
      <w:pPr>
        <w:spacing w:after="0" w:line="130" w:lineRule="exact"/>
        <w:rPr>
          <w:sz w:val="20"/>
          <w:szCs w:val="20"/>
          <w:color w:val="auto"/>
        </w:rPr>
      </w:pPr>
    </w:p>
    <w:p>
      <w:pPr>
        <w:ind w:left="1200" w:right="240"/>
        <w:spacing w:after="0" w:line="293" w:lineRule="auto"/>
        <w:rPr>
          <w:sz w:val="20"/>
          <w:szCs w:val="20"/>
          <w:color w:val="auto"/>
        </w:rPr>
      </w:pPr>
      <w:r>
        <w:rPr>
          <w:rFonts w:ascii="Arial" w:cs="Arial" w:eastAsia="Arial" w:hAnsi="Arial"/>
          <w:sz w:val="18"/>
          <w:szCs w:val="18"/>
          <w:color w:val="auto"/>
        </w:rPr>
        <w:t>the timing and results of preclinical studies and clinical trials of our product candidates, those conducted by third parties or those of our competitors;</w:t>
      </w:r>
    </w:p>
    <w:p>
      <w:pPr>
        <w:spacing w:after="0" w:line="62" w:lineRule="exact"/>
        <w:rPr>
          <w:sz w:val="20"/>
          <w:szCs w:val="20"/>
          <w:color w:val="auto"/>
        </w:rPr>
      </w:pPr>
    </w:p>
    <w:p>
      <w:pPr>
        <w:ind w:left="1200" w:right="1580"/>
        <w:spacing w:after="0" w:line="391" w:lineRule="auto"/>
        <w:rPr>
          <w:sz w:val="20"/>
          <w:szCs w:val="20"/>
          <w:color w:val="auto"/>
        </w:rPr>
      </w:pPr>
      <w:r>
        <w:rPr>
          <w:rFonts w:ascii="Arial" w:cs="Arial" w:eastAsia="Arial" w:hAnsi="Arial"/>
          <w:sz w:val="18"/>
          <w:szCs w:val="18"/>
          <w:color w:val="auto"/>
        </w:rPr>
        <w:t>the success of competitive products or announcements by potential competitors of their product development efforts; regulatory actions with respect to our products or our competitors’ products; actual or anticipated changes in our growth rate relative to our competitors;</w:t>
      </w:r>
    </w:p>
    <w:p>
      <w:pPr>
        <w:spacing w:after="0" w:line="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regulatory or legal developments in the United States and other countries;</w:t>
      </w:r>
    </w:p>
    <w:p>
      <w:pPr>
        <w:spacing w:after="0" w:line="131" w:lineRule="exact"/>
        <w:rPr>
          <w:sz w:val="20"/>
          <w:szCs w:val="20"/>
          <w:color w:val="auto"/>
        </w:rPr>
      </w:pPr>
    </w:p>
    <w:p>
      <w:pPr>
        <w:ind w:left="1200" w:right="2860"/>
        <w:spacing w:after="0" w:line="391" w:lineRule="auto"/>
        <w:rPr>
          <w:sz w:val="20"/>
          <w:szCs w:val="20"/>
          <w:color w:val="auto"/>
        </w:rPr>
      </w:pPr>
      <w:r>
        <w:rPr>
          <w:rFonts w:ascii="Arial" w:cs="Arial" w:eastAsia="Arial" w:hAnsi="Arial"/>
          <w:sz w:val="18"/>
          <w:szCs w:val="18"/>
          <w:color w:val="auto"/>
        </w:rPr>
        <w:t>developments or disputes concerning patent applications, issued patents or other proprietary rights; the recruitment or departure of key personnel;</w:t>
      </w:r>
    </w:p>
    <w:p>
      <w:pPr>
        <w:spacing w:after="0" w:line="1" w:lineRule="exact"/>
        <w:rPr>
          <w:sz w:val="20"/>
          <w:szCs w:val="20"/>
          <w:color w:val="auto"/>
        </w:rPr>
      </w:pPr>
    </w:p>
    <w:p>
      <w:pPr>
        <w:ind w:left="1200" w:right="480"/>
        <w:spacing w:after="0" w:line="293" w:lineRule="auto"/>
        <w:rPr>
          <w:sz w:val="20"/>
          <w:szCs w:val="20"/>
          <w:color w:val="auto"/>
        </w:rPr>
      </w:pPr>
      <w:r>
        <w:rPr>
          <w:rFonts w:ascii="Arial" w:cs="Arial" w:eastAsia="Arial" w:hAnsi="Arial"/>
          <w:sz w:val="18"/>
          <w:szCs w:val="18"/>
          <w:color w:val="auto"/>
        </w:rPr>
        <w:t>announcements by us or our competitors of significant acquisitions, strategic collaborations, joint ventures, collaborations or capital commitments;</w:t>
      </w:r>
    </w:p>
    <w:p>
      <w:pPr>
        <w:spacing w:after="0" w:line="62" w:lineRule="exact"/>
        <w:rPr>
          <w:sz w:val="20"/>
          <w:szCs w:val="20"/>
          <w:color w:val="auto"/>
        </w:rPr>
      </w:pPr>
    </w:p>
    <w:p>
      <w:pPr>
        <w:ind w:left="1200" w:right="560"/>
        <w:spacing w:after="0" w:line="391" w:lineRule="auto"/>
        <w:rPr>
          <w:sz w:val="20"/>
          <w:szCs w:val="20"/>
          <w:color w:val="auto"/>
        </w:rPr>
      </w:pPr>
      <w:r>
        <w:rPr>
          <w:rFonts w:ascii="Arial" w:cs="Arial" w:eastAsia="Arial" w:hAnsi="Arial"/>
          <w:sz w:val="18"/>
          <w:szCs w:val="18"/>
          <w:color w:val="auto"/>
        </w:rPr>
        <w:t>actual or anticipated changes in estimates as to financial results, development timelines or recommendations by securities analysts; fluctuations in the valuation of companies perceived by investors to be comparable to us; market conditions in the pharmaceutical and biotechnology sector;</w:t>
      </w:r>
    </w:p>
    <w:p>
      <w:pPr>
        <w:spacing w:after="0" w:line="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changes in the structure of healthcare payment systems;</w:t>
      </w:r>
    </w:p>
    <w:p>
      <w:pPr>
        <w:spacing w:after="0" w:line="131" w:lineRule="exact"/>
        <w:rPr>
          <w:sz w:val="20"/>
          <w:szCs w:val="20"/>
          <w:color w:val="auto"/>
        </w:rPr>
      </w:pPr>
    </w:p>
    <w:p>
      <w:pPr>
        <w:ind w:left="1200" w:right="2840"/>
        <w:spacing w:after="0" w:line="391" w:lineRule="auto"/>
        <w:rPr>
          <w:sz w:val="20"/>
          <w:szCs w:val="20"/>
          <w:color w:val="auto"/>
        </w:rPr>
      </w:pPr>
      <w:r>
        <w:rPr>
          <w:rFonts w:ascii="Arial" w:cs="Arial" w:eastAsia="Arial" w:hAnsi="Arial"/>
          <w:sz w:val="18"/>
          <w:szCs w:val="18"/>
          <w:color w:val="auto"/>
        </w:rPr>
        <w:t>share price and volume fluctuations attributable to inconsistent trading volume levels of our shares; announcement or expectation of additional financing efforts;</w:t>
      </w:r>
    </w:p>
    <w:p>
      <w:pPr>
        <w:spacing w:after="0" w:line="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sales of our common stock by us, our insiders or our other stockholders;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expiration of market stand-off or lock-up agreements;</w:t>
      </w:r>
    </w:p>
    <w:p>
      <w:pPr>
        <w:spacing w:after="0" w:line="131" w:lineRule="exact"/>
        <w:rPr>
          <w:sz w:val="20"/>
          <w:szCs w:val="20"/>
          <w:color w:val="auto"/>
        </w:rPr>
      </w:pPr>
    </w:p>
    <w:p>
      <w:pPr>
        <w:ind w:left="1200" w:right="2580"/>
        <w:spacing w:after="0" w:line="391" w:lineRule="auto"/>
        <w:rPr>
          <w:sz w:val="20"/>
          <w:szCs w:val="20"/>
          <w:color w:val="auto"/>
        </w:rPr>
      </w:pPr>
      <w:r>
        <w:rPr>
          <w:rFonts w:ascii="Arial" w:cs="Arial" w:eastAsia="Arial" w:hAnsi="Arial"/>
          <w:sz w:val="18"/>
          <w:szCs w:val="18"/>
          <w:color w:val="auto"/>
        </w:rPr>
        <w:t>the impact of any natural disasters or public health emergencies, such as the COVID-19 pandemic; and general economic, political, industry and market conditions.</w:t>
      </w:r>
    </w:p>
    <w:p>
      <w:pPr>
        <w:spacing w:after="0" w:line="1" w:lineRule="exact"/>
        <w:rPr>
          <w:sz w:val="20"/>
          <w:szCs w:val="20"/>
          <w:color w:val="auto"/>
        </w:rPr>
      </w:pPr>
    </w:p>
    <w:p>
      <w:pPr>
        <w:ind w:right="280" w:firstLine="749"/>
        <w:spacing w:after="0" w:line="293" w:lineRule="auto"/>
        <w:rPr>
          <w:sz w:val="20"/>
          <w:szCs w:val="20"/>
          <w:color w:val="auto"/>
        </w:rPr>
      </w:pPr>
      <w:r>
        <w:rPr>
          <w:rFonts w:ascii="Arial" w:cs="Arial" w:eastAsia="Arial" w:hAnsi="Arial"/>
          <w:sz w:val="18"/>
          <w:szCs w:val="18"/>
          <w:color w:val="auto"/>
        </w:rPr>
        <w:t>The realization of any of the above risks or any of a broad range of other risks, including those described in this “Risk factors” section, could have a dramatic and adverse impact on the market price of our common stock.</w:t>
      </w:r>
    </w:p>
    <w:p>
      <w:pPr>
        <w:spacing w:after="0" w:line="62" w:lineRule="exact"/>
        <w:rPr>
          <w:sz w:val="20"/>
          <w:szCs w:val="20"/>
          <w:color w:val="auto"/>
        </w:rPr>
      </w:pPr>
    </w:p>
    <w:p>
      <w:pPr>
        <w:ind w:right="380"/>
        <w:spacing w:after="0" w:line="293"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or if they publish adverse or misleading research or reports, regarding us, our business or our market, our stock price and trading volume could decline.</w:t>
      </w:r>
    </w:p>
    <w:p>
      <w:pPr>
        <w:spacing w:after="0" w:line="62" w:lineRule="exact"/>
        <w:rPr>
          <w:sz w:val="20"/>
          <w:szCs w:val="20"/>
          <w:color w:val="auto"/>
        </w:rPr>
      </w:pPr>
    </w:p>
    <w:p>
      <w:pPr>
        <w:ind w:right="40" w:firstLine="749"/>
        <w:spacing w:after="0" w:line="314" w:lineRule="auto"/>
        <w:rPr>
          <w:sz w:val="20"/>
          <w:szCs w:val="20"/>
          <w:color w:val="auto"/>
        </w:rPr>
      </w:pPr>
      <w:r>
        <w:rPr>
          <w:rFonts w:ascii="Arial" w:cs="Arial" w:eastAsia="Arial" w:hAnsi="Arial"/>
          <w:sz w:val="16"/>
          <w:szCs w:val="16"/>
          <w:color w:val="auto"/>
        </w:rPr>
        <w:t>The trading market for our common stock is influenced by the research and reports that securities or industry analysts publish about us, our business or our market. We currently have research coverage from a limited number of securities or industry analysts. If any of the analysts who cover us issue adverse or misleading research or reports regarding us, our business model, our intellectual property,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52" w:lineRule="exact"/>
        <w:rPr>
          <w:sz w:val="20"/>
          <w:szCs w:val="20"/>
          <w:color w:val="auto"/>
        </w:rPr>
      </w:pPr>
    </w:p>
    <w:p>
      <w:pPr>
        <w:ind w:right="20"/>
        <w:spacing w:after="0" w:line="293"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our guidance.</w:t>
      </w:r>
    </w:p>
    <w:p>
      <w:pPr>
        <w:spacing w:after="0" w:line="62" w:lineRule="exact"/>
        <w:rPr>
          <w:sz w:val="20"/>
          <w:szCs w:val="20"/>
          <w:color w:val="auto"/>
        </w:rPr>
      </w:pPr>
    </w:p>
    <w:p>
      <w:pPr>
        <w:ind w:firstLine="749"/>
        <w:spacing w:after="0" w:line="272" w:lineRule="auto"/>
        <w:rPr>
          <w:sz w:val="20"/>
          <w:szCs w:val="20"/>
          <w:color w:val="auto"/>
        </w:rPr>
      </w:pPr>
      <w:r>
        <w:rPr>
          <w:rFonts w:ascii="Arial" w:cs="Arial" w:eastAsia="Arial" w:hAnsi="Arial"/>
          <w:sz w:val="18"/>
          <w:szCs w:val="18"/>
          <w:color w:val="auto"/>
        </w:rPr>
        <w:t>Our quarterly and annual operating results may fluctuate significantly in the future, which makes it difficult for us to predict our future operating results. From time to time, we may enter into license or collaboration agreements or strategic partnerships with other companies that include development funding and significant upfront and milestone payments and/or royalties, which may become an important source of our revenue. These upfront and milestone payments may vary significantly from period to period and any such variance could cause a significant fluctuation in our operating results from one period to the next.</w:t>
      </w:r>
    </w:p>
    <w:p>
      <w:pPr>
        <w:spacing w:after="0" w:line="83" w:lineRule="exact"/>
        <w:rPr>
          <w:sz w:val="20"/>
          <w:szCs w:val="20"/>
          <w:color w:val="auto"/>
        </w:rPr>
      </w:pPr>
    </w:p>
    <w:p>
      <w:pPr>
        <w:jc w:val="both"/>
        <w:ind w:right="80" w:firstLine="749"/>
        <w:spacing w:after="0" w:line="275" w:lineRule="auto"/>
        <w:rPr>
          <w:sz w:val="20"/>
          <w:szCs w:val="20"/>
          <w:color w:val="auto"/>
        </w:rPr>
      </w:pPr>
      <w:r>
        <w:rPr>
          <w:rFonts w:ascii="Arial" w:cs="Arial" w:eastAsia="Arial" w:hAnsi="Arial"/>
          <w:sz w:val="18"/>
          <w:szCs w:val="18"/>
          <w:color w:val="auto"/>
        </w:rPr>
        <w:t>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including, our underlying stock price and stock price volatility, the magnitude of the expense that we must recognize may vary significantly.</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76" w:right="399" w:bottom="1440" w:gutter="0" w:footer="0" w:header="0"/>
        </w:sectPr>
      </w:pPr>
    </w:p>
    <w:bookmarkStart w:id="71" w:name="page72"/>
    <w:bookmarkEnd w:id="71"/>
    <w:p>
      <w:pPr>
        <w:ind w:right="160" w:firstLine="749"/>
        <w:spacing w:after="0" w:line="293" w:lineRule="auto"/>
        <w:rPr>
          <w:sz w:val="20"/>
          <w:szCs w:val="20"/>
          <w:color w:val="auto"/>
        </w:rPr>
      </w:pPr>
      <w:r>
        <w:rPr>
          <w:rFonts w:ascii="Arial" w:cs="Arial" w:eastAsia="Arial" w:hAnsi="Arial"/>
          <w:sz w:val="18"/>
          <w:szCs w:val="18"/>
          <w:color w:val="auto"/>
        </w:rPr>
        <w:t>Furthermore, our operating results may fluctuate due to a variety of other factors, many of which are outside of our control and may be difficult to predict, including the following:</w:t>
      </w:r>
    </w:p>
    <w:p>
      <w:pPr>
        <w:spacing w:after="0" w:line="62" w:lineRule="exact"/>
        <w:rPr>
          <w:sz w:val="20"/>
          <w:szCs w:val="20"/>
          <w:color w:val="auto"/>
        </w:rPr>
      </w:pPr>
    </w:p>
    <w:p>
      <w:pPr>
        <w:ind w:left="1200" w:right="220"/>
        <w:spacing w:after="0" w:line="293" w:lineRule="auto"/>
        <w:rPr>
          <w:sz w:val="20"/>
          <w:szCs w:val="20"/>
          <w:color w:val="auto"/>
        </w:rPr>
      </w:pPr>
      <w:r>
        <w:rPr>
          <w:rFonts w:ascii="Arial" w:cs="Arial" w:eastAsia="Arial" w:hAnsi="Arial"/>
          <w:sz w:val="18"/>
          <w:szCs w:val="18"/>
          <w:color w:val="auto"/>
        </w:rPr>
        <w:t>the timing and cost of, and level of investment in, research and development activities relating to our current product candidates and any future product candidates and research-stage programs, which will change from time to time;</w:t>
      </w:r>
    </w:p>
    <w:p>
      <w:pPr>
        <w:spacing w:after="0" w:line="6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our ability to enroll patients in clinical trials and the timing of enrollment;</w:t>
      </w:r>
    </w:p>
    <w:p>
      <w:pPr>
        <w:spacing w:after="0" w:line="131" w:lineRule="exact"/>
        <w:rPr>
          <w:sz w:val="20"/>
          <w:szCs w:val="20"/>
          <w:color w:val="auto"/>
        </w:rPr>
      </w:pPr>
    </w:p>
    <w:p>
      <w:pPr>
        <w:ind w:left="1200" w:right="120"/>
        <w:spacing w:after="0" w:line="279" w:lineRule="auto"/>
        <w:rPr>
          <w:sz w:val="20"/>
          <w:szCs w:val="20"/>
          <w:color w:val="auto"/>
        </w:rPr>
      </w:pPr>
      <w:r>
        <w:rPr>
          <w:rFonts w:ascii="Arial" w:cs="Arial" w:eastAsia="Arial" w:hAnsi="Arial"/>
          <w:sz w:val="18"/>
          <w:szCs w:val="18"/>
          <w:color w:val="auto"/>
        </w:rPr>
        <w:t>the cost of manufacturing our current product candidates and any future product candidates, which may vary depending on FDA, EMA or other comparable foreign regulatory authority guidelines and requirements, the quantity of production and the terms of our agreements with manufacturers;</w:t>
      </w:r>
    </w:p>
    <w:p>
      <w:pPr>
        <w:spacing w:after="0" w:line="7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expenditures that we will or may incur to acquire or develop additional product candidates and technologies or other assets;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the timing and outcomes of clinical trials for ORIC-101, and any of our other product candidates, or competing product candidates;</w:t>
      </w:r>
    </w:p>
    <w:p>
      <w:pPr>
        <w:spacing w:after="0" w:line="14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need to conduct unanticipated clinical trials or trials that are larger or more complex than anticipated;</w:t>
      </w:r>
    </w:p>
    <w:p>
      <w:pPr>
        <w:spacing w:after="0" w:line="131" w:lineRule="exact"/>
        <w:rPr>
          <w:sz w:val="20"/>
          <w:szCs w:val="20"/>
          <w:color w:val="auto"/>
        </w:rPr>
      </w:pPr>
    </w:p>
    <w:p>
      <w:pPr>
        <w:ind w:left="1200" w:right="40"/>
        <w:spacing w:after="0" w:line="293" w:lineRule="auto"/>
        <w:rPr>
          <w:sz w:val="20"/>
          <w:szCs w:val="20"/>
          <w:color w:val="auto"/>
        </w:rPr>
      </w:pPr>
      <w:r>
        <w:rPr>
          <w:rFonts w:ascii="Arial" w:cs="Arial" w:eastAsia="Arial" w:hAnsi="Arial"/>
          <w:sz w:val="18"/>
          <w:szCs w:val="18"/>
          <w:color w:val="auto"/>
        </w:rPr>
        <w:t>competition from existing and potential future products that compete with ORIC-101 and any of our other product candidates, and changes in the competitive landscape of our industry, including consolidation among our competitors or partners;</w:t>
      </w:r>
    </w:p>
    <w:p>
      <w:pPr>
        <w:spacing w:after="0" w:line="6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any delays in regulatory review or approval of ORIC-101 or any of our other product candidates;</w:t>
      </w:r>
    </w:p>
    <w:p>
      <w:pPr>
        <w:spacing w:after="0" w:line="131" w:lineRule="exact"/>
        <w:rPr>
          <w:sz w:val="20"/>
          <w:szCs w:val="20"/>
          <w:color w:val="auto"/>
        </w:rPr>
      </w:pPr>
    </w:p>
    <w:p>
      <w:pPr>
        <w:ind w:left="1200" w:right="100"/>
        <w:spacing w:after="0" w:line="293" w:lineRule="auto"/>
        <w:rPr>
          <w:sz w:val="20"/>
          <w:szCs w:val="20"/>
          <w:color w:val="auto"/>
        </w:rPr>
      </w:pPr>
      <w:r>
        <w:rPr>
          <w:rFonts w:ascii="Arial" w:cs="Arial" w:eastAsia="Arial" w:hAnsi="Arial"/>
          <w:sz w:val="18"/>
          <w:szCs w:val="18"/>
          <w:color w:val="auto"/>
        </w:rPr>
        <w:t>the level of demand for ORIC-101 and any of our other product candidates, if approved, which may fluctuate significantly and be difficult to predict;</w:t>
      </w:r>
    </w:p>
    <w:p>
      <w:pPr>
        <w:spacing w:after="0" w:line="62" w:lineRule="exact"/>
        <w:rPr>
          <w:sz w:val="20"/>
          <w:szCs w:val="20"/>
          <w:color w:val="auto"/>
        </w:rPr>
      </w:pPr>
    </w:p>
    <w:p>
      <w:pPr>
        <w:ind w:left="1200" w:right="380"/>
        <w:spacing w:after="0" w:line="293" w:lineRule="auto"/>
        <w:rPr>
          <w:sz w:val="20"/>
          <w:szCs w:val="20"/>
          <w:color w:val="auto"/>
        </w:rPr>
      </w:pPr>
      <w:r>
        <w:rPr>
          <w:rFonts w:ascii="Arial" w:cs="Arial" w:eastAsia="Arial" w:hAnsi="Arial"/>
          <w:sz w:val="18"/>
          <w:szCs w:val="18"/>
          <w:color w:val="auto"/>
        </w:rPr>
        <w:t>the risk/benefit profile, cost and reimbursement policies with respect to our product candidates, if approved, and existing and potential future products that compete with ORIC-101 and any of our other product candidates;</w:t>
      </w:r>
    </w:p>
    <w:p>
      <w:pPr>
        <w:spacing w:after="0" w:line="62" w:lineRule="exact"/>
        <w:rPr>
          <w:sz w:val="20"/>
          <w:szCs w:val="20"/>
          <w:color w:val="auto"/>
        </w:rPr>
      </w:pPr>
    </w:p>
    <w:p>
      <w:pPr>
        <w:ind w:left="1200" w:right="20"/>
        <w:spacing w:after="0" w:line="293" w:lineRule="auto"/>
        <w:rPr>
          <w:sz w:val="20"/>
          <w:szCs w:val="20"/>
          <w:color w:val="auto"/>
        </w:rPr>
      </w:pPr>
      <w:r>
        <w:rPr>
          <w:rFonts w:ascii="Arial" w:cs="Arial" w:eastAsia="Arial" w:hAnsi="Arial"/>
          <w:sz w:val="18"/>
          <w:szCs w:val="18"/>
          <w:color w:val="auto"/>
        </w:rPr>
        <w:t>our ability to commercialize ORIC-101 and any of our other product candidates, if approved, inside and outside of the United States, either independently or working with third parties;</w:t>
      </w:r>
    </w:p>
    <w:p>
      <w:pPr>
        <w:spacing w:after="0" w:line="6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our ability to establish and maintain collaborations, licensing or other arrangements;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our ability to adequately support future growth;</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potential unforeseen business disruptions that increase our costs or expenses;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future accounting pronouncements or changes in our accounting policies; and</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changing and volatile global economic and political environment.</w:t>
      </w:r>
    </w:p>
    <w:p>
      <w:pPr>
        <w:spacing w:after="0" w:line="131" w:lineRule="exact"/>
        <w:rPr>
          <w:sz w:val="20"/>
          <w:szCs w:val="20"/>
          <w:color w:val="auto"/>
        </w:rPr>
      </w:pPr>
    </w:p>
    <w:p>
      <w:pPr>
        <w:ind w:right="160" w:firstLine="749"/>
        <w:spacing w:after="0" w:line="311" w:lineRule="auto"/>
        <w:rPr>
          <w:sz w:val="20"/>
          <w:szCs w:val="20"/>
          <w:color w:val="auto"/>
        </w:rPr>
      </w:pPr>
      <w:r>
        <w:rPr>
          <w:rFonts w:ascii="Arial" w:cs="Arial" w:eastAsia="Arial" w:hAnsi="Arial"/>
          <w:sz w:val="16"/>
          <w:szCs w:val="16"/>
          <w:color w:val="auto"/>
        </w:rPr>
        <w:t>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55" w:lineRule="exact"/>
        <w:rPr>
          <w:sz w:val="20"/>
          <w:szCs w:val="20"/>
          <w:color w:val="auto"/>
        </w:rPr>
      </w:pPr>
    </w:p>
    <w:p>
      <w:pPr>
        <w:ind w:right="60"/>
        <w:spacing w:after="0" w:line="293"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62" w:lineRule="exact"/>
        <w:rPr>
          <w:sz w:val="20"/>
          <w:szCs w:val="20"/>
          <w:color w:val="auto"/>
        </w:rPr>
      </w:pPr>
    </w:p>
    <w:p>
      <w:pPr>
        <w:ind w:firstLine="749"/>
        <w:spacing w:after="0" w:line="309" w:lineRule="auto"/>
        <w:rPr>
          <w:sz w:val="20"/>
          <w:szCs w:val="20"/>
          <w:color w:val="auto"/>
        </w:rPr>
      </w:pPr>
      <w:r>
        <w:rPr>
          <w:rFonts w:ascii="Arial" w:cs="Arial" w:eastAsia="Arial" w:hAnsi="Arial"/>
          <w:sz w:val="16"/>
          <w:szCs w:val="16"/>
          <w:color w:val="auto"/>
        </w:rPr>
        <w:t>As of September 30, 2021, our executive officers, directors, holders of 5% or more of our common stock and their respective affiliates beneficially owned approximately 50% of our outstanding common stock. These stockholders, acting together, may be able to impact matters requiring stockholder approval. For example, they may be able to impact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31" w:lineRule="exact"/>
        <w:rPr>
          <w:sz w:val="20"/>
          <w:szCs w:val="20"/>
          <w:color w:val="auto"/>
        </w:rPr>
      </w:pPr>
    </w:p>
    <w:p>
      <w:pPr>
        <w:ind w:right="200" w:firstLine="749"/>
        <w:spacing w:after="0" w:line="324"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39" w:lineRule="exact"/>
        <w:rPr>
          <w:sz w:val="20"/>
          <w:szCs w:val="20"/>
          <w:color w:val="auto"/>
        </w:rPr>
      </w:pPr>
    </w:p>
    <w:p>
      <w:pPr>
        <w:ind w:right="140" w:firstLine="749"/>
        <w:spacing w:after="0" w:line="319" w:lineRule="auto"/>
        <w:rPr>
          <w:sz w:val="20"/>
          <w:szCs w:val="20"/>
          <w:color w:val="auto"/>
        </w:rPr>
      </w:pPr>
      <w:r>
        <w:rPr>
          <w:rFonts w:ascii="Arial" w:cs="Arial" w:eastAsia="Arial" w:hAnsi="Arial"/>
          <w:sz w:val="16"/>
          <w:szCs w:val="16"/>
          <w:color w:val="auto"/>
        </w:rPr>
        <w:t>Certain holders of shares of our common stock have rights, subject to certain conditions, to require us to file registration statements covering their shares or to include their shares in registration statements that we may file for ourselves or other stockholders. Registration of these shares under the Securities Act would result in the shares becoming freely tradeable in the public market, subject to the restrictions of Rule 144 in the case of our affiliates. Any sales of securities by these stockholders could have a material adverse effect on the market price for our common stock.</w:t>
      </w:r>
    </w:p>
    <w:p>
      <w:pPr>
        <w:spacing w:after="0" w:line="48" w:lineRule="exact"/>
        <w:rPr>
          <w:sz w:val="20"/>
          <w:szCs w:val="20"/>
          <w:color w:val="auto"/>
        </w:rPr>
      </w:pPr>
    </w:p>
    <w:p>
      <w:pPr>
        <w:ind w:right="60"/>
        <w:spacing w:after="0" w:line="293"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62" w:lineRule="exact"/>
        <w:rPr>
          <w:sz w:val="20"/>
          <w:szCs w:val="20"/>
          <w:color w:val="auto"/>
        </w:rPr>
      </w:pPr>
    </w:p>
    <w:p>
      <w:pPr>
        <w:ind w:right="160" w:firstLine="749"/>
        <w:spacing w:after="0" w:line="279" w:lineRule="auto"/>
        <w:rPr>
          <w:sz w:val="20"/>
          <w:szCs w:val="20"/>
          <w:color w:val="auto"/>
        </w:rPr>
      </w:pPr>
      <w:r>
        <w:rPr>
          <w:rFonts w:ascii="Arial" w:cs="Arial" w:eastAsia="Arial" w:hAnsi="Arial"/>
          <w:sz w:val="18"/>
          <w:szCs w:val="18"/>
          <w:color w:val="auto"/>
        </w:rPr>
        <w:t>We are an “emerging growth company,” as defined in the Jumpstart Our Business Startups Act of 2012 (JOBS Act). For as long as we continue to be an emerging growth company, we intend to take advantage of exemptions from various reporting requirements that are applicable to other public companies that are not emerging growth companies, including:</w:t>
      </w:r>
    </w:p>
    <w:p>
      <w:pPr>
        <w:spacing w:after="0" w:line="75" w:lineRule="exact"/>
        <w:rPr>
          <w:sz w:val="20"/>
          <w:szCs w:val="20"/>
          <w:color w:val="auto"/>
        </w:rPr>
      </w:pPr>
    </w:p>
    <w:p>
      <w:pPr>
        <w:ind w:left="1200" w:right="380"/>
        <w:spacing w:after="0" w:line="279" w:lineRule="auto"/>
        <w:rPr>
          <w:sz w:val="20"/>
          <w:szCs w:val="20"/>
          <w:color w:val="auto"/>
        </w:rPr>
      </w:pPr>
      <w:r>
        <w:rPr>
          <w:rFonts w:ascii="Arial" w:cs="Arial" w:eastAsia="Arial" w:hAnsi="Arial"/>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 in our periodic reports;</w:t>
      </w:r>
    </w:p>
    <w:p>
      <w:pPr>
        <w:spacing w:after="0" w:line="75" w:lineRule="exact"/>
        <w:rPr>
          <w:sz w:val="20"/>
          <w:szCs w:val="20"/>
          <w:color w:val="auto"/>
        </w:rPr>
      </w:pPr>
    </w:p>
    <w:p>
      <w:pPr>
        <w:ind w:left="1200" w:right="420"/>
        <w:spacing w:after="0" w:line="293" w:lineRule="auto"/>
        <w:rPr>
          <w:sz w:val="20"/>
          <w:szCs w:val="20"/>
          <w:color w:val="auto"/>
        </w:rPr>
      </w:pPr>
      <w:r>
        <w:rPr>
          <w:rFonts w:ascii="Arial" w:cs="Arial" w:eastAsia="Arial" w:hAnsi="Arial"/>
          <w:sz w:val="18"/>
          <w:szCs w:val="18"/>
          <w:color w:val="auto"/>
        </w:rPr>
        <w:t>not being required to comply with the auditor attestation requirements of Section 404 of the Sarbanes-Oxley Act of 2002, as amended (Sarbanes-Oxley Act);</w:t>
      </w:r>
    </w:p>
    <w:p>
      <w:pPr>
        <w:spacing w:after="0" w:line="62" w:lineRule="exact"/>
        <w:rPr>
          <w:sz w:val="20"/>
          <w:szCs w:val="20"/>
          <w:color w:val="auto"/>
        </w:rPr>
      </w:pPr>
    </w:p>
    <w:p>
      <w:pPr>
        <w:jc w:val="both"/>
        <w:ind w:left="1200" w:right="280"/>
        <w:spacing w:after="0" w:line="279" w:lineRule="auto"/>
        <w:rPr>
          <w:sz w:val="20"/>
          <w:szCs w:val="20"/>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7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reduced disclosure obligations regarding executive compensation in our periodic reports and proxy statements; and</w:t>
      </w:r>
    </w:p>
    <w:p>
      <w:pPr>
        <w:spacing w:after="0" w:line="131" w:lineRule="exact"/>
        <w:rPr>
          <w:sz w:val="20"/>
          <w:szCs w:val="20"/>
          <w:color w:val="auto"/>
        </w:rPr>
      </w:pPr>
    </w:p>
    <w:p>
      <w:pPr>
        <w:ind w:left="1200" w:right="80"/>
        <w:spacing w:after="0" w:line="293" w:lineRule="auto"/>
        <w:rPr>
          <w:sz w:val="20"/>
          <w:szCs w:val="20"/>
          <w:color w:val="auto"/>
        </w:rPr>
      </w:pPr>
      <w:r>
        <w:rPr>
          <w:rFonts w:ascii="Arial" w:cs="Arial" w:eastAsia="Arial" w:hAnsi="Arial"/>
          <w:sz w:val="18"/>
          <w:szCs w:val="18"/>
          <w:color w:val="auto"/>
        </w:rPr>
        <w:t>exemptions from the requirements of holding nonbinding advisory stockholder votes on executive compensation and stockholder approval of any golden parachute payments not previously approved.</w:t>
      </w:r>
    </w:p>
    <w:p>
      <w:pPr>
        <w:spacing w:after="0" w:line="62" w:lineRule="exact"/>
        <w:rPr>
          <w:sz w:val="20"/>
          <w:szCs w:val="20"/>
          <w:color w:val="auto"/>
        </w:rPr>
      </w:pPr>
    </w:p>
    <w:p>
      <w:pPr>
        <w:ind w:firstLine="749"/>
        <w:spacing w:after="0" w:line="272"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have elected not to avail ourselves of this exemption from new or revised accounting standards and, therefore, will be subject to the same new or revised accounting standards as other public companies that are not emerging growth companies. As a result, our financial statements may not be comparable to emerging growth companies that elect to avail themselves of the exemption from new or revised accounting pronouncements as of public company effective dates.</w:t>
      </w:r>
    </w:p>
    <w:p>
      <w:pPr>
        <w:spacing w:after="0" w:line="83" w:lineRule="exact"/>
        <w:rPr>
          <w:sz w:val="20"/>
          <w:szCs w:val="20"/>
          <w:color w:val="auto"/>
        </w:rPr>
      </w:pPr>
    </w:p>
    <w:p>
      <w:pPr>
        <w:ind w:right="20" w:firstLine="749"/>
        <w:spacing w:after="0" w:line="329" w:lineRule="auto"/>
        <w:rPr>
          <w:sz w:val="20"/>
          <w:szCs w:val="20"/>
          <w:color w:val="auto"/>
        </w:rPr>
      </w:pPr>
      <w:r>
        <w:rPr>
          <w:rFonts w:ascii="Arial" w:cs="Arial" w:eastAsia="Arial" w:hAnsi="Arial"/>
          <w:sz w:val="16"/>
          <w:szCs w:val="16"/>
          <w:color w:val="auto"/>
        </w:rPr>
        <w:t>We will remain an emerging growth company until the earliest to occur of: (1) the last day of the fiscal year in which we have more than $1.07 billion in annual revenue; (2) the date we qualify as a “large accelerated filer,” with at least $700.0 million of equity securities held by non-affiliates; (3) the date on which we have issued more than $1.0 billion in non-convertible debt securities during the prior three-year period; and (4) December 31, 2025.</w:t>
      </w:r>
    </w:p>
    <w:p>
      <w:pPr>
        <w:spacing w:after="0" w:line="40" w:lineRule="exact"/>
        <w:rPr>
          <w:sz w:val="20"/>
          <w:szCs w:val="20"/>
          <w:color w:val="auto"/>
        </w:rPr>
      </w:pPr>
    </w:p>
    <w:p>
      <w:pPr>
        <w:ind w:right="240" w:firstLine="749"/>
        <w:spacing w:after="0" w:line="359" w:lineRule="auto"/>
        <w:rPr>
          <w:sz w:val="20"/>
          <w:szCs w:val="20"/>
          <w:color w:val="auto"/>
        </w:rPr>
      </w:pPr>
      <w:r>
        <w:rPr>
          <w:rFonts w:ascii="Arial" w:cs="Arial" w:eastAsia="Arial" w:hAnsi="Arial"/>
          <w:sz w:val="16"/>
          <w:szCs w:val="16"/>
          <w:color w:val="auto"/>
        </w:rPr>
        <w:t>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7" w:lineRule="exact"/>
        <w:rPr>
          <w:sz w:val="20"/>
          <w:szCs w:val="20"/>
          <w:color w:val="auto"/>
        </w:rPr>
      </w:pPr>
    </w:p>
    <w:p>
      <w:pPr>
        <w:ind w:right="40"/>
        <w:spacing w:after="0" w:line="279" w:lineRule="auto"/>
        <w:rPr>
          <w:sz w:val="20"/>
          <w:szCs w:val="20"/>
          <w:color w:val="auto"/>
        </w:rPr>
      </w:pPr>
      <w:r>
        <w:rPr>
          <w:rFonts w:ascii="Arial" w:cs="Arial" w:eastAsia="Arial" w:hAnsi="Arial"/>
          <w:sz w:val="18"/>
          <w:szCs w:val="18"/>
          <w:b w:val="1"/>
          <w:bCs w:val="1"/>
          <w:i w:val="1"/>
          <w:iCs w:val="1"/>
          <w:color w:val="auto"/>
        </w:rPr>
        <w:t>We incur increased costs as a result of operating as a public company, and our management devotes substantial time to related compliance initiatives. Additionally, if we fail to maintain proper and effective internal controls, our ability to produce accurate financial statements on a timely basis could be impaired.</w:t>
      </w:r>
    </w:p>
    <w:p>
      <w:pPr>
        <w:spacing w:after="0" w:line="75" w:lineRule="exact"/>
        <w:rPr>
          <w:sz w:val="20"/>
          <w:szCs w:val="20"/>
          <w:color w:val="auto"/>
        </w:rPr>
      </w:pPr>
    </w:p>
    <w:p>
      <w:pPr>
        <w:ind w:right="40" w:firstLine="749"/>
        <w:spacing w:after="0" w:line="286" w:lineRule="auto"/>
        <w:rPr>
          <w:sz w:val="20"/>
          <w:szCs w:val="20"/>
          <w:color w:val="auto"/>
        </w:rPr>
      </w:pPr>
      <w:r>
        <w:rPr>
          <w:rFonts w:ascii="Arial" w:cs="Arial" w:eastAsia="Arial" w:hAnsi="Arial"/>
          <w:sz w:val="17"/>
          <w:szCs w:val="17"/>
          <w:color w:val="auto"/>
        </w:rPr>
        <w:t>As a public company, we incur significant legal, accounting and other expenses that we did not incur as a private company, and these expenses may increase even more after we are no longer an “emerging growth company.” We are subject to the reporting requirements of the Securities Exchange Act of 1934, as amended (Exchange Act), the Sarbanes-Oxley Act, the Dodd-Frank Wall Street Reform and Protection Act, as well as rules adopted, and to be adopted, by the SEC and Nasdaq. Our management and other personnel need to devote a substantial amount of time to these compliance initiatives. Moreover, we expect these rules and regulations to substantially increase our legal and financial compliance costs and to make some activities more time-consuming and costly, which will increase our operating expenses. For example, these rules and regulations make it more difficult and more expensive for us to obtain director and officer liability insurance and we may be required to incur substantial costs to maintain sufficient coverage, particularly in light of recent cost increases related to coverage. We cannot accurately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73" w:name="page74"/>
    <w:bookmarkEnd w:id="73"/>
    <w:p>
      <w:pPr>
        <w:ind w:right="100" w:firstLine="749"/>
        <w:spacing w:after="0" w:line="287" w:lineRule="auto"/>
        <w:rPr>
          <w:sz w:val="20"/>
          <w:szCs w:val="20"/>
          <w:color w:val="auto"/>
        </w:rPr>
      </w:pPr>
      <w:r>
        <w:rPr>
          <w:rFonts w:ascii="Arial" w:cs="Arial" w:eastAsia="Arial" w:hAnsi="Arial"/>
          <w:sz w:val="17"/>
          <w:szCs w:val="17"/>
          <w:color w:val="auto"/>
        </w:rPr>
        <w:t>In addition, as a public company we are required to incur additional costs and obligations in order to comply with SEC rules that implement Section 404 of the Sarbanes-Oxley Act. Under these rules, beginning with our second Annual Report on Form 10-K as a public company, we will be required to make a formal assessment of the effectiveness of our internal control over financial reporting, and once we cease to be an emerging growth company, we may be required to include an attestation report on internal control over financial reporting issued by our independent registered public accounting firm. To achieve compliance with Section 404 within the prescribed period, we will be engaging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70" w:lineRule="exact"/>
        <w:rPr>
          <w:sz w:val="20"/>
          <w:szCs w:val="20"/>
          <w:color w:val="auto"/>
        </w:rPr>
      </w:pPr>
    </w:p>
    <w:p>
      <w:pPr>
        <w:ind w:right="260" w:firstLine="749"/>
        <w:spacing w:after="0" w:line="270" w:lineRule="auto"/>
        <w:rPr>
          <w:sz w:val="20"/>
          <w:szCs w:val="20"/>
          <w:color w:val="auto"/>
        </w:rPr>
      </w:pPr>
      <w:r>
        <w:rPr>
          <w:rFonts w:ascii="Arial" w:cs="Arial" w:eastAsia="Arial" w:hAnsi="Arial"/>
          <w:sz w:val="18"/>
          <w:szCs w:val="18"/>
          <w:color w:val="auto"/>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85" w:lineRule="exact"/>
        <w:rPr>
          <w:sz w:val="20"/>
          <w:szCs w:val="20"/>
          <w:color w:val="auto"/>
        </w:rPr>
      </w:pPr>
    </w:p>
    <w:p>
      <w:pPr>
        <w:ind w:right="20" w:firstLine="749"/>
        <w:spacing w:after="0" w:line="275" w:lineRule="auto"/>
        <w:rPr>
          <w:sz w:val="20"/>
          <w:szCs w:val="20"/>
          <w:color w:val="auto"/>
        </w:rPr>
      </w:pPr>
      <w:r>
        <w:rPr>
          <w:rFonts w:ascii="Arial" w:cs="Arial" w:eastAsia="Arial" w:hAnsi="Arial"/>
          <w:sz w:val="18"/>
          <w:szCs w:val="18"/>
          <w:color w:val="auto"/>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31" w:lineRule="exact"/>
        <w:rPr>
          <w:sz w:val="20"/>
          <w:szCs w:val="20"/>
          <w:color w:val="auto"/>
        </w:rPr>
      </w:pPr>
    </w:p>
    <w:p>
      <w:pPr>
        <w:ind w:right="120" w:firstLine="749"/>
        <w:spacing w:after="0" w:line="272" w:lineRule="auto"/>
        <w:rPr>
          <w:sz w:val="20"/>
          <w:szCs w:val="20"/>
          <w:color w:val="auto"/>
        </w:rPr>
      </w:pPr>
      <w:r>
        <w:rPr>
          <w:rFonts w:ascii="Arial" w:cs="Arial" w:eastAsia="Arial" w:hAnsi="Arial"/>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83" w:lineRule="exact"/>
        <w:rPr>
          <w:sz w:val="20"/>
          <w:szCs w:val="20"/>
          <w:color w:val="auto"/>
        </w:rPr>
      </w:pPr>
    </w:p>
    <w:p>
      <w:pPr>
        <w:ind w:right="40" w:firstLine="749"/>
        <w:spacing w:after="0" w:line="275" w:lineRule="auto"/>
        <w:rPr>
          <w:sz w:val="20"/>
          <w:szCs w:val="20"/>
          <w:color w:val="auto"/>
        </w:rPr>
      </w:pPr>
      <w:r>
        <w:rPr>
          <w:rFonts w:ascii="Arial" w:cs="Arial" w:eastAsia="Arial" w:hAnsi="Arial"/>
          <w:sz w:val="18"/>
          <w:szCs w:val="18"/>
          <w:color w:val="auto"/>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31" w:lineRule="exact"/>
        <w:rPr>
          <w:sz w:val="20"/>
          <w:szCs w:val="20"/>
          <w:color w:val="auto"/>
        </w:rPr>
      </w:pPr>
    </w:p>
    <w:p>
      <w:pPr>
        <w:ind w:firstLine="749"/>
        <w:spacing w:after="0" w:line="296" w:lineRule="auto"/>
        <w:rPr>
          <w:sz w:val="20"/>
          <w:szCs w:val="20"/>
          <w:color w:val="auto"/>
        </w:rPr>
      </w:pPr>
      <w:r>
        <w:rPr>
          <w:rFonts w:ascii="Arial" w:cs="Arial" w:eastAsia="Arial" w:hAnsi="Arial"/>
          <w:sz w:val="17"/>
          <w:szCs w:val="17"/>
          <w:color w:val="auto"/>
        </w:rPr>
        <w:t>The market price of our common stock is volatile and, in the past, companies that have experienced volatility in the market price of their stock have been subject to securities class action litigation. This risk is especially relevant for us because biotechnology companies have experienced significant stock price volatility in recent years and we may be the target of this type of litigation in the future. Securities litigation against us could result in substantial costs and divert our management’s attention from other business concerns, which could seriously harm our business.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131" w:lineRule="exact"/>
        <w:rPr>
          <w:sz w:val="20"/>
          <w:szCs w:val="20"/>
          <w:color w:val="auto"/>
        </w:rPr>
      </w:pPr>
    </w:p>
    <w:p>
      <w:pPr>
        <w:ind w:right="180" w:firstLine="749"/>
        <w:spacing w:after="0" w:line="279" w:lineRule="auto"/>
        <w:rPr>
          <w:sz w:val="20"/>
          <w:szCs w:val="20"/>
          <w:color w:val="auto"/>
        </w:rPr>
      </w:pPr>
      <w:r>
        <w:rPr>
          <w:rFonts w:ascii="Arial" w:cs="Arial" w:eastAsia="Arial" w:hAnsi="Arial"/>
          <w:sz w:val="18"/>
          <w:szCs w:val="18"/>
          <w:color w:val="auto"/>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any appreciation in the value of their stock.</w:t>
      </w:r>
    </w:p>
    <w:p>
      <w:pPr>
        <w:spacing w:after="0" w:line="75" w:lineRule="exact"/>
        <w:rPr>
          <w:sz w:val="20"/>
          <w:szCs w:val="20"/>
          <w:color w:val="auto"/>
        </w:rPr>
      </w:pPr>
    </w:p>
    <w:p>
      <w:pPr>
        <w:ind w:right="320"/>
        <w:spacing w:after="0" w:line="394" w:lineRule="auto"/>
        <w:rPr>
          <w:sz w:val="20"/>
          <w:szCs w:val="20"/>
          <w:color w:val="auto"/>
        </w:rPr>
      </w:pPr>
      <w:r>
        <w:rPr>
          <w:rFonts w:ascii="Arial" w:cs="Arial" w:eastAsia="Arial" w:hAnsi="Arial"/>
          <w:sz w:val="15"/>
          <w:szCs w:val="15"/>
          <w:b w:val="1"/>
          <w:bCs w:val="1"/>
          <w:i w:val="1"/>
          <w:iCs w:val="1"/>
          <w:color w:val="auto"/>
        </w:rPr>
        <w:t>Provisions in our amended and restated certificate of incorporation and amended and restated bylaws and Delaware law might discourage, delay or prevent a change in control of our company or changes in our management and, therefore, depress the market price of our common stock.</w:t>
      </w:r>
    </w:p>
    <w:p>
      <w:pPr>
        <w:spacing w:after="0" w:line="1" w:lineRule="exact"/>
        <w:rPr>
          <w:sz w:val="20"/>
          <w:szCs w:val="20"/>
          <w:color w:val="auto"/>
        </w:rPr>
      </w:pPr>
    </w:p>
    <w:p>
      <w:pPr>
        <w:jc w:val="both"/>
        <w:ind w:right="40" w:firstLine="749"/>
        <w:spacing w:after="0" w:line="279" w:lineRule="auto"/>
        <w:rPr>
          <w:sz w:val="20"/>
          <w:szCs w:val="20"/>
          <w:color w:val="auto"/>
        </w:rPr>
      </w:pPr>
      <w:r>
        <w:rPr>
          <w:rFonts w:ascii="Arial" w:cs="Arial" w:eastAsia="Arial" w:hAnsi="Arial"/>
          <w:sz w:val="18"/>
          <w:szCs w:val="18"/>
          <w:color w:val="auto"/>
        </w:rPr>
        <w:t>Our amended and restated certificate of incorporation and amended and restated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spacing w:after="0" w:line="7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establish a classified board of directors so that not all members of our board are elected at one time;</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permit only the board of directors to establish the number of directors and fill vacancies on the board;</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provide that directors may only be removed “for cause” and only with the approval of two-thirds of our stockholders;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74" w:name="page75"/>
    <w:bookmarkEnd w:id="74"/>
    <w:p>
      <w:pPr>
        <w:ind w:left="1200" w:right="160"/>
        <w:spacing w:after="0" w:line="293" w:lineRule="auto"/>
        <w:rPr>
          <w:sz w:val="20"/>
          <w:szCs w:val="20"/>
          <w:color w:val="auto"/>
        </w:rPr>
      </w:pPr>
      <w:r>
        <w:rPr>
          <w:rFonts w:ascii="Arial" w:cs="Arial" w:eastAsia="Arial" w:hAnsi="Arial"/>
          <w:sz w:val="18"/>
          <w:szCs w:val="18"/>
          <w:color w:val="auto"/>
        </w:rPr>
        <w:t>authorize the issuance of “blank check” preferred stock that our board could use to implement a stockholder rights plan (also known as a “poison pill”);</w:t>
      </w:r>
    </w:p>
    <w:p>
      <w:pPr>
        <w:spacing w:after="0" w:line="6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eliminate the ability of our stockholders to call special meetings of stockholders;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prohibit stockholder action by written consent, which requires all stockholder actions to be taken at a meeting of our stockholders;</w:t>
      </w:r>
    </w:p>
    <w:p>
      <w:pPr>
        <w:spacing w:after="0" w:line="14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prohibit cumulative voting;</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authorize our board of directors to amend the bylaws;</w:t>
      </w:r>
    </w:p>
    <w:p>
      <w:pPr>
        <w:spacing w:after="0" w:line="131" w:lineRule="exact"/>
        <w:rPr>
          <w:sz w:val="20"/>
          <w:szCs w:val="20"/>
          <w:color w:val="auto"/>
        </w:rPr>
      </w:pPr>
    </w:p>
    <w:p>
      <w:pPr>
        <w:ind w:left="1200" w:right="620"/>
        <w:spacing w:after="0" w:line="293" w:lineRule="auto"/>
        <w:rPr>
          <w:sz w:val="20"/>
          <w:szCs w:val="20"/>
          <w:color w:val="auto"/>
        </w:rPr>
      </w:pPr>
      <w:r>
        <w:rPr>
          <w:rFonts w:ascii="Arial" w:cs="Arial" w:eastAsia="Arial" w:hAnsi="Arial"/>
          <w:sz w:val="18"/>
          <w:szCs w:val="18"/>
          <w:color w:val="auto"/>
        </w:rPr>
        <w:t>establish advance notice requirements for nominations for election to our board or for proposing matters that can be acted upon by stockholders at annual stockholder meetings; and</w:t>
      </w:r>
    </w:p>
    <w:p>
      <w:pPr>
        <w:spacing w:after="0" w:line="6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require a super-majority vote of stockholders to amend some provisions described above.</w:t>
      </w:r>
    </w:p>
    <w:p>
      <w:pPr>
        <w:spacing w:after="0" w:line="131" w:lineRule="exact"/>
        <w:rPr>
          <w:sz w:val="20"/>
          <w:szCs w:val="20"/>
          <w:color w:val="auto"/>
        </w:rPr>
      </w:pPr>
    </w:p>
    <w:p>
      <w:pPr>
        <w:ind w:right="60" w:firstLine="749"/>
        <w:spacing w:after="0" w:line="275" w:lineRule="auto"/>
        <w:rPr>
          <w:sz w:val="20"/>
          <w:szCs w:val="20"/>
          <w:color w:val="auto"/>
        </w:rPr>
      </w:pPr>
      <w:r>
        <w:rPr>
          <w:rFonts w:ascii="Arial" w:cs="Arial" w:eastAsia="Arial" w:hAnsi="Arial"/>
          <w:sz w:val="18"/>
          <w:szCs w:val="18"/>
          <w:color w:val="auto"/>
        </w:rPr>
        <w:t>In addition, Section 203 of the General Corporation Law of the State of Delaware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77" w:lineRule="exact"/>
        <w:rPr>
          <w:sz w:val="20"/>
          <w:szCs w:val="20"/>
          <w:color w:val="auto"/>
        </w:rPr>
      </w:pPr>
    </w:p>
    <w:p>
      <w:pPr>
        <w:ind w:right="240" w:firstLine="749"/>
        <w:spacing w:after="0" w:line="279" w:lineRule="auto"/>
        <w:rPr>
          <w:sz w:val="20"/>
          <w:szCs w:val="20"/>
          <w:color w:val="auto"/>
        </w:rPr>
      </w:pPr>
      <w:r>
        <w:rPr>
          <w:rFonts w:ascii="Arial" w:cs="Arial" w:eastAsia="Arial" w:hAnsi="Arial"/>
          <w:sz w:val="18"/>
          <w:szCs w:val="18"/>
          <w:color w:val="auto"/>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75" w:lineRule="exact"/>
        <w:rPr>
          <w:sz w:val="20"/>
          <w:szCs w:val="20"/>
          <w:color w:val="auto"/>
        </w:rPr>
      </w:pPr>
    </w:p>
    <w:p>
      <w:pPr>
        <w:ind w:right="40"/>
        <w:spacing w:after="0" w:line="279" w:lineRule="auto"/>
        <w:rPr>
          <w:sz w:val="20"/>
          <w:szCs w:val="20"/>
          <w:color w:val="auto"/>
        </w:rPr>
      </w:pPr>
      <w:r>
        <w:rPr>
          <w:rFonts w:ascii="Arial" w:cs="Arial" w:eastAsia="Arial" w:hAnsi="Arial"/>
          <w:sz w:val="18"/>
          <w:szCs w:val="18"/>
          <w:b w:val="1"/>
          <w:bCs w:val="1"/>
          <w:i w:val="1"/>
          <w:iCs w:val="1"/>
          <w:color w:val="auto"/>
        </w:rPr>
        <w:t>Our amended and restated bylaws provide that the Court of Chancery of the State of Delaware and the federal district courts of the United States of America will be the exclusive forums for substantially all disputes between us and our stockholders, which may limit our stockholders’ ability to obtain a favorable judicial forum for disputes with us or our directors, officers or employees.</w:t>
      </w:r>
    </w:p>
    <w:p>
      <w:pPr>
        <w:spacing w:after="0" w:line="75" w:lineRule="exact"/>
        <w:rPr>
          <w:sz w:val="20"/>
          <w:szCs w:val="20"/>
          <w:color w:val="auto"/>
        </w:rPr>
      </w:pPr>
    </w:p>
    <w:p>
      <w:pPr>
        <w:ind w:right="160" w:firstLine="749"/>
        <w:spacing w:after="0" w:line="292" w:lineRule="auto"/>
        <w:rPr>
          <w:sz w:val="20"/>
          <w:szCs w:val="20"/>
          <w:color w:val="auto"/>
        </w:rPr>
      </w:pPr>
      <w:r>
        <w:rPr>
          <w:rFonts w:ascii="Arial" w:cs="Arial" w:eastAsia="Arial" w:hAnsi="Arial"/>
          <w:sz w:val="17"/>
          <w:szCs w:val="17"/>
          <w:color w:val="auto"/>
        </w:rPr>
        <w:t>Our amended and restated bylaws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w:t>
      </w:r>
    </w:p>
    <w:p>
      <w:pPr>
        <w:spacing w:after="0" w:line="66"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any derivative action or proceeding brought on our behalf;</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any action asserting a claim of breach of fiduciary duty;</w:t>
      </w:r>
    </w:p>
    <w:p>
      <w:pPr>
        <w:spacing w:after="0" w:line="131" w:lineRule="exact"/>
        <w:rPr>
          <w:sz w:val="20"/>
          <w:szCs w:val="20"/>
          <w:color w:val="auto"/>
        </w:rPr>
      </w:pPr>
    </w:p>
    <w:p>
      <w:pPr>
        <w:ind w:left="1200" w:right="60"/>
        <w:spacing w:after="0" w:line="293" w:lineRule="auto"/>
        <w:rPr>
          <w:sz w:val="20"/>
          <w:szCs w:val="20"/>
          <w:color w:val="auto"/>
        </w:rPr>
      </w:pPr>
      <w:r>
        <w:rPr>
          <w:rFonts w:ascii="Arial" w:cs="Arial" w:eastAsia="Arial" w:hAnsi="Arial"/>
          <w:sz w:val="18"/>
          <w:szCs w:val="18"/>
          <w:color w:val="auto"/>
        </w:rPr>
        <w:t>any action asserting a claim against us arising under the DGCL, our amended and restated certificate of incorporation or our amended and restated bylaws; and</w:t>
      </w:r>
    </w:p>
    <w:p>
      <w:pPr>
        <w:spacing w:after="0" w:line="6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any action asserting a claim against us that is governed by the internal-affairs doctrine.</w:t>
      </w:r>
    </w:p>
    <w:p>
      <w:pPr>
        <w:spacing w:after="0" w:line="13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This provision does not apply to suits brought to enforce a duty or liability created by the Exchange Act or any other claim for which the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federal courts have exclusive jurisdiction.</w:t>
      </w:r>
    </w:p>
    <w:p>
      <w:pPr>
        <w:spacing w:after="0" w:line="130" w:lineRule="exact"/>
        <w:rPr>
          <w:sz w:val="20"/>
          <w:szCs w:val="20"/>
          <w:color w:val="auto"/>
        </w:rPr>
      </w:pPr>
    </w:p>
    <w:p>
      <w:pPr>
        <w:ind w:right="120" w:firstLine="749"/>
        <w:spacing w:after="0" w:line="293" w:lineRule="auto"/>
        <w:rPr>
          <w:sz w:val="20"/>
          <w:szCs w:val="20"/>
          <w:color w:val="auto"/>
        </w:rPr>
      </w:pPr>
      <w:r>
        <w:rPr>
          <w:rFonts w:ascii="Arial" w:cs="Arial" w:eastAsia="Arial" w:hAnsi="Arial"/>
          <w:sz w:val="18"/>
          <w:szCs w:val="18"/>
          <w:color w:val="auto"/>
        </w:rPr>
        <w:t>Our amended and restated bylaws further provide that the federal district courts of the United States of America will be the exclusive forum for resolving any complaint asserting a cause of action arising under the Securities Act.</w:t>
      </w:r>
    </w:p>
    <w:p>
      <w:pPr>
        <w:spacing w:after="0" w:line="62" w:lineRule="exact"/>
        <w:rPr>
          <w:sz w:val="20"/>
          <w:szCs w:val="20"/>
          <w:color w:val="auto"/>
        </w:rPr>
      </w:pPr>
    </w:p>
    <w:p>
      <w:pPr>
        <w:ind w:firstLine="749"/>
        <w:spacing w:after="0" w:line="272" w:lineRule="auto"/>
        <w:rPr>
          <w:sz w:val="20"/>
          <w:szCs w:val="20"/>
          <w:color w:val="auto"/>
        </w:rPr>
      </w:pPr>
      <w:r>
        <w:rPr>
          <w:rFonts w:ascii="Arial" w:cs="Arial" w:eastAsia="Arial" w:hAnsi="Arial"/>
          <w:sz w:val="18"/>
          <w:szCs w:val="18"/>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w:t>
      </w:r>
    </w:p>
    <w:p>
      <w:pPr>
        <w:spacing w:after="0" w:line="83" w:lineRule="exact"/>
        <w:rPr>
          <w:sz w:val="20"/>
          <w:szCs w:val="20"/>
          <w:color w:val="auto"/>
        </w:rPr>
      </w:pPr>
    </w:p>
    <w:p>
      <w:pPr>
        <w:ind w:right="300" w:firstLine="749"/>
        <w:spacing w:after="0" w:line="279" w:lineRule="auto"/>
        <w:rPr>
          <w:sz w:val="20"/>
          <w:szCs w:val="20"/>
          <w:color w:val="auto"/>
        </w:rPr>
      </w:pPr>
      <w:r>
        <w:rPr>
          <w:rFonts w:ascii="Arial" w:cs="Arial" w:eastAsia="Arial" w:hAnsi="Arial"/>
          <w:sz w:val="18"/>
          <w:szCs w:val="18"/>
          <w:color w:val="auto"/>
        </w:rPr>
        <w:t>It is possible that a court could find these types of provisions to be inapplicable or unenforceable, and if a court were to find either exclusive-forum provision in our amended and restated bylaws to be inapplicable or unenforceable in an action, we may incur additional costs associated with resolving the dispute in other jurisdictions, which could seriously harm our business.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35" w:lineRule="exact"/>
        <w:rPr>
          <w:sz w:val="20"/>
          <w:szCs w:val="20"/>
          <w:color w:val="auto"/>
        </w:rPr>
      </w:pPr>
    </w:p>
    <w:p>
      <w:pPr>
        <w:ind w:firstLine="749"/>
        <w:spacing w:after="0" w:line="275" w:lineRule="auto"/>
        <w:rPr>
          <w:sz w:val="20"/>
          <w:szCs w:val="20"/>
          <w:color w:val="auto"/>
        </w:rPr>
      </w:pPr>
      <w:r>
        <w:rPr>
          <w:rFonts w:ascii="Arial" w:cs="Arial" w:eastAsia="Arial" w:hAnsi="Arial"/>
          <w:sz w:val="18"/>
          <w:szCs w:val="18"/>
          <w:color w:val="auto"/>
        </w:rPr>
        <w:t>The Registration Statements on Form S-1 (File Nos. 333-236792 and 333-237814) were declared effective by the SEC for our IPO of common stock on April 23, 2020. We started trading on the Nasdaq Global Select Market on April 24, 2020. In connection with our IPO, we sold an aggregate of 8,625,000 shares of common stock at a public offering price of $16.00 per share, including 1,125,000 shares sold pursuant to the underwriters’ full exercise of their option to purchase additional shares. The underwriters for our</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75" w:name="page76"/>
    <w:bookmarkEnd w:id="75"/>
    <w:p>
      <w:pPr>
        <w:ind w:right="60"/>
        <w:spacing w:after="0" w:line="275" w:lineRule="auto"/>
        <w:rPr>
          <w:sz w:val="20"/>
          <w:szCs w:val="20"/>
          <w:color w:val="auto"/>
        </w:rPr>
      </w:pPr>
      <w:r>
        <w:rPr>
          <w:rFonts w:ascii="Arial" w:cs="Arial" w:eastAsia="Arial" w:hAnsi="Arial"/>
          <w:sz w:val="18"/>
          <w:szCs w:val="18"/>
          <w:color w:val="auto"/>
        </w:rPr>
        <w:t>IPO were J.P. Morgan Securities LLC, Citigroup Global Markets Inc., Jefferies LLC, and Guggenheim Securities, LLC. The aggregate gross proceeds received by the Company from the offering, excluding underwriting discounts and commissions and offering expenses, were $138.0 million. No offering expenses were paid or are payable, directly or indirectly, to our directors or officers, to persons owning 10% or more of any class of our equity securities or to any of our affiliates.</w:t>
      </w:r>
    </w:p>
    <w:p>
      <w:pPr>
        <w:spacing w:after="0" w:line="77" w:lineRule="exact"/>
        <w:rPr>
          <w:sz w:val="20"/>
          <w:szCs w:val="20"/>
          <w:color w:val="auto"/>
        </w:rPr>
      </w:pPr>
    </w:p>
    <w:p>
      <w:pPr>
        <w:jc w:val="both"/>
        <w:ind w:right="40" w:firstLine="749"/>
        <w:spacing w:after="0" w:line="299" w:lineRule="auto"/>
        <w:rPr>
          <w:sz w:val="20"/>
          <w:szCs w:val="20"/>
          <w:color w:val="auto"/>
        </w:rPr>
      </w:pPr>
      <w:r>
        <w:rPr>
          <w:rFonts w:ascii="Arial" w:cs="Arial" w:eastAsia="Arial" w:hAnsi="Arial"/>
          <w:sz w:val="16"/>
          <w:szCs w:val="16"/>
          <w:color w:val="auto"/>
        </w:rPr>
        <w:t>The Registration Statements on Form S-1 (File Nos. 333-250001 and 333-250053) were declared effective by the SEC for our follow-on offering of common stock on November 12, 2020. In connection with our follow-on offering, we sold an aggregate of 5,796,000 shares of common stock at a public offering price of $23.00 per share, including 756,000 shares sold pursuant to the underwriters’ full exercise of their option to purchase additional shares.</w:t>
      </w:r>
    </w:p>
    <w:p>
      <w:pPr>
        <w:spacing w:after="0" w:line="2"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The underwriters for our follow-on offering were J.P. Morgan Securities LLC, Citigroup Global Markets Inc., Jefferies LLC, Guggenheim Securities, LLC and Oppenheimer &amp; Co. Inc. The aggregate gross proceeds received by the Company from the offering, excluding underwriting discounts and commissions and offering expenses was $133.3 million. No offering expenses were paid or are payable, directly or indirectly, to our directors or officers, to persons owning 10% or more of any class of our equity securities or to any of our affiliates.</w:t>
      </w:r>
    </w:p>
    <w:p>
      <w:pPr>
        <w:spacing w:after="0" w:line="80" w:lineRule="exact"/>
        <w:rPr>
          <w:sz w:val="20"/>
          <w:szCs w:val="20"/>
          <w:color w:val="auto"/>
        </w:rPr>
      </w:pPr>
    </w:p>
    <w:p>
      <w:pPr>
        <w:ind w:right="140" w:firstLine="749"/>
        <w:spacing w:after="0" w:line="303" w:lineRule="auto"/>
        <w:rPr>
          <w:sz w:val="20"/>
          <w:szCs w:val="20"/>
          <w:color w:val="auto"/>
        </w:rPr>
      </w:pPr>
      <w:r>
        <w:rPr>
          <w:rFonts w:ascii="Arial" w:cs="Arial" w:eastAsia="Arial" w:hAnsi="Arial"/>
          <w:sz w:val="17"/>
          <w:szCs w:val="17"/>
          <w:color w:val="auto"/>
        </w:rPr>
        <w:t>There has been no material change in the planned use of proceeds from our public offerings as described in our final prospectuses filed with the SEC pursuant to Rule 424(b)(4) on April 24, 2020 and November 13, 2020. We invested the funds received in short- and intermediate-term, interest-bearing obligations, investment-grade instruments, certificates of deposit or direct or guaranteed obligations of the U.S. government.</w:t>
      </w:r>
    </w:p>
    <w:p>
      <w:pPr>
        <w:spacing w:after="0" w:line="56" w:lineRule="exact"/>
        <w:rPr>
          <w:sz w:val="20"/>
          <w:szCs w:val="20"/>
          <w:color w:val="auto"/>
        </w:rPr>
      </w:pPr>
    </w:p>
    <w:p>
      <w:pPr>
        <w:ind w:right="100" w:firstLine="749"/>
        <w:spacing w:after="0" w:line="271" w:lineRule="auto"/>
        <w:rPr>
          <w:sz w:val="20"/>
          <w:szCs w:val="20"/>
          <w:color w:val="auto"/>
        </w:rPr>
      </w:pPr>
      <w:r>
        <w:rPr>
          <w:rFonts w:ascii="Arial" w:cs="Arial" w:eastAsia="Arial" w:hAnsi="Arial"/>
          <w:sz w:val="18"/>
          <w:szCs w:val="18"/>
          <w:color w:val="auto"/>
        </w:rPr>
        <w:t>On August 3, 2020, we issued 588,235 shares of common stock to Mirati in connection with the Mirati License Agreement. No underwriters were involved in the issuance. The shares were issued in a private placement in reliance on Section 4(a)(2) of the Securities Act, for transactions by an issuer not involving any public offering. We relied upon this exemption from registration based in part on representations made by Mirati in a stock issuance agreement entered into between us and Mirati, dated August 3, 2020. During the eighteen-month period following the date of the stock issuance agreement, Mirati is subject to certain transfer restrictions, and the parties agreed to negotiate and enter into a registration rights agreement, with respect to the shares.</w:t>
      </w:r>
    </w:p>
    <w:p>
      <w:pPr>
        <w:spacing w:after="0" w:line="83" w:lineRule="exact"/>
        <w:rPr>
          <w:sz w:val="20"/>
          <w:szCs w:val="20"/>
          <w:color w:val="auto"/>
        </w:rPr>
      </w:pPr>
    </w:p>
    <w:p>
      <w:pPr>
        <w:ind w:right="240" w:firstLine="749"/>
        <w:spacing w:after="0" w:line="292" w:lineRule="auto"/>
        <w:rPr>
          <w:sz w:val="20"/>
          <w:szCs w:val="20"/>
          <w:color w:val="auto"/>
        </w:rPr>
      </w:pPr>
      <w:r>
        <w:rPr>
          <w:rFonts w:ascii="Arial" w:cs="Arial" w:eastAsia="Arial" w:hAnsi="Arial"/>
          <w:sz w:val="17"/>
          <w:szCs w:val="17"/>
          <w:color w:val="auto"/>
        </w:rPr>
        <w:t>On October 19, 2020, we issued 283,259 shares of common stock to Voronoi in connection with the Voronoi License Agreement. No underwriters were involved in the issuance. The shares were issued in a private placement in reliance on Section 4(a)(2) of the Securities Act, for transactions by an issuer not involving any public offering. We relied upon this exemption from registration based in part on representations made by Voronoi in a stock issuance agreement entered into between us and Voronoi, dated October 19, 2020. During the twenty-four month period following the date of the stock issuance agreement, Voronoi is subject to certain transfer and standstill restrictions.</w:t>
      </w:r>
    </w:p>
    <w:p>
      <w:pPr>
        <w:spacing w:after="0" w:line="66" w:lineRule="exact"/>
        <w:rPr>
          <w:sz w:val="20"/>
          <w:szCs w:val="20"/>
          <w:color w:val="auto"/>
        </w:rPr>
      </w:pPr>
    </w:p>
    <w:p>
      <w:pPr>
        <w:ind w:right="20" w:firstLine="749"/>
        <w:spacing w:after="0" w:line="287" w:lineRule="auto"/>
        <w:rPr>
          <w:sz w:val="20"/>
          <w:szCs w:val="20"/>
          <w:color w:val="auto"/>
        </w:rPr>
      </w:pPr>
      <w:r>
        <w:rPr>
          <w:rFonts w:ascii="Arial" w:cs="Arial" w:eastAsia="Arial" w:hAnsi="Arial"/>
          <w:sz w:val="17"/>
          <w:szCs w:val="17"/>
          <w:color w:val="auto"/>
        </w:rPr>
        <w:t>On May 6, 2021, we entered into an "at the market" (ATM) sales agreement with Jefferies LLC as our sales agent, under which we may offer and sell from time to time up to $150 million of shares of our common stock in negotiated transactions or transactions that are deemed to be an ATM offering. On July 8, 2021, we raised gross proceeds of $50.0 million through the sale of 2,597,402 shares in an ATM offering, with participation based on unsolicited interest received from a healthcare specialist fund. We sold such shares at a purchase price per share of $19.25, a premium to the market price at the time of sale. After deducting commissions and other offering expenses related to the ATM offering of $1.9 million, the net proceeds to us from the transaction were $48.1 million. We currently intend to use the net proceeds from the sale of the shares, together with our existing cash, cash equivalents and available-for-sale investments, to fund the continued development of our lead product candidate, ORIC-101, and the continued development of three other product candidates, ORIC-533, ORIC-944 and ORIC-114, through data readouts expected in the 2022 to 2023 timeframe, and to fund other research and development activities, as well as for working capital and other general corporate purposes.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3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3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3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040" w:type="dxa"/>
            <w:vAlign w:val="bottom"/>
          </w:tcPr>
          <w:p>
            <w:pPr>
              <w:ind w:left="300"/>
              <w:spacing w:after="0"/>
              <w:rPr>
                <w:sz w:val="20"/>
                <w:szCs w:val="20"/>
                <w:color w:val="auto"/>
              </w:rPr>
            </w:pPr>
            <w:r>
              <w:rPr>
                <w:rFonts w:ascii="Arial" w:cs="Arial" w:eastAsia="Arial" w:hAnsi="Arial"/>
                <w:sz w:val="14"/>
                <w:szCs w:val="14"/>
                <w:b w:val="1"/>
                <w:bCs w:val="1"/>
                <w:color w:val="auto"/>
              </w:rPr>
              <w:t>Exhibit</w:t>
            </w: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2"/>
        </w:trPr>
        <w:tc>
          <w:tcPr>
            <w:tcW w:w="10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Number</w:t>
            </w:r>
          </w:p>
        </w:tc>
        <w:tc>
          <w:tcPr>
            <w:tcW w:w="26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14"/>
          </w:tcPr>
          <w:p>
            <w:pPr>
              <w:ind w:left="300"/>
              <w:spacing w:after="0"/>
              <w:rPr>
                <w:sz w:val="20"/>
                <w:szCs w:val="20"/>
                <w:color w:val="auto"/>
              </w:rPr>
            </w:pPr>
            <w:r>
              <w:rPr>
                <w:rFonts w:ascii="Arial" w:cs="Arial" w:eastAsia="Arial" w:hAnsi="Arial"/>
                <w:sz w:val="14"/>
                <w:szCs w:val="14"/>
                <w:b w:val="1"/>
                <w:bCs w:val="1"/>
                <w:color w:val="auto"/>
              </w:rPr>
              <w:t>Exhibit Description</w:t>
            </w:r>
          </w:p>
        </w:tc>
      </w:tr>
      <w:tr>
        <w:trPr>
          <w:trHeight w:val="188"/>
        </w:trPr>
        <w:tc>
          <w:tcPr>
            <w:tcW w:w="1040" w:type="dxa"/>
            <w:vAlign w:val="bottom"/>
          </w:tcPr>
          <w:p>
            <w:pPr>
              <w:ind w:left="20"/>
              <w:spacing w:after="0" w:line="189" w:lineRule="exact"/>
              <w:rPr>
                <w:sz w:val="20"/>
                <w:szCs w:val="20"/>
                <w:color w:val="auto"/>
              </w:rPr>
            </w:pPr>
            <w:r>
              <w:rPr>
                <w:rFonts w:ascii="Arial" w:cs="Arial" w:eastAsia="Arial" w:hAnsi="Arial"/>
                <w:sz w:val="18"/>
                <w:szCs w:val="18"/>
                <w:color w:val="auto"/>
              </w:rPr>
              <w:t>10.1</w:t>
            </w:r>
          </w:p>
        </w:tc>
        <w:tc>
          <w:tcPr>
            <w:tcW w:w="260" w:type="dxa"/>
            <w:vAlign w:val="bottom"/>
          </w:tcPr>
          <w:p>
            <w:pPr>
              <w:spacing w:after="0"/>
              <w:rPr>
                <w:sz w:val="16"/>
                <w:szCs w:val="16"/>
                <w:color w:val="auto"/>
              </w:rPr>
            </w:pPr>
          </w:p>
        </w:tc>
        <w:tc>
          <w:tcPr>
            <w:tcW w:w="3940" w:type="dxa"/>
            <w:vAlign w:val="bottom"/>
            <w:tcBorders>
              <w:bottom w:val="single" w:sz="8" w:color="0000FF"/>
            </w:tcBorders>
            <w:gridSpan w:val="9"/>
          </w:tcPr>
          <w:p>
            <w:pPr>
              <w:spacing w:after="0" w:line="189" w:lineRule="exact"/>
              <w:rPr>
                <w:rFonts w:ascii="Arial" w:cs="Arial" w:eastAsia="Arial" w:hAnsi="Arial"/>
                <w:sz w:val="18"/>
                <w:szCs w:val="18"/>
                <w:color w:val="0000FF"/>
                <w:w w:val="89"/>
              </w:rPr>
            </w:pPr>
            <w:hyperlink r:id="rId294">
              <w:r>
                <w:rPr>
                  <w:rFonts w:ascii="Arial" w:cs="Arial" w:eastAsia="Arial" w:hAnsi="Arial"/>
                  <w:sz w:val="18"/>
                  <w:szCs w:val="18"/>
                  <w:color w:val="0000FF"/>
                  <w:w w:val="89"/>
                </w:rPr>
                <w:t>First Amendment to Lease between the Registrant and</w:t>
              </w:r>
            </w:hyperlink>
          </w:p>
        </w:tc>
        <w:tc>
          <w:tcPr>
            <w:tcW w:w="240" w:type="dxa"/>
            <w:vAlign w:val="bottom"/>
            <w:gridSpan w:val="6"/>
          </w:tcPr>
          <w:p>
            <w:pPr>
              <w:spacing w:after="0"/>
              <w:rPr>
                <w:sz w:val="16"/>
                <w:szCs w:val="16"/>
                <w:color w:val="auto"/>
              </w:rPr>
            </w:pPr>
          </w:p>
        </w:tc>
      </w:tr>
      <w:tr>
        <w:trPr>
          <w:trHeight w:val="196"/>
        </w:trPr>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6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r:id="rId294">
              <w:r>
                <w:rPr>
                  <w:rFonts w:ascii="Arial" w:cs="Arial" w:eastAsia="Arial" w:hAnsi="Arial"/>
                  <w:sz w:val="18"/>
                  <w:szCs w:val="18"/>
                  <w:color w:val="0000FF"/>
                  <w:w w:val="91"/>
                </w:rPr>
                <w:t>Britannia Pointe Grand Limited Partnership, dated</w:t>
              </w:r>
            </w:hyperlink>
          </w:p>
        </w:tc>
        <w:tc>
          <w:tcPr>
            <w:tcW w:w="520" w:type="dxa"/>
            <w:vAlign w:val="bottom"/>
            <w:gridSpan w:val="8"/>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180" w:type="dxa"/>
            <w:vAlign w:val="bottom"/>
            <w:gridSpan w:val="15"/>
          </w:tcPr>
          <w:p>
            <w:pPr>
              <w:spacing w:after="0" w:line="196" w:lineRule="exact"/>
              <w:rPr>
                <w:rFonts w:ascii="Arial" w:cs="Arial" w:eastAsia="Arial" w:hAnsi="Arial"/>
                <w:sz w:val="18"/>
                <w:szCs w:val="18"/>
                <w:color w:val="0000FF"/>
              </w:rPr>
            </w:pPr>
            <w:hyperlink r:id="rId294">
              <w:r>
                <w:rPr>
                  <w:rFonts w:ascii="Arial" w:cs="Arial" w:eastAsia="Arial" w:hAnsi="Arial"/>
                  <w:sz w:val="18"/>
                  <w:szCs w:val="18"/>
                  <w:color w:val="0000FF"/>
                </w:rPr>
                <w:t>August 12, 2021</w:t>
              </w:r>
            </w:hyperlink>
          </w:p>
        </w:tc>
      </w:tr>
      <w:tr>
        <w:trPr>
          <w:trHeight w:val="20"/>
        </w:trPr>
        <w:tc>
          <w:tcPr>
            <w:tcW w:w="10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040" w:type="dxa"/>
            <w:vAlign w:val="bottom"/>
          </w:tcPr>
          <w:p>
            <w:pPr>
              <w:ind w:left="20"/>
              <w:spacing w:after="0"/>
              <w:rPr>
                <w:sz w:val="20"/>
                <w:szCs w:val="20"/>
                <w:color w:val="auto"/>
              </w:rPr>
            </w:pPr>
            <w:r>
              <w:rPr>
                <w:rFonts w:ascii="Arial" w:cs="Arial" w:eastAsia="Arial" w:hAnsi="Arial"/>
                <w:sz w:val="18"/>
                <w:szCs w:val="18"/>
                <w:color w:val="auto"/>
              </w:rPr>
              <w:t>10.2</w:t>
            </w:r>
          </w:p>
        </w:tc>
        <w:tc>
          <w:tcPr>
            <w:tcW w:w="260" w:type="dxa"/>
            <w:vAlign w:val="bottom"/>
          </w:tcPr>
          <w:p>
            <w:pPr>
              <w:spacing w:after="0"/>
              <w:rPr>
                <w:sz w:val="19"/>
                <w:szCs w:val="19"/>
                <w:color w:val="auto"/>
              </w:rPr>
            </w:pPr>
          </w:p>
        </w:tc>
        <w:tc>
          <w:tcPr>
            <w:tcW w:w="3640" w:type="dxa"/>
            <w:vAlign w:val="bottom"/>
            <w:tcBorders>
              <w:bottom w:val="single" w:sz="8" w:color="0000FF"/>
            </w:tcBorders>
            <w:gridSpan w:val="6"/>
          </w:tcPr>
          <w:p>
            <w:pPr>
              <w:spacing w:after="0"/>
              <w:rPr>
                <w:rFonts w:ascii="Arial" w:cs="Arial" w:eastAsia="Arial" w:hAnsi="Arial"/>
                <w:sz w:val="18"/>
                <w:szCs w:val="18"/>
                <w:color w:val="0000FF"/>
                <w:w w:val="89"/>
              </w:rPr>
            </w:pPr>
            <w:hyperlink w:anchor="page79">
              <w:r>
                <w:rPr>
                  <w:rFonts w:ascii="Arial" w:cs="Arial" w:eastAsia="Arial" w:hAnsi="Arial"/>
                  <w:sz w:val="18"/>
                  <w:szCs w:val="18"/>
                  <w:color w:val="0000FF"/>
                  <w:w w:val="89"/>
                </w:rPr>
                <w:t>2020 Employee Stock Purchase Plan and forms of</w:t>
              </w:r>
            </w:hyperlink>
          </w:p>
        </w:tc>
        <w:tc>
          <w:tcPr>
            <w:tcW w:w="540" w:type="dxa"/>
            <w:vAlign w:val="bottom"/>
            <w:gridSpan w:val="9"/>
          </w:tcPr>
          <w:p>
            <w:pPr>
              <w:spacing w:after="0"/>
              <w:rPr>
                <w:sz w:val="19"/>
                <w:szCs w:val="19"/>
                <w:color w:val="auto"/>
              </w:rPr>
            </w:pPr>
          </w:p>
        </w:tc>
      </w:tr>
      <w:tr>
        <w:trPr>
          <w:trHeight w:val="196"/>
        </w:trPr>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Borders>
              <w:bottom w:val="single" w:sz="8" w:color="0000FF"/>
            </w:tcBorders>
            <w:gridSpan w:val="2"/>
          </w:tcPr>
          <w:p>
            <w:pPr>
              <w:spacing w:after="0" w:line="196" w:lineRule="exact"/>
              <w:rPr>
                <w:rFonts w:ascii="Arial" w:cs="Arial" w:eastAsia="Arial" w:hAnsi="Arial"/>
                <w:sz w:val="18"/>
                <w:szCs w:val="18"/>
                <w:color w:val="0000FF"/>
                <w:w w:val="86"/>
              </w:rPr>
            </w:pPr>
            <w:hyperlink w:anchor="page79">
              <w:r>
                <w:rPr>
                  <w:rFonts w:ascii="Arial" w:cs="Arial" w:eastAsia="Arial" w:hAnsi="Arial"/>
                  <w:sz w:val="18"/>
                  <w:szCs w:val="18"/>
                  <w:color w:val="0000FF"/>
                  <w:w w:val="86"/>
                </w:rPr>
                <w:t>agreement thereunder</w:t>
              </w:r>
            </w:hyperlink>
          </w:p>
        </w:tc>
        <w:tc>
          <w:tcPr>
            <w:tcW w:w="20" w:type="dxa"/>
            <w:vAlign w:val="bottom"/>
            <w:tcBorders>
              <w:bottom w:val="single" w:sz="8" w:color="0000EE"/>
            </w:tcBorders>
          </w:tcPr>
          <w:p>
            <w:pPr>
              <w:spacing w:after="0"/>
              <w:rPr>
                <w:sz w:val="17"/>
                <w:szCs w:val="17"/>
                <w:color w:val="auto"/>
              </w:rPr>
            </w:pPr>
          </w:p>
        </w:tc>
        <w:tc>
          <w:tcPr>
            <w:tcW w:w="2600" w:type="dxa"/>
            <w:vAlign w:val="bottom"/>
            <w:gridSpan w:val="12"/>
          </w:tcPr>
          <w:p>
            <w:pPr>
              <w:spacing w:after="0"/>
              <w:rPr>
                <w:sz w:val="17"/>
                <w:szCs w:val="17"/>
                <w:color w:val="auto"/>
              </w:rPr>
            </w:pPr>
          </w:p>
        </w:tc>
      </w:tr>
      <w:tr>
        <w:trPr>
          <w:trHeight w:val="223"/>
        </w:trPr>
        <w:tc>
          <w:tcPr>
            <w:tcW w:w="1040" w:type="dxa"/>
            <w:vAlign w:val="bottom"/>
          </w:tcPr>
          <w:p>
            <w:pPr>
              <w:ind w:left="20"/>
              <w:spacing w:after="0"/>
              <w:rPr>
                <w:sz w:val="20"/>
                <w:szCs w:val="20"/>
                <w:color w:val="auto"/>
              </w:rPr>
            </w:pPr>
            <w:r>
              <w:rPr>
                <w:rFonts w:ascii="Arial" w:cs="Arial" w:eastAsia="Arial" w:hAnsi="Arial"/>
                <w:sz w:val="18"/>
                <w:szCs w:val="18"/>
                <w:color w:val="auto"/>
              </w:rPr>
              <w:t>31.1</w:t>
            </w:r>
          </w:p>
        </w:tc>
        <w:tc>
          <w:tcPr>
            <w:tcW w:w="260" w:type="dxa"/>
            <w:vAlign w:val="bottom"/>
          </w:tcPr>
          <w:p>
            <w:pPr>
              <w:spacing w:after="0"/>
              <w:rPr>
                <w:sz w:val="19"/>
                <w:szCs w:val="19"/>
                <w:color w:val="auto"/>
              </w:rPr>
            </w:pPr>
          </w:p>
        </w:tc>
        <w:tc>
          <w:tcPr>
            <w:tcW w:w="4020" w:type="dxa"/>
            <w:vAlign w:val="bottom"/>
            <w:tcBorders>
              <w:bottom w:val="single" w:sz="8" w:color="0000FF"/>
            </w:tcBorders>
            <w:gridSpan w:val="12"/>
          </w:tcPr>
          <w:p>
            <w:pPr>
              <w:spacing w:after="0"/>
              <w:rPr>
                <w:rFonts w:ascii="Arial" w:cs="Arial" w:eastAsia="Arial" w:hAnsi="Arial"/>
                <w:sz w:val="18"/>
                <w:szCs w:val="18"/>
                <w:color w:val="0000FF"/>
                <w:w w:val="93"/>
              </w:rPr>
            </w:pPr>
            <w:hyperlink w:anchor="page98">
              <w:r>
                <w:rPr>
                  <w:rFonts w:ascii="Arial" w:cs="Arial" w:eastAsia="Arial" w:hAnsi="Arial"/>
                  <w:sz w:val="18"/>
                  <w:szCs w:val="18"/>
                  <w:color w:val="0000FF"/>
                  <w:w w:val="93"/>
                </w:rPr>
                <w:t>Certification of Principal Executive Officer Pursuant to</w:t>
              </w:r>
            </w:hyperlink>
          </w:p>
        </w:tc>
        <w:tc>
          <w:tcPr>
            <w:tcW w:w="160" w:type="dxa"/>
            <w:vAlign w:val="bottom"/>
            <w:gridSpan w:val="3"/>
          </w:tcPr>
          <w:p>
            <w:pPr>
              <w:spacing w:after="0"/>
              <w:rPr>
                <w:sz w:val="19"/>
                <w:szCs w:val="19"/>
                <w:color w:val="auto"/>
              </w:rPr>
            </w:pPr>
          </w:p>
        </w:tc>
      </w:tr>
      <w:tr>
        <w:trPr>
          <w:trHeight w:val="196"/>
        </w:trPr>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720" w:type="dxa"/>
            <w:vAlign w:val="bottom"/>
            <w:tcBorders>
              <w:bottom w:val="single" w:sz="8" w:color="0000FF"/>
            </w:tcBorders>
            <w:gridSpan w:val="8"/>
          </w:tcPr>
          <w:p>
            <w:pPr>
              <w:spacing w:after="0" w:line="196" w:lineRule="exact"/>
              <w:rPr>
                <w:rFonts w:ascii="Arial" w:cs="Arial" w:eastAsia="Arial" w:hAnsi="Arial"/>
                <w:sz w:val="18"/>
                <w:szCs w:val="18"/>
                <w:color w:val="0000FF"/>
                <w:w w:val="89"/>
              </w:rPr>
            </w:pPr>
            <w:hyperlink w:anchor="page98">
              <w:r>
                <w:rPr>
                  <w:rFonts w:ascii="Arial" w:cs="Arial" w:eastAsia="Arial" w:hAnsi="Arial"/>
                  <w:sz w:val="18"/>
                  <w:szCs w:val="18"/>
                  <w:color w:val="0000FF"/>
                  <w:w w:val="89"/>
                </w:rPr>
                <w:t>Rules 13a-14(a) and 15d-14(a) under the Securities</w:t>
              </w:r>
            </w:hyperlink>
          </w:p>
        </w:tc>
        <w:tc>
          <w:tcPr>
            <w:tcW w:w="460" w:type="dxa"/>
            <w:vAlign w:val="bottom"/>
            <w:gridSpan w:val="7"/>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0" w:type="dxa"/>
            <w:vAlign w:val="bottom"/>
            <w:tcBorders>
              <w:bottom w:val="single" w:sz="8" w:color="0000FF"/>
            </w:tcBorders>
            <w:gridSpan w:val="11"/>
          </w:tcPr>
          <w:p>
            <w:pPr>
              <w:spacing w:after="0" w:line="196" w:lineRule="exact"/>
              <w:rPr>
                <w:rFonts w:ascii="Arial" w:cs="Arial" w:eastAsia="Arial" w:hAnsi="Arial"/>
                <w:sz w:val="18"/>
                <w:szCs w:val="18"/>
                <w:color w:val="0000FF"/>
                <w:w w:val="90"/>
              </w:rPr>
            </w:pPr>
            <w:hyperlink w:anchor="page98">
              <w:r>
                <w:rPr>
                  <w:rFonts w:ascii="Arial" w:cs="Arial" w:eastAsia="Arial" w:hAnsi="Arial"/>
                  <w:sz w:val="18"/>
                  <w:szCs w:val="18"/>
                  <w:color w:val="0000FF"/>
                  <w:w w:val="90"/>
                </w:rPr>
                <w:t>Exchange Act of 1934, as Adopted Pursuant to Section</w:t>
              </w:r>
            </w:hyperlink>
          </w:p>
        </w:tc>
        <w:tc>
          <w:tcPr>
            <w:tcW w:w="180" w:type="dxa"/>
            <w:vAlign w:val="bottom"/>
            <w:gridSpan w:val="4"/>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180" w:type="dxa"/>
            <w:vAlign w:val="bottom"/>
            <w:gridSpan w:val="15"/>
          </w:tcPr>
          <w:p>
            <w:pPr>
              <w:spacing w:after="0" w:line="196" w:lineRule="exact"/>
              <w:rPr>
                <w:rFonts w:ascii="Arial" w:cs="Arial" w:eastAsia="Arial" w:hAnsi="Arial"/>
                <w:sz w:val="18"/>
                <w:szCs w:val="18"/>
                <w:color w:val="0000FF"/>
              </w:rPr>
            </w:pPr>
            <w:hyperlink w:anchor="page98">
              <w:r>
                <w:rPr>
                  <w:rFonts w:ascii="Arial" w:cs="Arial" w:eastAsia="Arial" w:hAnsi="Arial"/>
                  <w:sz w:val="18"/>
                  <w:szCs w:val="18"/>
                  <w:color w:val="0000FF"/>
                </w:rPr>
                <w:t>302 of the Sarbanes-Oxley Act of 2002.</w:t>
              </w:r>
            </w:hyperlink>
          </w:p>
        </w:tc>
      </w:tr>
      <w:tr>
        <w:trPr>
          <w:trHeight w:val="20"/>
        </w:trPr>
        <w:tc>
          <w:tcPr>
            <w:tcW w:w="10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560" w:type="dxa"/>
            <w:vAlign w:val="bottom"/>
            <w:tcBorders>
              <w:right w:val="single" w:sz="8" w:color="0000FF"/>
            </w:tcBorders>
            <w:gridSpan w:val="4"/>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040" w:type="dxa"/>
            <w:vAlign w:val="bottom"/>
          </w:tcPr>
          <w:p>
            <w:pPr>
              <w:ind w:left="20"/>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19"/>
                <w:szCs w:val="19"/>
                <w:color w:val="auto"/>
              </w:rPr>
            </w:pPr>
          </w:p>
        </w:tc>
        <w:tc>
          <w:tcPr>
            <w:tcW w:w="3960" w:type="dxa"/>
            <w:vAlign w:val="bottom"/>
            <w:tcBorders>
              <w:bottom w:val="single" w:sz="8" w:color="0000FF"/>
            </w:tcBorders>
            <w:gridSpan w:val="10"/>
          </w:tcPr>
          <w:p>
            <w:pPr>
              <w:spacing w:after="0"/>
              <w:rPr>
                <w:rFonts w:ascii="Arial" w:cs="Arial" w:eastAsia="Arial" w:hAnsi="Arial"/>
                <w:sz w:val="18"/>
                <w:szCs w:val="18"/>
                <w:color w:val="0000FF"/>
                <w:w w:val="93"/>
              </w:rPr>
            </w:pPr>
            <w:hyperlink w:anchor="page99">
              <w:r>
                <w:rPr>
                  <w:rFonts w:ascii="Arial" w:cs="Arial" w:eastAsia="Arial" w:hAnsi="Arial"/>
                  <w:sz w:val="18"/>
                  <w:szCs w:val="18"/>
                  <w:color w:val="0000FF"/>
                  <w:w w:val="93"/>
                </w:rPr>
                <w:t>Certification of Principal Financial Officer Pursuant to</w:t>
              </w:r>
            </w:hyperlink>
          </w:p>
        </w:tc>
        <w:tc>
          <w:tcPr>
            <w:tcW w:w="220" w:type="dxa"/>
            <w:vAlign w:val="bottom"/>
            <w:gridSpan w:val="5"/>
          </w:tcPr>
          <w:p>
            <w:pPr>
              <w:spacing w:after="0"/>
              <w:rPr>
                <w:sz w:val="19"/>
                <w:szCs w:val="19"/>
                <w:color w:val="auto"/>
              </w:rPr>
            </w:pPr>
          </w:p>
        </w:tc>
      </w:tr>
      <w:tr>
        <w:trPr>
          <w:trHeight w:val="196"/>
        </w:trPr>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720" w:type="dxa"/>
            <w:vAlign w:val="bottom"/>
            <w:tcBorders>
              <w:bottom w:val="single" w:sz="8" w:color="0000FF"/>
            </w:tcBorders>
            <w:gridSpan w:val="8"/>
          </w:tcPr>
          <w:p>
            <w:pPr>
              <w:spacing w:after="0" w:line="196" w:lineRule="exact"/>
              <w:rPr>
                <w:rFonts w:ascii="Arial" w:cs="Arial" w:eastAsia="Arial" w:hAnsi="Arial"/>
                <w:sz w:val="18"/>
                <w:szCs w:val="18"/>
                <w:color w:val="0000FF"/>
                <w:w w:val="89"/>
              </w:rPr>
            </w:pPr>
            <w:hyperlink w:anchor="page99">
              <w:r>
                <w:rPr>
                  <w:rFonts w:ascii="Arial" w:cs="Arial" w:eastAsia="Arial" w:hAnsi="Arial"/>
                  <w:sz w:val="18"/>
                  <w:szCs w:val="18"/>
                  <w:color w:val="0000FF"/>
                  <w:w w:val="89"/>
                </w:rPr>
                <w:t>Rules 13a-14(a) and 15d-14(a) under the Securities</w:t>
              </w:r>
            </w:hyperlink>
          </w:p>
        </w:tc>
        <w:tc>
          <w:tcPr>
            <w:tcW w:w="460" w:type="dxa"/>
            <w:vAlign w:val="bottom"/>
            <w:gridSpan w:val="7"/>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0" w:type="dxa"/>
            <w:vAlign w:val="bottom"/>
            <w:tcBorders>
              <w:bottom w:val="single" w:sz="8" w:color="0000FF"/>
            </w:tcBorders>
            <w:gridSpan w:val="11"/>
          </w:tcPr>
          <w:p>
            <w:pPr>
              <w:spacing w:after="0" w:line="196" w:lineRule="exact"/>
              <w:rPr>
                <w:rFonts w:ascii="Arial" w:cs="Arial" w:eastAsia="Arial" w:hAnsi="Arial"/>
                <w:sz w:val="18"/>
                <w:szCs w:val="18"/>
                <w:color w:val="0000FF"/>
                <w:w w:val="90"/>
              </w:rPr>
            </w:pPr>
            <w:hyperlink w:anchor="page99">
              <w:r>
                <w:rPr>
                  <w:rFonts w:ascii="Arial" w:cs="Arial" w:eastAsia="Arial" w:hAnsi="Arial"/>
                  <w:sz w:val="18"/>
                  <w:szCs w:val="18"/>
                  <w:color w:val="0000FF"/>
                  <w:w w:val="90"/>
                </w:rPr>
                <w:t>Exchange Act of 1934, as Adopted Pursuant to Section</w:t>
              </w:r>
            </w:hyperlink>
          </w:p>
        </w:tc>
        <w:tc>
          <w:tcPr>
            <w:tcW w:w="180" w:type="dxa"/>
            <w:vAlign w:val="bottom"/>
            <w:gridSpan w:val="4"/>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180" w:type="dxa"/>
            <w:vAlign w:val="bottom"/>
            <w:gridSpan w:val="15"/>
          </w:tcPr>
          <w:p>
            <w:pPr>
              <w:spacing w:after="0" w:line="196" w:lineRule="exact"/>
              <w:rPr>
                <w:rFonts w:ascii="Arial" w:cs="Arial" w:eastAsia="Arial" w:hAnsi="Arial"/>
                <w:sz w:val="18"/>
                <w:szCs w:val="18"/>
                <w:color w:val="0000FF"/>
              </w:rPr>
            </w:pPr>
            <w:hyperlink w:anchor="page99">
              <w:r>
                <w:rPr>
                  <w:rFonts w:ascii="Arial" w:cs="Arial" w:eastAsia="Arial" w:hAnsi="Arial"/>
                  <w:sz w:val="18"/>
                  <w:szCs w:val="18"/>
                  <w:color w:val="0000FF"/>
                </w:rPr>
                <w:t>302 of the Sarbanes-Oxley Act of 2002.</w:t>
              </w:r>
            </w:hyperlink>
          </w:p>
        </w:tc>
      </w:tr>
      <w:tr>
        <w:trPr>
          <w:trHeight w:val="20"/>
        </w:trPr>
        <w:tc>
          <w:tcPr>
            <w:tcW w:w="10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560" w:type="dxa"/>
            <w:vAlign w:val="bottom"/>
            <w:tcBorders>
              <w:right w:val="single" w:sz="8" w:color="0000FF"/>
            </w:tcBorders>
            <w:gridSpan w:val="4"/>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120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040" w:type="dxa"/>
            <w:vAlign w:val="bottom"/>
          </w:tcPr>
          <w:p>
            <w:pPr>
              <w:ind w:left="20"/>
              <w:spacing w:after="0"/>
              <w:rPr>
                <w:sz w:val="20"/>
                <w:szCs w:val="20"/>
                <w:color w:val="auto"/>
              </w:rPr>
            </w:pPr>
            <w:r>
              <w:rPr>
                <w:rFonts w:ascii="Arial" w:cs="Arial" w:eastAsia="Arial" w:hAnsi="Arial"/>
                <w:sz w:val="18"/>
                <w:szCs w:val="18"/>
                <w:color w:val="auto"/>
              </w:rPr>
              <w:t>32.1</w:t>
            </w:r>
          </w:p>
        </w:tc>
        <w:tc>
          <w:tcPr>
            <w:tcW w:w="260" w:type="dxa"/>
            <w:vAlign w:val="bottom"/>
          </w:tcPr>
          <w:p>
            <w:pPr>
              <w:spacing w:after="0"/>
              <w:rPr>
                <w:sz w:val="19"/>
                <w:szCs w:val="19"/>
                <w:color w:val="auto"/>
              </w:rPr>
            </w:pPr>
          </w:p>
        </w:tc>
        <w:tc>
          <w:tcPr>
            <w:tcW w:w="4020" w:type="dxa"/>
            <w:vAlign w:val="bottom"/>
            <w:tcBorders>
              <w:bottom w:val="single" w:sz="8" w:color="0000FF"/>
            </w:tcBorders>
            <w:gridSpan w:val="12"/>
          </w:tcPr>
          <w:p>
            <w:pPr>
              <w:spacing w:after="0"/>
              <w:rPr>
                <w:rFonts w:ascii="Arial" w:cs="Arial" w:eastAsia="Arial" w:hAnsi="Arial"/>
                <w:sz w:val="18"/>
                <w:szCs w:val="18"/>
                <w:color w:val="0000FF"/>
                <w:w w:val="93"/>
              </w:rPr>
            </w:pPr>
            <w:hyperlink w:anchor="page100">
              <w:r>
                <w:rPr>
                  <w:rFonts w:ascii="Arial" w:cs="Arial" w:eastAsia="Arial" w:hAnsi="Arial"/>
                  <w:sz w:val="18"/>
                  <w:szCs w:val="18"/>
                  <w:color w:val="0000FF"/>
                  <w:w w:val="93"/>
                </w:rPr>
                <w:t>Certification of Principal Executive Officer Pursuant to</w:t>
              </w:r>
            </w:hyperlink>
          </w:p>
        </w:tc>
        <w:tc>
          <w:tcPr>
            <w:tcW w:w="160" w:type="dxa"/>
            <w:vAlign w:val="bottom"/>
            <w:gridSpan w:val="3"/>
          </w:tcPr>
          <w:p>
            <w:pPr>
              <w:spacing w:after="0"/>
              <w:rPr>
                <w:sz w:val="19"/>
                <w:szCs w:val="19"/>
                <w:color w:val="auto"/>
              </w:rPr>
            </w:pPr>
          </w:p>
        </w:tc>
      </w:tr>
      <w:tr>
        <w:trPr>
          <w:trHeight w:val="196"/>
        </w:trPr>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80" w:type="dxa"/>
            <w:vAlign w:val="bottom"/>
            <w:tcBorders>
              <w:bottom w:val="single" w:sz="8" w:color="0000FF"/>
            </w:tcBorders>
            <w:gridSpan w:val="13"/>
          </w:tcPr>
          <w:p>
            <w:pPr>
              <w:spacing w:after="0" w:line="196" w:lineRule="exact"/>
              <w:rPr>
                <w:rFonts w:ascii="Arial" w:cs="Arial" w:eastAsia="Arial" w:hAnsi="Arial"/>
                <w:sz w:val="18"/>
                <w:szCs w:val="18"/>
                <w:color w:val="0000FF"/>
                <w:w w:val="89"/>
              </w:rPr>
            </w:pPr>
            <w:hyperlink w:anchor="page100">
              <w:r>
                <w:rPr>
                  <w:rFonts w:ascii="Arial" w:cs="Arial" w:eastAsia="Arial" w:hAnsi="Arial"/>
                  <w:sz w:val="18"/>
                  <w:szCs w:val="18"/>
                  <w:color w:val="0000FF"/>
                  <w:w w:val="89"/>
                </w:rPr>
                <w:t>18 U.S.C. Section 1350, as Adopted Pursuant to Section</w:t>
              </w:r>
            </w:hyperlink>
          </w:p>
        </w:tc>
        <w:tc>
          <w:tcPr>
            <w:tcW w:w="100" w:type="dxa"/>
            <w:vAlign w:val="bottom"/>
            <w:gridSpan w:val="2"/>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180" w:type="dxa"/>
            <w:vAlign w:val="bottom"/>
            <w:gridSpan w:val="15"/>
          </w:tcPr>
          <w:p>
            <w:pPr>
              <w:spacing w:after="0" w:line="196" w:lineRule="exact"/>
              <w:rPr>
                <w:rFonts w:ascii="Arial" w:cs="Arial" w:eastAsia="Arial" w:hAnsi="Arial"/>
                <w:sz w:val="18"/>
                <w:szCs w:val="18"/>
                <w:color w:val="0000FF"/>
              </w:rPr>
            </w:pPr>
            <w:hyperlink w:anchor="page100">
              <w:r>
                <w:rPr>
                  <w:rFonts w:ascii="Arial" w:cs="Arial" w:eastAsia="Arial" w:hAnsi="Arial"/>
                  <w:sz w:val="18"/>
                  <w:szCs w:val="18"/>
                  <w:color w:val="0000FF"/>
                </w:rPr>
                <w:t>906 of the Sarbanes-Oxley Act of 2002.</w:t>
              </w:r>
            </w:hyperlink>
          </w:p>
        </w:tc>
      </w:tr>
      <w:tr>
        <w:trPr>
          <w:trHeight w:val="20"/>
        </w:trPr>
        <w:tc>
          <w:tcPr>
            <w:tcW w:w="10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560" w:type="dxa"/>
            <w:vAlign w:val="bottom"/>
            <w:tcBorders>
              <w:right w:val="single" w:sz="8" w:color="0000FF"/>
            </w:tcBorders>
            <w:gridSpan w:val="4"/>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12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040" w:type="dxa"/>
            <w:vAlign w:val="bottom"/>
          </w:tcPr>
          <w:p>
            <w:pPr>
              <w:ind w:left="20"/>
              <w:spacing w:after="0"/>
              <w:rPr>
                <w:sz w:val="20"/>
                <w:szCs w:val="20"/>
                <w:color w:val="auto"/>
              </w:rPr>
            </w:pPr>
            <w:r>
              <w:rPr>
                <w:rFonts w:ascii="Arial" w:cs="Arial" w:eastAsia="Arial" w:hAnsi="Arial"/>
                <w:sz w:val="18"/>
                <w:szCs w:val="18"/>
                <w:color w:val="auto"/>
              </w:rPr>
              <w:t>32.2</w:t>
            </w:r>
          </w:p>
        </w:tc>
        <w:tc>
          <w:tcPr>
            <w:tcW w:w="260" w:type="dxa"/>
            <w:vAlign w:val="bottom"/>
          </w:tcPr>
          <w:p>
            <w:pPr>
              <w:spacing w:after="0"/>
              <w:rPr>
                <w:sz w:val="19"/>
                <w:szCs w:val="19"/>
                <w:color w:val="auto"/>
              </w:rPr>
            </w:pPr>
          </w:p>
        </w:tc>
        <w:tc>
          <w:tcPr>
            <w:tcW w:w="4160" w:type="dxa"/>
            <w:vAlign w:val="bottom"/>
            <w:tcBorders>
              <w:bottom w:val="single" w:sz="8" w:color="0000FF"/>
            </w:tcBorders>
            <w:gridSpan w:val="14"/>
          </w:tcPr>
          <w:p>
            <w:pPr>
              <w:spacing w:after="0"/>
              <w:rPr>
                <w:rFonts w:ascii="Arial" w:cs="Arial" w:eastAsia="Arial" w:hAnsi="Arial"/>
                <w:sz w:val="18"/>
                <w:szCs w:val="18"/>
                <w:color w:val="0000FF"/>
                <w:w w:val="92"/>
              </w:rPr>
            </w:pPr>
            <w:hyperlink w:anchor="page101">
              <w:r>
                <w:rPr>
                  <w:rFonts w:ascii="Arial" w:cs="Arial" w:eastAsia="Arial" w:hAnsi="Arial"/>
                  <w:sz w:val="18"/>
                  <w:szCs w:val="18"/>
                  <w:color w:val="0000FF"/>
                  <w:w w:val="92"/>
                </w:rPr>
                <w:t>Certification of Principal Financial Officer Pursuant to 18</w:t>
              </w:r>
            </w:hyperlink>
          </w:p>
        </w:tc>
        <w:tc>
          <w:tcPr>
            <w:tcW w:w="20" w:type="dxa"/>
            <w:vAlign w:val="bottom"/>
          </w:tcPr>
          <w:p>
            <w:pPr>
              <w:spacing w:after="0"/>
              <w:rPr>
                <w:sz w:val="19"/>
                <w:szCs w:val="19"/>
                <w:color w:val="auto"/>
              </w:rPr>
            </w:pPr>
          </w:p>
        </w:tc>
      </w:tr>
      <w:tr>
        <w:trPr>
          <w:trHeight w:val="196"/>
        </w:trPr>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160" w:type="dxa"/>
            <w:vAlign w:val="bottom"/>
            <w:tcBorders>
              <w:bottom w:val="single" w:sz="8" w:color="0000FF"/>
            </w:tcBorders>
            <w:gridSpan w:val="14"/>
          </w:tcPr>
          <w:p>
            <w:pPr>
              <w:spacing w:after="0" w:line="196" w:lineRule="exact"/>
              <w:rPr>
                <w:rFonts w:ascii="Arial" w:cs="Arial" w:eastAsia="Arial" w:hAnsi="Arial"/>
                <w:sz w:val="18"/>
                <w:szCs w:val="18"/>
                <w:color w:val="0000FF"/>
                <w:w w:val="89"/>
              </w:rPr>
            </w:pPr>
            <w:hyperlink w:anchor="page101">
              <w:r>
                <w:rPr>
                  <w:rFonts w:ascii="Arial" w:cs="Arial" w:eastAsia="Arial" w:hAnsi="Arial"/>
                  <w:sz w:val="18"/>
                  <w:szCs w:val="18"/>
                  <w:color w:val="0000FF"/>
                  <w:w w:val="89"/>
                </w:rPr>
                <w:t>U.S.C. Section 1350, as Adopted Pursuant to Section 906</w:t>
              </w:r>
            </w:hyperlink>
          </w:p>
        </w:tc>
        <w:tc>
          <w:tcPr>
            <w:tcW w:w="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180" w:type="dxa"/>
            <w:vAlign w:val="bottom"/>
            <w:gridSpan w:val="15"/>
          </w:tcPr>
          <w:p>
            <w:pPr>
              <w:spacing w:after="0" w:line="196" w:lineRule="exact"/>
              <w:rPr>
                <w:rFonts w:ascii="Arial" w:cs="Arial" w:eastAsia="Arial" w:hAnsi="Arial"/>
                <w:sz w:val="18"/>
                <w:szCs w:val="18"/>
                <w:color w:val="0000FF"/>
              </w:rPr>
            </w:pPr>
            <w:hyperlink w:anchor="page101">
              <w:r>
                <w:rPr>
                  <w:rFonts w:ascii="Arial" w:cs="Arial" w:eastAsia="Arial" w:hAnsi="Arial"/>
                  <w:sz w:val="18"/>
                  <w:szCs w:val="18"/>
                  <w:color w:val="0000FF"/>
                </w:rPr>
                <w:t>of the Sarbanes-Oxley Act of 2002.</w:t>
              </w:r>
            </w:hyperlink>
          </w:p>
        </w:tc>
      </w:tr>
      <w:tr>
        <w:trPr>
          <w:trHeight w:val="20"/>
        </w:trPr>
        <w:tc>
          <w:tcPr>
            <w:tcW w:w="10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560" w:type="dxa"/>
            <w:vAlign w:val="bottom"/>
            <w:tcBorders>
              <w:right w:val="single" w:sz="8" w:color="0000EE"/>
            </w:tcBorders>
            <w:gridSpan w:val="4"/>
            <w:shd w:val="clear" w:color="auto" w:fill="0000FF"/>
          </w:tcPr>
          <w:p>
            <w:pPr>
              <w:spacing w:after="0" w:line="20" w:lineRule="exact"/>
              <w:rPr>
                <w:sz w:val="1"/>
                <w:szCs w:val="1"/>
                <w:color w:val="auto"/>
              </w:rPr>
            </w:pPr>
          </w:p>
        </w:tc>
        <w:tc>
          <w:tcPr>
            <w:tcW w:w="1620" w:type="dxa"/>
            <w:vAlign w:val="bottom"/>
            <w:gridSpan w:val="11"/>
          </w:tcPr>
          <w:p>
            <w:pPr>
              <w:spacing w:after="0" w:line="20" w:lineRule="exact"/>
              <w:rPr>
                <w:sz w:val="1"/>
                <w:szCs w:val="1"/>
                <w:color w:val="auto"/>
              </w:rPr>
            </w:pPr>
          </w:p>
        </w:tc>
      </w:tr>
      <w:tr>
        <w:trPr>
          <w:trHeight w:val="264"/>
        </w:trPr>
        <w:tc>
          <w:tcPr>
            <w:tcW w:w="1040" w:type="dxa"/>
            <w:vAlign w:val="bottom"/>
          </w:tcPr>
          <w:p>
            <w:pPr>
              <w:ind w:left="20"/>
              <w:spacing w:after="0"/>
              <w:rPr>
                <w:sz w:val="20"/>
                <w:szCs w:val="20"/>
                <w:color w:val="auto"/>
              </w:rPr>
            </w:pPr>
            <w:r>
              <w:rPr>
                <w:rFonts w:ascii="Arial" w:cs="Arial" w:eastAsia="Arial" w:hAnsi="Arial"/>
                <w:sz w:val="18"/>
                <w:szCs w:val="18"/>
                <w:color w:val="auto"/>
              </w:rPr>
              <w:t>101.INS</w:t>
            </w:r>
          </w:p>
        </w:tc>
        <w:tc>
          <w:tcPr>
            <w:tcW w:w="260" w:type="dxa"/>
            <w:vAlign w:val="bottom"/>
          </w:tcPr>
          <w:p>
            <w:pPr>
              <w:spacing w:after="0"/>
              <w:rPr>
                <w:sz w:val="22"/>
                <w:szCs w:val="22"/>
                <w:color w:val="auto"/>
              </w:rPr>
            </w:pPr>
          </w:p>
        </w:tc>
        <w:tc>
          <w:tcPr>
            <w:tcW w:w="4180" w:type="dxa"/>
            <w:vAlign w:val="bottom"/>
            <w:gridSpan w:val="15"/>
          </w:tcPr>
          <w:p>
            <w:pPr>
              <w:spacing w:after="0"/>
              <w:rPr>
                <w:sz w:val="20"/>
                <w:szCs w:val="20"/>
                <w:color w:val="auto"/>
              </w:rPr>
            </w:pPr>
            <w:r>
              <w:rPr>
                <w:rFonts w:ascii="Arial" w:cs="Arial" w:eastAsia="Arial" w:hAnsi="Arial"/>
                <w:sz w:val="18"/>
                <w:szCs w:val="18"/>
                <w:color w:val="auto"/>
              </w:rPr>
              <w:t>INLINE XBRL Instance Document</w:t>
            </w:r>
          </w:p>
        </w:tc>
      </w:tr>
      <w:tr>
        <w:trPr>
          <w:trHeight w:val="243"/>
        </w:trPr>
        <w:tc>
          <w:tcPr>
            <w:tcW w:w="1040" w:type="dxa"/>
            <w:vAlign w:val="bottom"/>
          </w:tcPr>
          <w:p>
            <w:pPr>
              <w:ind w:left="20"/>
              <w:spacing w:after="0"/>
              <w:rPr>
                <w:sz w:val="20"/>
                <w:szCs w:val="20"/>
                <w:color w:val="auto"/>
              </w:rPr>
            </w:pPr>
            <w:r>
              <w:rPr>
                <w:rFonts w:ascii="Arial" w:cs="Arial" w:eastAsia="Arial" w:hAnsi="Arial"/>
                <w:sz w:val="18"/>
                <w:szCs w:val="18"/>
                <w:color w:val="auto"/>
              </w:rPr>
              <w:t>101.SCH</w:t>
            </w:r>
          </w:p>
        </w:tc>
        <w:tc>
          <w:tcPr>
            <w:tcW w:w="260" w:type="dxa"/>
            <w:vAlign w:val="bottom"/>
          </w:tcPr>
          <w:p>
            <w:pPr>
              <w:spacing w:after="0"/>
              <w:rPr>
                <w:sz w:val="21"/>
                <w:szCs w:val="21"/>
                <w:color w:val="auto"/>
              </w:rPr>
            </w:pPr>
          </w:p>
        </w:tc>
        <w:tc>
          <w:tcPr>
            <w:tcW w:w="4180" w:type="dxa"/>
            <w:vAlign w:val="bottom"/>
            <w:gridSpan w:val="15"/>
          </w:tcPr>
          <w:p>
            <w:pPr>
              <w:spacing w:after="0"/>
              <w:rPr>
                <w:sz w:val="20"/>
                <w:szCs w:val="20"/>
                <w:color w:val="auto"/>
              </w:rPr>
            </w:pPr>
            <w:r>
              <w:rPr>
                <w:rFonts w:ascii="Arial" w:cs="Arial" w:eastAsia="Arial" w:hAnsi="Arial"/>
                <w:sz w:val="18"/>
                <w:szCs w:val="18"/>
                <w:color w:val="auto"/>
                <w:w w:val="94"/>
              </w:rPr>
              <w:t>INLINE XBRL Taxonomy Extension Schema Document</w:t>
            </w:r>
          </w:p>
        </w:tc>
      </w:tr>
      <w:tr>
        <w:trPr>
          <w:trHeight w:val="229"/>
        </w:trPr>
        <w:tc>
          <w:tcPr>
            <w:tcW w:w="1040" w:type="dxa"/>
            <w:vAlign w:val="bottom"/>
          </w:tcPr>
          <w:p>
            <w:pPr>
              <w:ind w:left="20"/>
              <w:spacing w:after="0"/>
              <w:rPr>
                <w:sz w:val="20"/>
                <w:szCs w:val="20"/>
                <w:color w:val="auto"/>
              </w:rPr>
            </w:pPr>
            <w:r>
              <w:rPr>
                <w:rFonts w:ascii="Arial" w:cs="Arial" w:eastAsia="Arial" w:hAnsi="Arial"/>
                <w:sz w:val="18"/>
                <w:szCs w:val="18"/>
                <w:color w:val="auto"/>
              </w:rPr>
              <w:t>101.CAL</w:t>
            </w:r>
          </w:p>
        </w:tc>
        <w:tc>
          <w:tcPr>
            <w:tcW w:w="260" w:type="dxa"/>
            <w:vAlign w:val="bottom"/>
          </w:tcPr>
          <w:p>
            <w:pPr>
              <w:spacing w:after="0"/>
              <w:rPr>
                <w:sz w:val="19"/>
                <w:szCs w:val="19"/>
                <w:color w:val="auto"/>
              </w:rPr>
            </w:pPr>
          </w:p>
        </w:tc>
        <w:tc>
          <w:tcPr>
            <w:tcW w:w="4180" w:type="dxa"/>
            <w:vAlign w:val="bottom"/>
            <w:gridSpan w:val="15"/>
          </w:tcPr>
          <w:p>
            <w:pPr>
              <w:spacing w:after="0"/>
              <w:rPr>
                <w:sz w:val="20"/>
                <w:szCs w:val="20"/>
                <w:color w:val="auto"/>
              </w:rPr>
            </w:pPr>
            <w:r>
              <w:rPr>
                <w:rFonts w:ascii="Arial" w:cs="Arial" w:eastAsia="Arial" w:hAnsi="Arial"/>
                <w:sz w:val="18"/>
                <w:szCs w:val="18"/>
                <w:color w:val="auto"/>
              </w:rPr>
              <w:t>INLINE XBRL Taxonomy Extension Calculation</w:t>
            </w:r>
          </w:p>
        </w:tc>
      </w:tr>
      <w:tr>
        <w:trPr>
          <w:trHeight w:val="230"/>
        </w:trPr>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180" w:type="dxa"/>
            <w:vAlign w:val="bottom"/>
            <w:gridSpan w:val="15"/>
          </w:tcPr>
          <w:p>
            <w:pPr>
              <w:spacing w:after="0"/>
              <w:rPr>
                <w:sz w:val="20"/>
                <w:szCs w:val="20"/>
                <w:color w:val="auto"/>
              </w:rPr>
            </w:pPr>
            <w:r>
              <w:rPr>
                <w:rFonts w:ascii="Arial" w:cs="Arial" w:eastAsia="Arial" w:hAnsi="Arial"/>
                <w:sz w:val="18"/>
                <w:szCs w:val="18"/>
                <w:color w:val="auto"/>
              </w:rPr>
              <w:t>Linkbase Document</w:t>
            </w:r>
          </w:p>
        </w:tc>
      </w:tr>
      <w:tr>
        <w:trPr>
          <w:trHeight w:val="229"/>
        </w:trPr>
        <w:tc>
          <w:tcPr>
            <w:tcW w:w="1040" w:type="dxa"/>
            <w:vAlign w:val="bottom"/>
          </w:tcPr>
          <w:p>
            <w:pPr>
              <w:ind w:left="20"/>
              <w:spacing w:after="0"/>
              <w:rPr>
                <w:sz w:val="20"/>
                <w:szCs w:val="20"/>
                <w:color w:val="auto"/>
              </w:rPr>
            </w:pPr>
            <w:r>
              <w:rPr>
                <w:rFonts w:ascii="Arial" w:cs="Arial" w:eastAsia="Arial" w:hAnsi="Arial"/>
                <w:sz w:val="18"/>
                <w:szCs w:val="18"/>
                <w:color w:val="auto"/>
              </w:rPr>
              <w:t>101.DEF</w:t>
            </w:r>
          </w:p>
        </w:tc>
        <w:tc>
          <w:tcPr>
            <w:tcW w:w="260" w:type="dxa"/>
            <w:vAlign w:val="bottom"/>
          </w:tcPr>
          <w:p>
            <w:pPr>
              <w:spacing w:after="0"/>
              <w:rPr>
                <w:sz w:val="19"/>
                <w:szCs w:val="19"/>
                <w:color w:val="auto"/>
              </w:rPr>
            </w:pPr>
          </w:p>
        </w:tc>
        <w:tc>
          <w:tcPr>
            <w:tcW w:w="4180" w:type="dxa"/>
            <w:vAlign w:val="bottom"/>
            <w:gridSpan w:val="15"/>
          </w:tcPr>
          <w:p>
            <w:pPr>
              <w:spacing w:after="0"/>
              <w:rPr>
                <w:sz w:val="20"/>
                <w:szCs w:val="20"/>
                <w:color w:val="auto"/>
              </w:rPr>
            </w:pPr>
            <w:r>
              <w:rPr>
                <w:rFonts w:ascii="Arial" w:cs="Arial" w:eastAsia="Arial" w:hAnsi="Arial"/>
                <w:sz w:val="18"/>
                <w:szCs w:val="18"/>
                <w:color w:val="auto"/>
              </w:rPr>
              <w:t>INLINE XBRL Taxonomy Extension Definition</w:t>
            </w:r>
          </w:p>
        </w:tc>
      </w:tr>
      <w:tr>
        <w:trPr>
          <w:trHeight w:val="230"/>
        </w:trPr>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180" w:type="dxa"/>
            <w:vAlign w:val="bottom"/>
            <w:gridSpan w:val="15"/>
          </w:tcPr>
          <w:p>
            <w:pPr>
              <w:spacing w:after="0"/>
              <w:rPr>
                <w:sz w:val="20"/>
                <w:szCs w:val="20"/>
                <w:color w:val="auto"/>
              </w:rPr>
            </w:pPr>
            <w:r>
              <w:rPr>
                <w:rFonts w:ascii="Arial" w:cs="Arial" w:eastAsia="Arial" w:hAnsi="Arial"/>
                <w:sz w:val="18"/>
                <w:szCs w:val="18"/>
                <w:color w:val="auto"/>
              </w:rPr>
              <w:t>Linkbase Document</w:t>
            </w:r>
          </w:p>
        </w:tc>
      </w:tr>
      <w:tr>
        <w:trPr>
          <w:trHeight w:val="229"/>
        </w:trPr>
        <w:tc>
          <w:tcPr>
            <w:tcW w:w="1040" w:type="dxa"/>
            <w:vAlign w:val="bottom"/>
          </w:tcPr>
          <w:p>
            <w:pPr>
              <w:ind w:left="20"/>
              <w:spacing w:after="0"/>
              <w:rPr>
                <w:sz w:val="20"/>
                <w:szCs w:val="20"/>
                <w:color w:val="auto"/>
              </w:rPr>
            </w:pPr>
            <w:r>
              <w:rPr>
                <w:rFonts w:ascii="Arial" w:cs="Arial" w:eastAsia="Arial" w:hAnsi="Arial"/>
                <w:sz w:val="18"/>
                <w:szCs w:val="18"/>
                <w:color w:val="auto"/>
              </w:rPr>
              <w:t>101.LAB</w:t>
            </w:r>
          </w:p>
        </w:tc>
        <w:tc>
          <w:tcPr>
            <w:tcW w:w="260" w:type="dxa"/>
            <w:vAlign w:val="bottom"/>
          </w:tcPr>
          <w:p>
            <w:pPr>
              <w:spacing w:after="0"/>
              <w:rPr>
                <w:sz w:val="19"/>
                <w:szCs w:val="19"/>
                <w:color w:val="auto"/>
              </w:rPr>
            </w:pPr>
          </w:p>
        </w:tc>
        <w:tc>
          <w:tcPr>
            <w:tcW w:w="4180" w:type="dxa"/>
            <w:vAlign w:val="bottom"/>
            <w:gridSpan w:val="15"/>
          </w:tcPr>
          <w:p>
            <w:pPr>
              <w:spacing w:after="0"/>
              <w:rPr>
                <w:sz w:val="20"/>
                <w:szCs w:val="20"/>
                <w:color w:val="auto"/>
              </w:rPr>
            </w:pPr>
            <w:r>
              <w:rPr>
                <w:rFonts w:ascii="Arial" w:cs="Arial" w:eastAsia="Arial" w:hAnsi="Arial"/>
                <w:sz w:val="18"/>
                <w:szCs w:val="18"/>
                <w:color w:val="auto"/>
              </w:rPr>
              <w:t>INLINE XBRL Taxonomy Extension Label Linkbase</w:t>
            </w:r>
          </w:p>
        </w:tc>
      </w:tr>
      <w:tr>
        <w:trPr>
          <w:trHeight w:val="230"/>
        </w:trPr>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180" w:type="dxa"/>
            <w:vAlign w:val="bottom"/>
            <w:gridSpan w:val="15"/>
          </w:tcPr>
          <w:p>
            <w:pPr>
              <w:spacing w:after="0"/>
              <w:rPr>
                <w:sz w:val="20"/>
                <w:szCs w:val="20"/>
                <w:color w:val="auto"/>
              </w:rPr>
            </w:pPr>
            <w:r>
              <w:rPr>
                <w:rFonts w:ascii="Arial" w:cs="Arial" w:eastAsia="Arial" w:hAnsi="Arial"/>
                <w:sz w:val="18"/>
                <w:szCs w:val="18"/>
                <w:color w:val="auto"/>
              </w:rPr>
              <w:t>Document</w:t>
            </w:r>
          </w:p>
        </w:tc>
      </w:tr>
      <w:tr>
        <w:trPr>
          <w:trHeight w:val="229"/>
        </w:trPr>
        <w:tc>
          <w:tcPr>
            <w:tcW w:w="1040" w:type="dxa"/>
            <w:vAlign w:val="bottom"/>
          </w:tcPr>
          <w:p>
            <w:pPr>
              <w:ind w:left="20"/>
              <w:spacing w:after="0"/>
              <w:rPr>
                <w:sz w:val="20"/>
                <w:szCs w:val="20"/>
                <w:color w:val="auto"/>
              </w:rPr>
            </w:pPr>
            <w:r>
              <w:rPr>
                <w:rFonts w:ascii="Arial" w:cs="Arial" w:eastAsia="Arial" w:hAnsi="Arial"/>
                <w:sz w:val="18"/>
                <w:szCs w:val="18"/>
                <w:color w:val="auto"/>
              </w:rPr>
              <w:t>101.PRE</w:t>
            </w:r>
          </w:p>
        </w:tc>
        <w:tc>
          <w:tcPr>
            <w:tcW w:w="260" w:type="dxa"/>
            <w:vAlign w:val="bottom"/>
          </w:tcPr>
          <w:p>
            <w:pPr>
              <w:spacing w:after="0"/>
              <w:rPr>
                <w:sz w:val="19"/>
                <w:szCs w:val="19"/>
                <w:color w:val="auto"/>
              </w:rPr>
            </w:pPr>
          </w:p>
        </w:tc>
        <w:tc>
          <w:tcPr>
            <w:tcW w:w="4180" w:type="dxa"/>
            <w:vAlign w:val="bottom"/>
            <w:gridSpan w:val="15"/>
          </w:tcPr>
          <w:p>
            <w:pPr>
              <w:spacing w:after="0"/>
              <w:rPr>
                <w:sz w:val="20"/>
                <w:szCs w:val="20"/>
                <w:color w:val="auto"/>
              </w:rPr>
            </w:pPr>
            <w:r>
              <w:rPr>
                <w:rFonts w:ascii="Arial" w:cs="Arial" w:eastAsia="Arial" w:hAnsi="Arial"/>
                <w:sz w:val="18"/>
                <w:szCs w:val="18"/>
                <w:color w:val="auto"/>
              </w:rPr>
              <w:t>INLINE XBRL Taxonomy Extension Presentation</w:t>
            </w:r>
          </w:p>
        </w:tc>
      </w:tr>
      <w:tr>
        <w:trPr>
          <w:trHeight w:val="230"/>
        </w:trPr>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180" w:type="dxa"/>
            <w:vAlign w:val="bottom"/>
            <w:gridSpan w:val="15"/>
          </w:tcPr>
          <w:p>
            <w:pPr>
              <w:spacing w:after="0"/>
              <w:rPr>
                <w:sz w:val="20"/>
                <w:szCs w:val="20"/>
                <w:color w:val="auto"/>
              </w:rPr>
            </w:pPr>
            <w:r>
              <w:rPr>
                <w:rFonts w:ascii="Arial" w:cs="Arial" w:eastAsia="Arial" w:hAnsi="Arial"/>
                <w:sz w:val="18"/>
                <w:szCs w:val="18"/>
                <w:color w:val="auto"/>
              </w:rPr>
              <w:t>Linkbase Document</w:t>
            </w:r>
          </w:p>
        </w:tc>
      </w:tr>
    </w:tbl>
    <w:p>
      <w:pPr>
        <w:spacing w:after="0" w:line="13" w:lineRule="exact"/>
        <w:rPr>
          <w:sz w:val="20"/>
          <w:szCs w:val="20"/>
          <w:color w:val="auto"/>
        </w:rPr>
      </w:pPr>
    </w:p>
    <w:p>
      <w:pPr>
        <w:ind w:left="1300" w:right="460" w:hanging="1279"/>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23495</wp:posOffset>
            </wp:positionV>
            <wp:extent cx="350583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Form</w:t>
            </w:r>
          </w:p>
        </w:tc>
        <w:tc>
          <w:tcPr>
            <w:tcW w:w="24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240" w:type="dxa"/>
            <w:vAlign w:val="bottom"/>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220" w:type="dxa"/>
            <w:vAlign w:val="bottom"/>
          </w:tcPr>
          <w:p>
            <w:pPr>
              <w:spacing w:after="0"/>
              <w:rPr>
                <w:sz w:val="16"/>
                <w:szCs w:val="16"/>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Filing Date</w:t>
            </w:r>
          </w:p>
        </w:tc>
      </w:tr>
      <w:tr>
        <w:trPr>
          <w:trHeight w:val="230"/>
        </w:trPr>
        <w:tc>
          <w:tcPr>
            <w:tcW w:w="7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240" w:type="dxa"/>
            <w:vAlign w:val="bottom"/>
          </w:tcPr>
          <w:p>
            <w:pPr>
              <w:spacing w:after="0"/>
              <w:rPr>
                <w:sz w:val="19"/>
                <w:szCs w:val="19"/>
                <w:color w:val="auto"/>
              </w:rPr>
            </w:pPr>
          </w:p>
        </w:tc>
        <w:tc>
          <w:tcPr>
            <w:tcW w:w="1240" w:type="dxa"/>
            <w:vAlign w:val="bottom"/>
          </w:tcPr>
          <w:p>
            <w:pPr>
              <w:jc w:val="right"/>
              <w:ind w:right="139"/>
              <w:spacing w:after="0"/>
              <w:rPr>
                <w:sz w:val="20"/>
                <w:szCs w:val="20"/>
                <w:color w:val="auto"/>
              </w:rPr>
            </w:pPr>
            <w:r>
              <w:rPr>
                <w:rFonts w:ascii="Arial" w:cs="Arial" w:eastAsia="Arial" w:hAnsi="Arial"/>
                <w:sz w:val="18"/>
                <w:szCs w:val="18"/>
                <w:color w:val="auto"/>
              </w:rPr>
              <w:t>001-39269</w:t>
            </w:r>
          </w:p>
        </w:tc>
        <w:tc>
          <w:tcPr>
            <w:tcW w:w="240" w:type="dxa"/>
            <w:vAlign w:val="bottom"/>
          </w:tcPr>
          <w:p>
            <w:pPr>
              <w:spacing w:after="0"/>
              <w:rPr>
                <w:sz w:val="19"/>
                <w:szCs w:val="19"/>
                <w:color w:val="auto"/>
              </w:rPr>
            </w:pPr>
          </w:p>
        </w:tc>
        <w:tc>
          <w:tcPr>
            <w:tcW w:w="860" w:type="dxa"/>
            <w:vAlign w:val="bottom"/>
          </w:tcPr>
          <w:p>
            <w:pPr>
              <w:jc w:val="right"/>
              <w:ind w:right="179"/>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1"/>
              </w:rPr>
              <w:t>August 16, 2021</w:t>
            </w:r>
          </w:p>
        </w:tc>
      </w:tr>
    </w:tbl>
    <w:p>
      <w:pPr>
        <w:sectPr>
          <w:pgSz w:w="11900" w:h="16838" w:orient="portrait"/>
          <w:cols w:equalWidth="0" w:num="2">
            <w:col w:w="5720" w:space="0"/>
            <w:col w:w="5520"/>
          </w:cols>
          <w:pgMar w:left="320" w:top="364" w:right="339" w:bottom="1440" w:gutter="0" w:footer="0" w:header="0"/>
        </w:sectPr>
      </w:pPr>
    </w:p>
    <w:bookmarkStart w:id="77" w:name="page78"/>
    <w:bookmarkEnd w:id="77"/>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43" w:lineRule="exact"/>
        <w:rPr>
          <w:sz w:val="20"/>
          <w:szCs w:val="20"/>
          <w:color w:val="auto"/>
        </w:rPr>
      </w:pPr>
    </w:p>
    <w:p>
      <w:pPr>
        <w:ind w:firstLine="749"/>
        <w:spacing w:after="0" w:line="29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9"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ORIC Pharmaceuticals, Inc.</w:t>
      </w:r>
    </w:p>
    <w:p>
      <w:pPr>
        <w:spacing w:after="0" w:line="283" w:lineRule="exact"/>
        <w:rPr>
          <w:sz w:val="20"/>
          <w:szCs w:val="20"/>
          <w:color w:val="auto"/>
        </w:rPr>
      </w:pPr>
    </w:p>
    <w:p>
      <w:pPr>
        <w:ind w:left="20"/>
        <w:spacing w:after="0"/>
        <w:tabs>
          <w:tab w:leader="none" w:pos="5440" w:val="left"/>
          <w:tab w:leader="none" w:pos="7760" w:val="left"/>
        </w:tabs>
        <w:rPr>
          <w:sz w:val="20"/>
          <w:szCs w:val="20"/>
          <w:color w:val="auto"/>
        </w:rPr>
      </w:pPr>
      <w:r>
        <w:rPr>
          <w:rFonts w:ascii="Arial" w:cs="Arial" w:eastAsia="Arial" w:hAnsi="Arial"/>
          <w:sz w:val="18"/>
          <w:szCs w:val="18"/>
          <w:color w:val="auto"/>
        </w:rPr>
        <w:t>Date: November 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Jacob M. Chacko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14605</wp:posOffset>
            </wp:positionV>
            <wp:extent cx="345440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2" w:lineRule="exact"/>
        <w:rPr>
          <w:sz w:val="20"/>
          <w:szCs w:val="20"/>
          <w:color w:val="auto"/>
        </w:rPr>
      </w:pPr>
    </w:p>
    <w:p>
      <w:pPr>
        <w:jc w:val="center"/>
        <w:ind w:left="5800"/>
        <w:spacing w:after="0"/>
        <w:rPr>
          <w:sz w:val="20"/>
          <w:szCs w:val="20"/>
          <w:color w:val="auto"/>
        </w:rPr>
      </w:pPr>
      <w:r>
        <w:rPr>
          <w:rFonts w:ascii="Arial" w:cs="Arial" w:eastAsia="Arial" w:hAnsi="Arial"/>
          <w:sz w:val="18"/>
          <w:szCs w:val="18"/>
          <w:b w:val="1"/>
          <w:bCs w:val="1"/>
          <w:color w:val="auto"/>
        </w:rPr>
        <w:t>Jacob M. Chacko, M.D.</w:t>
      </w:r>
    </w:p>
    <w:p>
      <w:pPr>
        <w:spacing w:after="0" w:line="104" w:lineRule="exact"/>
        <w:rPr>
          <w:sz w:val="20"/>
          <w:szCs w:val="20"/>
          <w:color w:val="auto"/>
        </w:rPr>
      </w:pPr>
    </w:p>
    <w:p>
      <w:pPr>
        <w:ind w:left="7500"/>
        <w:spacing w:after="0"/>
        <w:rPr>
          <w:sz w:val="20"/>
          <w:szCs w:val="20"/>
          <w:color w:val="auto"/>
        </w:rPr>
      </w:pPr>
      <w:r>
        <w:rPr>
          <w:rFonts w:ascii="Arial" w:cs="Arial" w:eastAsia="Arial" w:hAnsi="Arial"/>
          <w:sz w:val="13"/>
          <w:szCs w:val="13"/>
          <w:b w:val="1"/>
          <w:bCs w:val="1"/>
          <w:color w:val="auto"/>
        </w:rPr>
        <w:t>President and Chief Executive Officer</w:t>
      </w:r>
    </w:p>
    <w:p>
      <w:pPr>
        <w:spacing w:after="0" w:line="273" w:lineRule="exact"/>
        <w:rPr>
          <w:sz w:val="20"/>
          <w:szCs w:val="20"/>
          <w:color w:val="auto"/>
        </w:rPr>
      </w:pPr>
    </w:p>
    <w:p>
      <w:pPr>
        <w:ind w:left="20"/>
        <w:spacing w:after="0"/>
        <w:tabs>
          <w:tab w:leader="none" w:pos="5440" w:val="left"/>
          <w:tab w:leader="none" w:pos="7740" w:val="left"/>
        </w:tabs>
        <w:rPr>
          <w:sz w:val="20"/>
          <w:szCs w:val="20"/>
          <w:color w:val="auto"/>
        </w:rPr>
      </w:pPr>
      <w:r>
        <w:rPr>
          <w:rFonts w:ascii="Arial" w:cs="Arial" w:eastAsia="Arial" w:hAnsi="Arial"/>
          <w:sz w:val="18"/>
          <w:szCs w:val="18"/>
          <w:color w:val="auto"/>
        </w:rPr>
        <w:t>Date: November 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Dominic Piscitelli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14605</wp:posOffset>
            </wp:positionV>
            <wp:extent cx="34544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3454400" cy="8890"/>
                    </a:xfrm>
                    <a:prstGeom prst="rect">
                      <a:avLst/>
                    </a:prstGeom>
                    <a:noFill/>
                  </pic:spPr>
                </pic:pic>
              </a:graphicData>
            </a:graphic>
          </wp:anchor>
        </w:drawing>
      </w:r>
    </w:p>
    <w:p>
      <w:pPr>
        <w:spacing w:after="0" w:line="12" w:lineRule="exact"/>
        <w:rPr>
          <w:sz w:val="20"/>
          <w:szCs w:val="20"/>
          <w:color w:val="auto"/>
        </w:rPr>
      </w:pPr>
    </w:p>
    <w:p>
      <w:pPr>
        <w:ind w:left="7840"/>
        <w:spacing w:after="0"/>
        <w:rPr>
          <w:sz w:val="20"/>
          <w:szCs w:val="20"/>
          <w:color w:val="auto"/>
        </w:rPr>
      </w:pPr>
      <w:r>
        <w:rPr>
          <w:rFonts w:ascii="Arial" w:cs="Arial" w:eastAsia="Arial" w:hAnsi="Arial"/>
          <w:sz w:val="18"/>
          <w:szCs w:val="18"/>
          <w:b w:val="1"/>
          <w:bCs w:val="1"/>
          <w:color w:val="auto"/>
        </w:rPr>
        <w:t>Dominic Piscitelli</w:t>
      </w:r>
    </w:p>
    <w:p>
      <w:pPr>
        <w:spacing w:after="0" w:line="104" w:lineRule="exact"/>
        <w:rPr>
          <w:sz w:val="20"/>
          <w:szCs w:val="20"/>
          <w:color w:val="auto"/>
        </w:rPr>
      </w:pPr>
    </w:p>
    <w:p>
      <w:pPr>
        <w:ind w:left="7900"/>
        <w:spacing w:after="0"/>
        <w:rPr>
          <w:sz w:val="20"/>
          <w:szCs w:val="20"/>
          <w:color w:val="auto"/>
        </w:rPr>
      </w:pPr>
      <w:r>
        <w:rPr>
          <w:rFonts w:ascii="Arial" w:cs="Arial" w:eastAsia="Arial" w:hAnsi="Arial"/>
          <w:sz w:val="13"/>
          <w:szCs w:val="13"/>
          <w:b w:val="1"/>
          <w:b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364" w:right="539" w:bottom="1440" w:gutter="0" w:footer="0" w:header="0"/>
        </w:sectPr>
      </w:pPr>
    </w:p>
    <w:bookmarkStart w:id="78" w:name="page79"/>
    <w:bookmarkEnd w:id="78"/>
    <w:p>
      <w:pPr>
        <w:jc w:val="right"/>
        <w:spacing w:after="0"/>
        <w:rPr>
          <w:sz w:val="20"/>
          <w:szCs w:val="20"/>
          <w:color w:val="auto"/>
        </w:rPr>
      </w:pPr>
      <w:r>
        <w:rPr>
          <w:rFonts w:ascii="Arial" w:cs="Arial" w:eastAsia="Arial" w:hAnsi="Arial"/>
          <w:sz w:val="22"/>
          <w:szCs w:val="22"/>
          <w:b w:val="1"/>
          <w:bCs w:val="1"/>
          <w:color w:val="auto"/>
        </w:rPr>
        <w:t>Exhibit 10.2</w:t>
      </w:r>
    </w:p>
    <w:p>
      <w:pPr>
        <w:spacing w:after="0" w:line="233" w:lineRule="exact"/>
        <w:rPr>
          <w:sz w:val="20"/>
          <w:szCs w:val="20"/>
          <w:color w:val="auto"/>
        </w:rPr>
      </w:pPr>
    </w:p>
    <w:p>
      <w:pPr>
        <w:ind w:left="3920"/>
        <w:spacing w:after="0"/>
        <w:rPr>
          <w:sz w:val="20"/>
          <w:szCs w:val="20"/>
          <w:color w:val="auto"/>
        </w:rPr>
      </w:pPr>
      <w:r>
        <w:rPr>
          <w:rFonts w:ascii="Arial" w:cs="Arial" w:eastAsia="Arial" w:hAnsi="Arial"/>
          <w:sz w:val="22"/>
          <w:szCs w:val="22"/>
          <w:b w:val="1"/>
          <w:bCs w:val="1"/>
          <w:color w:val="auto"/>
        </w:rPr>
        <w:t>ORIC PHARMACEUTICALS, INC.</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2020 EMPLOYEE STOCK PURCHASE PLAN</w:t>
      </w:r>
    </w:p>
    <w:p>
      <w:pPr>
        <w:spacing w:after="0" w:line="239" w:lineRule="exact"/>
        <w:rPr>
          <w:sz w:val="20"/>
          <w:szCs w:val="20"/>
          <w:color w:val="auto"/>
        </w:rPr>
      </w:pPr>
    </w:p>
    <w:p>
      <w:pPr>
        <w:jc w:val="both"/>
        <w:ind w:left="760" w:firstLine="688"/>
        <w:spacing w:after="0" w:line="303" w:lineRule="auto"/>
        <w:tabs>
          <w:tab w:leader="none" w:pos="2037" w:val="left"/>
        </w:tabs>
        <w:numPr>
          <w:ilvl w:val="1"/>
          <w:numId w:val="11"/>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Purpose</w:t>
      </w:r>
      <w:r>
        <w:rPr>
          <w:rFonts w:ascii="Arial" w:cs="Arial" w:eastAsia="Arial" w:hAnsi="Arial"/>
          <w:sz w:val="19"/>
          <w:szCs w:val="19"/>
          <w:color w:val="auto"/>
        </w:rPr>
        <w:t>. The purpose of the Plan is to provide employees of the Company and its Designated Companies with an opportunity to purchase Common Stock through accumulated Contributions. The Company intends for the Plan to have two components: a component that is intended to qualify as an “employee stock purchase plan” under Section 423 of the Code (the “423 Component”) and a component that is not intended to qualify as an “employee stock purchase plan” under Section 423 of the Code (the “Non-423 Component”). The provisions of the 423 Component, accordingly, will be construed so as to extend and limit Plan participation in a uniform and nondiscriminatory basis consistent with the requirements of Section 423 of the Code. An option to purchase shares of Common Stock under the Non-423 Component will be granted pursuant to rules, procedures, or sub-plans adopted by the Administrator designed to achieve tax, securities laws, or other objectives for Eligible Employees and the Company. Except as otherwise provided herein, the Non-423 Component will operate and be administered in the same manner as the 423 Component.</w:t>
      </w:r>
    </w:p>
    <w:p>
      <w:pPr>
        <w:spacing w:after="0" w:line="157" w:lineRule="exact"/>
        <w:rPr>
          <w:rFonts w:ascii="Arial" w:cs="Arial" w:eastAsia="Arial" w:hAnsi="Arial"/>
          <w:sz w:val="19"/>
          <w:szCs w:val="19"/>
          <w:u w:val="single" w:color="auto"/>
          <w:color w:val="auto"/>
        </w:rPr>
      </w:pPr>
    </w:p>
    <w:p>
      <w:pPr>
        <w:ind w:left="1460" w:hanging="660"/>
        <w:spacing w:after="0"/>
        <w:tabs>
          <w:tab w:leader="none" w:pos="1460" w:val="left"/>
        </w:tabs>
        <w:numPr>
          <w:ilvl w:val="0"/>
          <w:numId w:val="12"/>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w:t>
      </w:r>
    </w:p>
    <w:p>
      <w:pPr>
        <w:spacing w:after="0" w:line="233" w:lineRule="exact"/>
        <w:rPr>
          <w:rFonts w:ascii="Arial" w:cs="Arial" w:eastAsia="Arial" w:hAnsi="Arial"/>
          <w:sz w:val="22"/>
          <w:szCs w:val="22"/>
          <w:u w:val="single" w:color="auto"/>
          <w:color w:val="auto"/>
        </w:rPr>
      </w:pPr>
    </w:p>
    <w:p>
      <w:pPr>
        <w:ind w:left="2860" w:hanging="1182"/>
        <w:spacing w:after="0"/>
        <w:tabs>
          <w:tab w:leader="none" w:pos="2860" w:val="left"/>
        </w:tabs>
        <w:numPr>
          <w:ilvl w:val="2"/>
          <w:numId w:val="1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Administrator</w:t>
      </w:r>
      <w:r>
        <w:rPr>
          <w:rFonts w:ascii="Arial" w:cs="Arial" w:eastAsia="Arial" w:hAnsi="Arial"/>
          <w:sz w:val="19"/>
          <w:szCs w:val="19"/>
          <w:color w:val="auto"/>
        </w:rPr>
        <w:t>” means the Board or any Committee designated by the Board to administer the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Plan pursuant to Section 14.</w:t>
      </w:r>
    </w:p>
    <w:p>
      <w:pPr>
        <w:spacing w:after="0" w:line="228" w:lineRule="exact"/>
        <w:rPr>
          <w:rFonts w:ascii="Arial" w:cs="Arial" w:eastAsia="Arial" w:hAnsi="Arial"/>
          <w:sz w:val="19"/>
          <w:szCs w:val="19"/>
          <w:color w:val="auto"/>
        </w:rPr>
      </w:pPr>
    </w:p>
    <w:p>
      <w:pPr>
        <w:ind w:left="2860" w:hanging="1182"/>
        <w:spacing w:after="0"/>
        <w:tabs>
          <w:tab w:leader="none" w:pos="2860" w:val="left"/>
        </w:tabs>
        <w:numPr>
          <w:ilvl w:val="2"/>
          <w:numId w:val="1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means any entity, other than a Subsidiary, in which the Company has an equity or</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other ownership interest.</w:t>
      </w:r>
    </w:p>
    <w:p>
      <w:pPr>
        <w:spacing w:after="0" w:line="228" w:lineRule="exact"/>
        <w:rPr>
          <w:rFonts w:ascii="Arial" w:cs="Arial" w:eastAsia="Arial" w:hAnsi="Arial"/>
          <w:sz w:val="19"/>
          <w:szCs w:val="19"/>
          <w:color w:val="auto"/>
        </w:rPr>
      </w:pPr>
    </w:p>
    <w:p>
      <w:pPr>
        <w:jc w:val="both"/>
        <w:ind w:firstLine="1678"/>
        <w:spacing w:after="0" w:line="262" w:lineRule="auto"/>
        <w:tabs>
          <w:tab w:leader="none" w:pos="2847" w:val="left"/>
        </w:tabs>
        <w:numPr>
          <w:ilvl w:val="2"/>
          <w:numId w:val="1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Laws</w:t>
      </w:r>
      <w:r>
        <w:rPr>
          <w:rFonts w:ascii="Arial" w:cs="Arial" w:eastAsia="Arial" w:hAnsi="Arial"/>
          <w:sz w:val="22"/>
          <w:szCs w:val="22"/>
          <w:color w:val="auto"/>
        </w:rPr>
        <w:t>” means the requirements relating to the administration of equity-based awards under U.S. state corporate laws, U.S. federal and state securities laws, the Code, any stock exchange or quotation system on which the Common Stock is listed or quoted and the applicable laws of any foreign country or jurisdiction where options are, or will be, granted under the Plan.</w:t>
      </w:r>
    </w:p>
    <w:p>
      <w:pPr>
        <w:spacing w:after="0" w:line="191" w:lineRule="exact"/>
        <w:rPr>
          <w:rFonts w:ascii="Arial" w:cs="Arial" w:eastAsia="Arial" w:hAnsi="Arial"/>
          <w:sz w:val="22"/>
          <w:szCs w:val="22"/>
          <w:color w:val="auto"/>
        </w:rPr>
      </w:pPr>
    </w:p>
    <w:p>
      <w:pPr>
        <w:ind w:left="2860" w:hanging="1182"/>
        <w:spacing w:after="0"/>
        <w:tabs>
          <w:tab w:leader="none" w:pos="2860" w:val="left"/>
        </w:tabs>
        <w:numPr>
          <w:ilvl w:val="2"/>
          <w:numId w:val="1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means the Board of Directors of the Company.</w:t>
      </w:r>
    </w:p>
    <w:p>
      <w:pPr>
        <w:spacing w:after="0" w:line="233" w:lineRule="exact"/>
        <w:rPr>
          <w:rFonts w:ascii="Arial" w:cs="Arial" w:eastAsia="Arial" w:hAnsi="Arial"/>
          <w:sz w:val="22"/>
          <w:szCs w:val="22"/>
          <w:color w:val="auto"/>
        </w:rPr>
      </w:pPr>
    </w:p>
    <w:p>
      <w:pPr>
        <w:ind w:left="2860" w:hanging="1182"/>
        <w:spacing w:after="0"/>
        <w:tabs>
          <w:tab w:leader="none" w:pos="2860" w:val="left"/>
        </w:tabs>
        <w:numPr>
          <w:ilvl w:val="2"/>
          <w:numId w:val="1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in Control</w:t>
      </w:r>
      <w:r>
        <w:rPr>
          <w:rFonts w:ascii="Arial" w:cs="Arial" w:eastAsia="Arial" w:hAnsi="Arial"/>
          <w:sz w:val="22"/>
          <w:szCs w:val="22"/>
          <w:color w:val="auto"/>
        </w:rPr>
        <w:t>” means the occurrence of any of the following events:</w:t>
      </w:r>
    </w:p>
    <w:p>
      <w:pPr>
        <w:spacing w:after="0" w:line="233" w:lineRule="exact"/>
        <w:rPr>
          <w:sz w:val="20"/>
          <w:szCs w:val="20"/>
          <w:color w:val="auto"/>
        </w:rPr>
      </w:pPr>
    </w:p>
    <w:p>
      <w:pPr>
        <w:jc w:val="both"/>
        <w:ind w:firstLine="2464"/>
        <w:spacing w:after="0" w:line="305" w:lineRule="auto"/>
        <w:rPr>
          <w:sz w:val="20"/>
          <w:szCs w:val="20"/>
          <w:color w:val="auto"/>
        </w:rPr>
      </w:pPr>
      <w:r>
        <w:rPr>
          <w:rFonts w:ascii="Arial" w:cs="Arial" w:eastAsia="Arial" w:hAnsi="Arial"/>
          <w:sz w:val="19"/>
          <w:szCs w:val="19"/>
          <w:color w:val="auto"/>
        </w:rPr>
        <w:t>(i) A change in the ownership of the Company which occurs on the date that any one person, or more than one person acting as a group (“</w:t>
      </w:r>
      <w:r>
        <w:rPr>
          <w:rFonts w:ascii="Arial" w:cs="Arial" w:eastAsia="Arial" w:hAnsi="Arial"/>
          <w:sz w:val="19"/>
          <w:szCs w:val="19"/>
          <w:u w:val="single" w:color="auto"/>
          <w:color w:val="auto"/>
        </w:rPr>
        <w:t>Person</w:t>
      </w:r>
      <w:r>
        <w:rPr>
          <w:rFonts w:ascii="Arial" w:cs="Arial" w:eastAsia="Arial" w:hAnsi="Arial"/>
          <w:sz w:val="19"/>
          <w:szCs w:val="19"/>
          <w:color w:val="auto"/>
        </w:rPr>
        <w:t>”), acquires ownership of the stock of the Company that, together with the stock held by such Person, constitutes more than fifty percent (50%) of the total voting power of the stock of the Company; provided, however, that for purposes of this subsection, the acquisition of additional stock by any one Person, who is considered to own more than fifty percent (50%) of the total voting power of the stock of the Company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2" w:right="339" w:bottom="1440" w:gutter="0" w:footer="0" w:header="0"/>
        </w:sectPr>
      </w:pPr>
    </w:p>
    <w:bookmarkStart w:id="79" w:name="page80"/>
    <w:bookmarkEnd w:id="79"/>
    <w:p>
      <w:pPr>
        <w:jc w:val="both"/>
        <w:spacing w:after="0" w:line="261" w:lineRule="auto"/>
        <w:rPr>
          <w:sz w:val="20"/>
          <w:szCs w:val="20"/>
          <w:color w:val="auto"/>
        </w:rPr>
      </w:pPr>
      <w:r>
        <w:rPr>
          <w:rFonts w:ascii="Arial" w:cs="Arial" w:eastAsia="Arial" w:hAnsi="Arial"/>
          <w:sz w:val="22"/>
          <w:szCs w:val="22"/>
          <w:color w:val="auto"/>
        </w:rPr>
        <w:t>(50%) or more of the total voting power of the stock of the Company or of the ultimate parent entity of the Company, such event shall not be considered a Change in Control under this subsection (i). For this purpose, indirect beneficial ownership shall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190" w:lineRule="exact"/>
        <w:rPr>
          <w:sz w:val="20"/>
          <w:szCs w:val="20"/>
          <w:color w:val="auto"/>
        </w:rPr>
      </w:pPr>
    </w:p>
    <w:p>
      <w:pPr>
        <w:jc w:val="both"/>
        <w:ind w:firstLine="2418"/>
        <w:spacing w:after="0" w:line="276" w:lineRule="auto"/>
        <w:rPr>
          <w:sz w:val="20"/>
          <w:szCs w:val="20"/>
          <w:color w:val="auto"/>
        </w:rPr>
      </w:pPr>
      <w:r>
        <w:rPr>
          <w:rFonts w:ascii="Arial" w:cs="Arial" w:eastAsia="Arial" w:hAnsi="Arial"/>
          <w:sz w:val="21"/>
          <w:szCs w:val="21"/>
          <w:color w:val="auto"/>
        </w:rPr>
        <w:t>(ii) A change in the effective control of the Company which occurs on the date that a majority of members of the Board is replaced during any twelve (12)-month period by Directors whose appointment or election is not endorsed by a majority of the members of the Board prior to the date of the appointment or election. For purposes of this subsection (ii), if any Person is considered to be in effective control of the Company, the acquisition of additional control of the Company by the same Person will not be considered a Change in Control; or</w:t>
      </w:r>
    </w:p>
    <w:p>
      <w:pPr>
        <w:spacing w:after="0" w:line="177" w:lineRule="exact"/>
        <w:rPr>
          <w:sz w:val="20"/>
          <w:szCs w:val="20"/>
          <w:color w:val="auto"/>
        </w:rPr>
      </w:pPr>
    </w:p>
    <w:p>
      <w:pPr>
        <w:jc w:val="both"/>
        <w:ind w:firstLine="2372"/>
        <w:spacing w:after="0" w:line="270" w:lineRule="exact"/>
        <w:rPr>
          <w:sz w:val="20"/>
          <w:szCs w:val="20"/>
          <w:color w:val="auto"/>
        </w:rPr>
      </w:pPr>
      <w:r>
        <w:rPr>
          <w:rFonts w:ascii="Arial" w:cs="Arial" w:eastAsia="Arial" w:hAnsi="Arial"/>
          <w:sz w:val="21"/>
          <w:szCs w:val="21"/>
          <w:color w:val="auto"/>
        </w:rPr>
        <w:t>(iii) A change in the ownership of a substantial portion of the Company’s assets which occurs on the date that any Person acquires (or has acquired during the twelve (12)</w:t>
      </w:r>
      <w:r>
        <w:rPr>
          <w:rFonts w:ascii="MS PGothic" w:cs="MS PGothic" w:eastAsia="MS PGothic" w:hAnsi="MS PGothic"/>
          <w:sz w:val="21"/>
          <w:szCs w:val="21"/>
          <w:color w:val="auto"/>
        </w:rPr>
        <w:t>‑</w:t>
      </w:r>
      <w:r>
        <w:rPr>
          <w:rFonts w:ascii="Arial" w:cs="Arial" w:eastAsia="Arial" w:hAnsi="Arial"/>
          <w:sz w:val="21"/>
          <w:szCs w:val="21"/>
          <w:color w:val="auto"/>
        </w:rPr>
        <w:t>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(iii)(B)(3). For purposes of this subsection, gross fair market value means the value of the assets of the Company, or the value of the assets being disposed of, determined without regard to any liabilities associated with such assets.</w:t>
      </w:r>
    </w:p>
    <w:p>
      <w:pPr>
        <w:spacing w:after="0" w:line="221" w:lineRule="exact"/>
        <w:rPr>
          <w:sz w:val="20"/>
          <w:szCs w:val="20"/>
          <w:color w:val="auto"/>
        </w:rPr>
      </w:pPr>
    </w:p>
    <w:p>
      <w:pPr>
        <w:jc w:val="both"/>
        <w:ind w:firstLine="1497"/>
        <w:spacing w:after="0" w:line="266" w:lineRule="auto"/>
        <w:rPr>
          <w:sz w:val="20"/>
          <w:szCs w:val="20"/>
          <w:color w:val="auto"/>
        </w:rPr>
      </w:pPr>
      <w:r>
        <w:rPr>
          <w:rFonts w:ascii="Arial" w:cs="Arial" w:eastAsia="Arial" w:hAnsi="Arial"/>
          <w:sz w:val="22"/>
          <w:szCs w:val="22"/>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85" w:lineRule="exact"/>
        <w:rPr>
          <w:sz w:val="20"/>
          <w:szCs w:val="20"/>
          <w:color w:val="auto"/>
        </w:rPr>
      </w:pPr>
    </w:p>
    <w:p>
      <w:pPr>
        <w:jc w:val="both"/>
        <w:ind w:firstLine="1497"/>
        <w:spacing w:after="0" w:line="262" w:lineRule="auto"/>
        <w:rPr>
          <w:sz w:val="20"/>
          <w:szCs w:val="20"/>
          <w:color w:val="auto"/>
        </w:rPr>
      </w:pPr>
      <w:r>
        <w:rPr>
          <w:rFonts w:ascii="Arial" w:cs="Arial" w:eastAsia="Arial" w:hAnsi="Arial"/>
          <w:sz w:val="22"/>
          <w:szCs w:val="22"/>
          <w:color w:val="auto"/>
        </w:rPr>
        <w:t>Notwithstanding the foregoing, a transaction will not be deemed a Change in Control unless the transaction qualifies as a change in control event within the meaning of Code Section 409A, as it has been and may be amended from time to time, and any proposed or final U.S. Treasury Regulations and Internal Revenue Service guidance that has been promulgated or may be promulgated thereunder from time to time.</w:t>
      </w:r>
    </w:p>
    <w:p>
      <w:pPr>
        <w:spacing w:after="0" w:line="191" w:lineRule="exact"/>
        <w:rPr>
          <w:sz w:val="20"/>
          <w:szCs w:val="20"/>
          <w:color w:val="auto"/>
        </w:rPr>
      </w:pPr>
    </w:p>
    <w:p>
      <w:pPr>
        <w:jc w:val="both"/>
        <w:ind w:firstLine="1497"/>
        <w:spacing w:after="0" w:line="257" w:lineRule="auto"/>
        <w:rPr>
          <w:sz w:val="20"/>
          <w:szCs w:val="20"/>
          <w:color w:val="auto"/>
        </w:rPr>
      </w:pPr>
      <w:r>
        <w:rPr>
          <w:rFonts w:ascii="Arial" w:cs="Arial" w:eastAsia="Arial" w:hAnsi="Arial"/>
          <w:sz w:val="22"/>
          <w:szCs w:val="22"/>
          <w:color w:val="auto"/>
        </w:rPr>
        <w:t>Further and for the avoidance of doubt, a transaction will not constitute a Change in Control if: (i) its sole purpose is to change the state of the Company’s incorporation, or (ii) its sole purpose is to create a holding company that will be owned in substantially the same proportions by the persons who held the Company’s securities immediately before such transaction.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2</w:t>
      </w: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34" w:right="339" w:bottom="1440" w:gutter="0" w:footer="0" w:header="0"/>
        </w:sectPr>
      </w:pPr>
    </w:p>
    <w:bookmarkStart w:id="80" w:name="page81"/>
    <w:bookmarkEnd w:id="80"/>
    <w:p>
      <w:pPr>
        <w:jc w:val="both"/>
        <w:ind w:firstLine="1678"/>
        <w:spacing w:after="0" w:line="262" w:lineRule="auto"/>
        <w:tabs>
          <w:tab w:leader="none" w:pos="2861" w:val="left"/>
        </w:tabs>
        <w:numPr>
          <w:ilvl w:val="0"/>
          <w:numId w:val="1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U.S. Internal Revenue Code of 1986, as amended. Reference to a specific section of the Code will include such section, any valid regulation or other official applicable guidance promulgated under such section, and any comparable provision of any future legislation or regulation amending, supplementing or superseding such section or regulation.</w:t>
      </w:r>
    </w:p>
    <w:p>
      <w:pPr>
        <w:spacing w:after="0" w:line="191" w:lineRule="exact"/>
        <w:rPr>
          <w:rFonts w:ascii="Arial" w:cs="Arial" w:eastAsia="Arial" w:hAnsi="Arial"/>
          <w:sz w:val="22"/>
          <w:szCs w:val="22"/>
          <w:color w:val="auto"/>
        </w:rPr>
      </w:pPr>
    </w:p>
    <w:p>
      <w:pPr>
        <w:ind w:left="2860" w:hanging="1182"/>
        <w:spacing w:after="0"/>
        <w:tabs>
          <w:tab w:leader="none" w:pos="2860" w:val="left"/>
        </w:tabs>
        <w:numPr>
          <w:ilvl w:val="0"/>
          <w:numId w:val="1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Committee</w:t>
      </w:r>
      <w:r>
        <w:rPr>
          <w:rFonts w:ascii="Arial" w:cs="Arial" w:eastAsia="Arial" w:hAnsi="Arial"/>
          <w:sz w:val="19"/>
          <w:szCs w:val="19"/>
          <w:color w:val="auto"/>
        </w:rPr>
        <w:t>” means a committee of the Board appointed in accordance with Section 14 hereof.</w:t>
      </w:r>
    </w:p>
    <w:p>
      <w:pPr>
        <w:spacing w:after="0" w:line="267" w:lineRule="exact"/>
        <w:rPr>
          <w:rFonts w:ascii="Arial" w:cs="Arial" w:eastAsia="Arial" w:hAnsi="Arial"/>
          <w:sz w:val="19"/>
          <w:szCs w:val="19"/>
          <w:color w:val="auto"/>
        </w:rPr>
      </w:pPr>
    </w:p>
    <w:p>
      <w:pPr>
        <w:ind w:left="2860" w:hanging="1182"/>
        <w:spacing w:after="0"/>
        <w:tabs>
          <w:tab w:leader="none" w:pos="2860" w:val="left"/>
        </w:tabs>
        <w:numPr>
          <w:ilvl w:val="0"/>
          <w:numId w:val="1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 Stock</w:t>
      </w:r>
      <w:r>
        <w:rPr>
          <w:rFonts w:ascii="Arial" w:cs="Arial" w:eastAsia="Arial" w:hAnsi="Arial"/>
          <w:sz w:val="22"/>
          <w:szCs w:val="22"/>
          <w:color w:val="auto"/>
        </w:rPr>
        <w:t>” means the common stock of the Company.</w:t>
      </w:r>
    </w:p>
    <w:p>
      <w:pPr>
        <w:spacing w:after="0" w:line="233" w:lineRule="exact"/>
        <w:rPr>
          <w:rFonts w:ascii="Arial" w:cs="Arial" w:eastAsia="Arial" w:hAnsi="Arial"/>
          <w:sz w:val="22"/>
          <w:szCs w:val="22"/>
          <w:color w:val="auto"/>
        </w:rPr>
      </w:pPr>
    </w:p>
    <w:p>
      <w:pPr>
        <w:ind w:left="2900" w:hanging="1222"/>
        <w:spacing w:after="0"/>
        <w:tabs>
          <w:tab w:leader="none" w:pos="2900" w:val="left"/>
        </w:tabs>
        <w:numPr>
          <w:ilvl w:val="0"/>
          <w:numId w:val="1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w:t>
      </w:r>
      <w:r>
        <w:rPr>
          <w:rFonts w:ascii="Arial" w:cs="Arial" w:eastAsia="Arial" w:hAnsi="Arial"/>
          <w:sz w:val="19"/>
          <w:szCs w:val="19"/>
          <w:color w:val="auto"/>
        </w:rPr>
        <w:t>” means ORIC Pharmaceuticals, Inc., a Delaware corporation, or any successor</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thereto.</w:t>
      </w:r>
    </w:p>
    <w:p>
      <w:pPr>
        <w:spacing w:after="0" w:line="228" w:lineRule="exact"/>
        <w:rPr>
          <w:rFonts w:ascii="Arial" w:cs="Arial" w:eastAsia="Arial" w:hAnsi="Arial"/>
          <w:sz w:val="19"/>
          <w:szCs w:val="19"/>
          <w:color w:val="auto"/>
        </w:rPr>
      </w:pPr>
    </w:p>
    <w:p>
      <w:pPr>
        <w:jc w:val="both"/>
        <w:ind w:firstLine="1678"/>
        <w:spacing w:after="0" w:line="279" w:lineRule="auto"/>
        <w:tabs>
          <w:tab w:leader="none" w:pos="2847" w:val="left"/>
        </w:tabs>
        <w:numPr>
          <w:ilvl w:val="0"/>
          <w:numId w:val="1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Compensation</w:t>
      </w:r>
      <w:r>
        <w:rPr>
          <w:rFonts w:ascii="Arial" w:cs="Arial" w:eastAsia="Arial" w:hAnsi="Arial"/>
          <w:sz w:val="21"/>
          <w:szCs w:val="21"/>
          <w:color w:val="auto"/>
        </w:rPr>
        <w:t>” includes an Eligible Employee’s base straight time gross earnings, but excludes payments for incentive compensation, commissions, bonuses, payments for overtime and shift premium, equity compensation income and other similar compensation. The Administrator, in its discretion, may, on a uniform and nondiscriminatory basis, establish a different definition of Compensation for a subsequent Offering Period.</w:t>
      </w:r>
    </w:p>
    <w:p>
      <w:pPr>
        <w:spacing w:after="0" w:line="173" w:lineRule="exact"/>
        <w:rPr>
          <w:rFonts w:ascii="Arial" w:cs="Arial" w:eastAsia="Arial" w:hAnsi="Arial"/>
          <w:sz w:val="21"/>
          <w:szCs w:val="21"/>
          <w:color w:val="auto"/>
        </w:rPr>
      </w:pPr>
    </w:p>
    <w:p>
      <w:pPr>
        <w:ind w:right="20" w:firstLine="1678"/>
        <w:spacing w:after="0" w:line="276" w:lineRule="auto"/>
        <w:tabs>
          <w:tab w:leader="none" w:pos="2861" w:val="left"/>
        </w:tabs>
        <w:numPr>
          <w:ilvl w:val="0"/>
          <w:numId w:val="1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Contributions</w:t>
      </w:r>
      <w:r>
        <w:rPr>
          <w:rFonts w:ascii="Arial" w:cs="Arial" w:eastAsia="Arial" w:hAnsi="Arial"/>
          <w:sz w:val="22"/>
          <w:szCs w:val="22"/>
          <w:color w:val="auto"/>
        </w:rPr>
        <w:t>” means the payroll deductions and other additional payments that the Company may permit to be made by a Participant to fund the exercise of options granted pursuant to the Plan.</w:t>
      </w:r>
    </w:p>
    <w:p>
      <w:pPr>
        <w:spacing w:after="0" w:line="174" w:lineRule="exact"/>
        <w:rPr>
          <w:rFonts w:ascii="Arial" w:cs="Arial" w:eastAsia="Arial" w:hAnsi="Arial"/>
          <w:sz w:val="22"/>
          <w:szCs w:val="22"/>
          <w:color w:val="auto"/>
        </w:rPr>
      </w:pPr>
    </w:p>
    <w:p>
      <w:pPr>
        <w:jc w:val="both"/>
        <w:ind w:firstLine="1678"/>
        <w:spacing w:after="0" w:line="271" w:lineRule="exact"/>
        <w:tabs>
          <w:tab w:leader="none" w:pos="2901" w:val="left"/>
        </w:tabs>
        <w:numPr>
          <w:ilvl w:val="0"/>
          <w:numId w:val="1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Designated Company</w:t>
      </w:r>
      <w:r>
        <w:rPr>
          <w:rFonts w:ascii="Arial" w:cs="Arial" w:eastAsia="Arial" w:hAnsi="Arial"/>
          <w:sz w:val="22"/>
          <w:szCs w:val="22"/>
          <w:color w:val="auto"/>
        </w:rPr>
        <w:t>” means any Subsidiary or Affiliate of the Company that has been designated by the Administrator from time to time in its sole discretion as eligible to participate in the Plan. For purposes of the 423 Component, only the Company and its Subsidiaries may be Designated Companies, provided, however that at any given time, a Subsidiary that is a Designated Company under the 423 Component will not be a Designated Company under the Non</w:t>
      </w:r>
      <w:r>
        <w:rPr>
          <w:rFonts w:ascii="MS PGothic" w:cs="MS PGothic" w:eastAsia="MS PGothic" w:hAnsi="MS PGothic"/>
          <w:sz w:val="22"/>
          <w:szCs w:val="22"/>
          <w:color w:val="auto"/>
        </w:rPr>
        <w:t>‑</w:t>
      </w:r>
      <w:r>
        <w:rPr>
          <w:rFonts w:ascii="Arial" w:cs="Arial" w:eastAsia="Arial" w:hAnsi="Arial"/>
          <w:sz w:val="22"/>
          <w:szCs w:val="22"/>
          <w:color w:val="auto"/>
        </w:rPr>
        <w:t>423 Component.</w:t>
      </w:r>
    </w:p>
    <w:p>
      <w:pPr>
        <w:spacing w:after="0" w:line="211" w:lineRule="exact"/>
        <w:rPr>
          <w:rFonts w:ascii="Arial" w:cs="Arial" w:eastAsia="Arial" w:hAnsi="Arial"/>
          <w:sz w:val="22"/>
          <w:szCs w:val="22"/>
          <w:color w:val="auto"/>
        </w:rPr>
      </w:pPr>
    </w:p>
    <w:p>
      <w:pPr>
        <w:ind w:left="2860" w:hanging="1182"/>
        <w:spacing w:after="0"/>
        <w:tabs>
          <w:tab w:leader="none" w:pos="2860" w:val="left"/>
        </w:tabs>
        <w:numPr>
          <w:ilvl w:val="0"/>
          <w:numId w:val="1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Director</w:t>
      </w:r>
      <w:r>
        <w:rPr>
          <w:rFonts w:ascii="Arial" w:cs="Arial" w:eastAsia="Arial" w:hAnsi="Arial"/>
          <w:sz w:val="22"/>
          <w:szCs w:val="22"/>
          <w:color w:val="auto"/>
        </w:rPr>
        <w:t>” means a member of the Board.</w:t>
      </w:r>
    </w:p>
    <w:p>
      <w:pPr>
        <w:spacing w:after="0" w:line="233" w:lineRule="exact"/>
        <w:rPr>
          <w:rFonts w:ascii="Arial" w:cs="Arial" w:eastAsia="Arial" w:hAnsi="Arial"/>
          <w:sz w:val="22"/>
          <w:szCs w:val="22"/>
          <w:color w:val="auto"/>
        </w:rPr>
      </w:pPr>
    </w:p>
    <w:p>
      <w:pPr>
        <w:ind w:left="2860" w:hanging="1182"/>
        <w:spacing w:after="0"/>
        <w:tabs>
          <w:tab w:leader="none" w:pos="2860" w:val="left"/>
        </w:tabs>
        <w:numPr>
          <w:ilvl w:val="0"/>
          <w:numId w:val="1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Eligible Employee</w:t>
      </w:r>
      <w:r>
        <w:rPr>
          <w:rFonts w:ascii="Arial" w:cs="Arial" w:eastAsia="Arial" w:hAnsi="Arial"/>
          <w:sz w:val="19"/>
          <w:szCs w:val="19"/>
          <w:color w:val="auto"/>
        </w:rPr>
        <w:t>” means any individual who is a common law employee providing services</w:t>
      </w:r>
    </w:p>
    <w:p>
      <w:pPr>
        <w:spacing w:after="0" w:line="56" w:lineRule="exact"/>
        <w:rPr>
          <w:sz w:val="20"/>
          <w:szCs w:val="20"/>
          <w:color w:val="auto"/>
        </w:rPr>
      </w:pPr>
    </w:p>
    <w:p>
      <w:pPr>
        <w:jc w:val="both"/>
        <w:spacing w:after="0" w:line="275" w:lineRule="exact"/>
        <w:rPr>
          <w:sz w:val="20"/>
          <w:szCs w:val="20"/>
          <w:color w:val="auto"/>
        </w:rPr>
      </w:pPr>
      <w:r>
        <w:rPr>
          <w:rFonts w:ascii="Arial" w:cs="Arial" w:eastAsia="Arial" w:hAnsi="Arial"/>
          <w:sz w:val="19"/>
          <w:szCs w:val="19"/>
          <w:color w:val="auto"/>
        </w:rPr>
        <w:t>to the Company or a Designated Company. The Administrator, in its discretion, from time to time may, prior to an Enrollment Date for all options to be granted on such Enrollment Date in an Offering, determine (on a uniform and nondiscriminatory basis or as otherwise permitted by Treasury Regulation Section 1.423</w:t>
      </w:r>
      <w:r>
        <w:rPr>
          <w:rFonts w:ascii="MS PGothic" w:cs="MS PGothic" w:eastAsia="MS PGothic" w:hAnsi="MS PGothic"/>
          <w:sz w:val="19"/>
          <w:szCs w:val="19"/>
          <w:color w:val="auto"/>
        </w:rPr>
        <w:t>‑</w:t>
      </w:r>
      <w:r>
        <w:rPr>
          <w:rFonts w:ascii="Arial" w:cs="Arial" w:eastAsia="Arial" w:hAnsi="Arial"/>
          <w:sz w:val="19"/>
          <w:szCs w:val="19"/>
          <w:color w:val="auto"/>
        </w:rPr>
        <w:t>2) that the definition of Eligible Employee will or will not include an individual if such Employee’s customary employment with the Company or a Designated Company is more than 20 hours per week and more than five months per calendar year or such other criteria as the Administration may determine consistent with Section 423 of the Code. Each exclusion will be applied with respect to an Offering in a manner complying with U.S. Treasury Regulation Section 1.423</w:t>
      </w:r>
      <w:r>
        <w:rPr>
          <w:rFonts w:ascii="MS PGothic" w:cs="MS PGothic" w:eastAsia="MS PGothic" w:hAnsi="MS PGothic"/>
          <w:sz w:val="19"/>
          <w:szCs w:val="19"/>
          <w:color w:val="auto"/>
        </w:rPr>
        <w:t>‑</w:t>
      </w:r>
      <w:r>
        <w:rPr>
          <w:rFonts w:ascii="Arial" w:cs="Arial" w:eastAsia="Arial" w:hAnsi="Arial"/>
          <w:sz w:val="19"/>
          <w:szCs w:val="19"/>
          <w:color w:val="auto"/>
        </w:rPr>
        <w:t>2(e)(2)(ii). For purposes of the Plan, the employment relationship will be treated as continuing intact while the individual is on sick leave or other leave of absence that the Employer approves or is legally protected under Applicable Laws. Where the period of leave exceeds three (3) months and the individual’s right to reemployment is not guaranteed either by statute or by contract, the employment relationship will be deemed to have terminated three (3) months and one (1) day following the commencement of such leave.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3</w:t>
      </w: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34" w:right="339" w:bottom="1440" w:gutter="0" w:footer="0" w:header="0"/>
        </w:sectPr>
      </w:pPr>
    </w:p>
    <w:bookmarkStart w:id="81" w:name="page82"/>
    <w:bookmarkEnd w:id="81"/>
    <w:p>
      <w:pPr>
        <w:ind w:left="2860" w:hanging="1182"/>
        <w:spacing w:after="0"/>
        <w:tabs>
          <w:tab w:leader="none" w:pos="2860" w:val="left"/>
        </w:tabs>
        <w:numPr>
          <w:ilvl w:val="0"/>
          <w:numId w:val="1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Employer</w:t>
      </w:r>
      <w:r>
        <w:rPr>
          <w:rFonts w:ascii="Arial" w:cs="Arial" w:eastAsia="Arial" w:hAnsi="Arial"/>
          <w:sz w:val="22"/>
          <w:szCs w:val="22"/>
          <w:color w:val="auto"/>
        </w:rPr>
        <w:t>” means the employer of the applicable Eligible Employee(s).</w:t>
      </w:r>
    </w:p>
    <w:p>
      <w:pPr>
        <w:spacing w:after="0" w:line="233" w:lineRule="exact"/>
        <w:rPr>
          <w:rFonts w:ascii="Arial" w:cs="Arial" w:eastAsia="Arial" w:hAnsi="Arial"/>
          <w:sz w:val="22"/>
          <w:szCs w:val="22"/>
          <w:color w:val="auto"/>
        </w:rPr>
      </w:pPr>
    </w:p>
    <w:p>
      <w:pPr>
        <w:ind w:left="2860" w:hanging="1182"/>
        <w:spacing w:after="0"/>
        <w:tabs>
          <w:tab w:leader="none" w:pos="2860" w:val="left"/>
        </w:tabs>
        <w:numPr>
          <w:ilvl w:val="0"/>
          <w:numId w:val="1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Enrollment Date</w:t>
      </w:r>
      <w:r>
        <w:rPr>
          <w:rFonts w:ascii="Arial" w:cs="Arial" w:eastAsia="Arial" w:hAnsi="Arial"/>
          <w:sz w:val="22"/>
          <w:szCs w:val="22"/>
          <w:color w:val="auto"/>
        </w:rPr>
        <w:t>” means the first Trading Day of an Offering Period.</w:t>
      </w:r>
    </w:p>
    <w:p>
      <w:pPr>
        <w:spacing w:after="0" w:line="233" w:lineRule="exact"/>
        <w:rPr>
          <w:rFonts w:ascii="Arial" w:cs="Arial" w:eastAsia="Arial" w:hAnsi="Arial"/>
          <w:sz w:val="22"/>
          <w:szCs w:val="22"/>
          <w:color w:val="auto"/>
        </w:rPr>
      </w:pPr>
    </w:p>
    <w:p>
      <w:pPr>
        <w:ind w:firstLine="1678"/>
        <w:spacing w:after="0" w:line="276" w:lineRule="auto"/>
        <w:tabs>
          <w:tab w:leader="none" w:pos="2861" w:val="left"/>
        </w:tabs>
        <w:numPr>
          <w:ilvl w:val="0"/>
          <w:numId w:val="1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U.S. Securities Exchange Act of 1934, as amended, including the rules and regulations promulgated thereunder.</w:t>
      </w:r>
    </w:p>
    <w:p>
      <w:pPr>
        <w:spacing w:after="0" w:line="174" w:lineRule="exact"/>
        <w:rPr>
          <w:rFonts w:ascii="Arial" w:cs="Arial" w:eastAsia="Arial" w:hAnsi="Arial"/>
          <w:sz w:val="22"/>
          <w:szCs w:val="22"/>
          <w:color w:val="auto"/>
        </w:rPr>
      </w:pPr>
    </w:p>
    <w:p>
      <w:pPr>
        <w:jc w:val="both"/>
        <w:ind w:firstLine="1678"/>
        <w:spacing w:after="0" w:line="311" w:lineRule="auto"/>
        <w:tabs>
          <w:tab w:leader="none" w:pos="2874" w:val="left"/>
        </w:tabs>
        <w:numPr>
          <w:ilvl w:val="0"/>
          <w:numId w:val="1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Exercise Date</w:t>
      </w:r>
      <w:r>
        <w:rPr>
          <w:rFonts w:ascii="Arial" w:cs="Arial" w:eastAsia="Arial" w:hAnsi="Arial"/>
          <w:sz w:val="19"/>
          <w:szCs w:val="19"/>
          <w:color w:val="auto"/>
        </w:rPr>
        <w:t>” means the first Trading Day on or after June 10 and December 10 of each Purchase Period For purposes of clarification, there may be multiple Exercise Dates during an Offering Period. Further, and notwithstanding the foregoing, in the event that an Offering Period is terminated prior to its expiration pursuant to Section 20(a), the Administrator, in its sole discretion, may determine that any Purchase Period also terminating under such Offering Period will terminate without options being exercised on the Exercise Date that otherwise would have occurred during such Purchase Period.</w:t>
      </w:r>
    </w:p>
    <w:p>
      <w:pPr>
        <w:spacing w:after="0" w:line="150" w:lineRule="exact"/>
        <w:rPr>
          <w:rFonts w:ascii="Arial" w:cs="Arial" w:eastAsia="Arial" w:hAnsi="Arial"/>
          <w:sz w:val="19"/>
          <w:szCs w:val="19"/>
          <w:color w:val="auto"/>
        </w:rPr>
      </w:pPr>
    </w:p>
    <w:p>
      <w:pPr>
        <w:ind w:left="2860" w:hanging="1182"/>
        <w:spacing w:after="0"/>
        <w:tabs>
          <w:tab w:leader="none" w:pos="2860" w:val="left"/>
        </w:tabs>
        <w:numPr>
          <w:ilvl w:val="0"/>
          <w:numId w:val="1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Fair Market Value</w:t>
      </w:r>
      <w:r>
        <w:rPr>
          <w:rFonts w:ascii="Arial" w:cs="Arial" w:eastAsia="Arial" w:hAnsi="Arial"/>
          <w:sz w:val="19"/>
          <w:szCs w:val="19"/>
          <w:color w:val="auto"/>
        </w:rPr>
        <w:t>” means, as of any date, the value of a share of Common Stock determined as</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follows:</w:t>
      </w:r>
    </w:p>
    <w:p>
      <w:pPr>
        <w:spacing w:after="0" w:line="229" w:lineRule="exact"/>
        <w:rPr>
          <w:sz w:val="20"/>
          <w:szCs w:val="20"/>
          <w:color w:val="auto"/>
        </w:rPr>
      </w:pPr>
    </w:p>
    <w:p>
      <w:pPr>
        <w:jc w:val="both"/>
        <w:ind w:firstLine="2464"/>
        <w:spacing w:after="0" w:line="305" w:lineRule="auto"/>
        <w:rPr>
          <w:sz w:val="20"/>
          <w:szCs w:val="20"/>
          <w:color w:val="auto"/>
        </w:rPr>
      </w:pPr>
      <w:r>
        <w:rPr>
          <w:rFonts w:ascii="Arial" w:cs="Arial" w:eastAsia="Arial" w:hAnsi="Arial"/>
          <w:sz w:val="19"/>
          <w:szCs w:val="19"/>
          <w:color w:val="auto"/>
        </w:rPr>
        <w:t xml:space="preserve">(i) the Fair Market Value will be the closing sales price for Common Stock as quoted on any established stock exchange or national market system (including without limitation the New York Stock Exchange, NASDAQ Global Select Market, the NASDAQ Global Market or the NASDAQ Capital Market of The NASDAQ Stock Market) on which the Common Stock is listed on the date of determination (or the closing bid, if no sales were reported), as reported in </w:t>
      </w:r>
      <w:r>
        <w:rPr>
          <w:rFonts w:ascii="Arial" w:cs="Arial" w:eastAsia="Arial" w:hAnsi="Arial"/>
          <w:sz w:val="19"/>
          <w:szCs w:val="19"/>
          <w:i w:val="1"/>
          <w:iCs w:val="1"/>
          <w:color w:val="auto"/>
        </w:rPr>
        <w:t>The Wall Street Journal</w:t>
      </w:r>
      <w:r>
        <w:rPr>
          <w:rFonts w:ascii="Arial" w:cs="Arial" w:eastAsia="Arial" w:hAnsi="Arial"/>
          <w:sz w:val="19"/>
          <w:szCs w:val="19"/>
          <w:color w:val="auto"/>
        </w:rPr>
        <w:t xml:space="preserve"> or such other source as the Administrator deems reliable. If the determination date for the Fair Market Value occurs on a non-trading day (i.e., a weekend or holiday), the Fair Market Value will be such price on the immediately preceding trading day, unless otherwise determined by the Administrator. In the absence of an established market for the Common Stock, the Fair Market Value thereof will be determined in good faith by the Administrator.</w:t>
      </w:r>
    </w:p>
    <w:p>
      <w:pPr>
        <w:spacing w:after="0" w:line="155" w:lineRule="exact"/>
        <w:rPr>
          <w:sz w:val="20"/>
          <w:szCs w:val="20"/>
          <w:color w:val="auto"/>
        </w:rPr>
      </w:pPr>
    </w:p>
    <w:p>
      <w:pPr>
        <w:jc w:val="both"/>
        <w:ind w:right="260" w:firstLine="749"/>
        <w:spacing w:after="0" w:line="358" w:lineRule="auto"/>
        <w:rPr>
          <w:sz w:val="20"/>
          <w:szCs w:val="20"/>
          <w:color w:val="auto"/>
        </w:rPr>
      </w:pPr>
      <w:r>
        <w:rPr>
          <w:rFonts w:ascii="Arial" w:cs="Arial" w:eastAsia="Arial" w:hAnsi="Arial"/>
          <w:sz w:val="19"/>
          <w:szCs w:val="19"/>
          <w:color w:val="auto"/>
        </w:rPr>
        <w:t>The determination of fair market value for purposes of tax withholding may be made in the Administrator’s discretion subject to Applicable Laws and is not required to be consistent with the determination of Fair Market Value for other purposes.</w:t>
      </w:r>
    </w:p>
    <w:p>
      <w:pPr>
        <w:spacing w:after="0" w:line="104" w:lineRule="exact"/>
        <w:rPr>
          <w:sz w:val="20"/>
          <w:szCs w:val="20"/>
          <w:color w:val="auto"/>
        </w:rPr>
      </w:pPr>
    </w:p>
    <w:p>
      <w:pPr>
        <w:ind w:right="20" w:firstLine="2418"/>
        <w:spacing w:after="0" w:line="276" w:lineRule="auto"/>
        <w:rPr>
          <w:sz w:val="20"/>
          <w:szCs w:val="20"/>
          <w:color w:val="auto"/>
        </w:rPr>
      </w:pPr>
      <w:r>
        <w:rPr>
          <w:rFonts w:ascii="Arial" w:cs="Arial" w:eastAsia="Arial" w:hAnsi="Arial"/>
          <w:sz w:val="22"/>
          <w:szCs w:val="22"/>
          <w:color w:val="auto"/>
        </w:rPr>
        <w:t>(ii) In the absence of an established market for the Common Stock, the Fair Market Value thereof will be determined in good faith by the Administrator.</w:t>
      </w:r>
    </w:p>
    <w:p>
      <w:pPr>
        <w:spacing w:after="0" w:line="174" w:lineRule="exact"/>
        <w:rPr>
          <w:sz w:val="20"/>
          <w:szCs w:val="20"/>
          <w:color w:val="auto"/>
        </w:rPr>
      </w:pPr>
    </w:p>
    <w:p>
      <w:pPr>
        <w:ind w:left="2860" w:hanging="1182"/>
        <w:spacing w:after="0"/>
        <w:tabs>
          <w:tab w:leader="none" w:pos="2860" w:val="left"/>
        </w:tabs>
        <w:numPr>
          <w:ilvl w:val="0"/>
          <w:numId w:val="1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Fiscal Year</w:t>
      </w:r>
      <w:r>
        <w:rPr>
          <w:rFonts w:ascii="Arial" w:cs="Arial" w:eastAsia="Arial" w:hAnsi="Arial"/>
          <w:sz w:val="22"/>
          <w:szCs w:val="22"/>
          <w:color w:val="auto"/>
        </w:rPr>
        <w:t>” means a fiscal year of the Company.</w:t>
      </w:r>
    </w:p>
    <w:p>
      <w:pPr>
        <w:spacing w:after="0" w:line="233" w:lineRule="exact"/>
        <w:rPr>
          <w:rFonts w:ascii="Arial" w:cs="Arial" w:eastAsia="Arial" w:hAnsi="Arial"/>
          <w:sz w:val="22"/>
          <w:szCs w:val="22"/>
          <w:color w:val="auto"/>
        </w:rPr>
      </w:pPr>
    </w:p>
    <w:p>
      <w:pPr>
        <w:ind w:left="2880" w:hanging="1202"/>
        <w:spacing w:after="0"/>
        <w:tabs>
          <w:tab w:leader="none" w:pos="2880" w:val="left"/>
        </w:tabs>
        <w:numPr>
          <w:ilvl w:val="0"/>
          <w:numId w:val="1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New Exercise Date</w:t>
      </w:r>
      <w:r>
        <w:rPr>
          <w:rFonts w:ascii="Arial" w:cs="Arial" w:eastAsia="Arial" w:hAnsi="Arial"/>
          <w:sz w:val="19"/>
          <w:szCs w:val="19"/>
          <w:color w:val="auto"/>
        </w:rPr>
        <w:t>” means a new Exercise Date if the Administrator shortens any Offering</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Period then in progress.</w:t>
      </w:r>
    </w:p>
    <w:p>
      <w:pPr>
        <w:spacing w:after="0" w:line="228" w:lineRule="exact"/>
        <w:rPr>
          <w:rFonts w:ascii="Arial" w:cs="Arial" w:eastAsia="Arial" w:hAnsi="Arial"/>
          <w:sz w:val="19"/>
          <w:szCs w:val="19"/>
          <w:color w:val="auto"/>
        </w:rPr>
      </w:pPr>
    </w:p>
    <w:p>
      <w:pPr>
        <w:jc w:val="both"/>
        <w:ind w:firstLine="1678"/>
        <w:spacing w:after="0" w:line="269" w:lineRule="auto"/>
        <w:tabs>
          <w:tab w:leader="none" w:pos="2847" w:val="left"/>
        </w:tabs>
        <w:numPr>
          <w:ilvl w:val="0"/>
          <w:numId w:val="1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Offering</w:t>
      </w:r>
      <w:r>
        <w:rPr>
          <w:rFonts w:ascii="Arial" w:cs="Arial" w:eastAsia="Arial" w:hAnsi="Arial"/>
          <w:sz w:val="21"/>
          <w:szCs w:val="21"/>
          <w:color w:val="auto"/>
        </w:rPr>
        <w:t>” means an offer under the Plan of an option that may be exercised during an Offering Period as further described in Section 4. For purposes of the Plan, the Administrator may designate separate Offerings under the Plan (the terms of which need not be identical) in which Eligible Employees of one or more Employers will participate, even if the dates of the applicable Offering Periods of each such Offering are identical and the provisions of the Plan will separately apply to each Offering. To the extent permitted by U.S. Treasury Regulation Section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4</w:t>
      </w: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34" w:right="339" w:bottom="1440" w:gutter="0" w:footer="0" w:header="0"/>
        </w:sectPr>
      </w:pPr>
    </w:p>
    <w:bookmarkStart w:id="82" w:name="page83"/>
    <w:bookmarkEnd w:id="82"/>
    <w:p>
      <w:pPr>
        <w:spacing w:after="0" w:line="272" w:lineRule="exact"/>
        <w:rPr>
          <w:sz w:val="20"/>
          <w:szCs w:val="20"/>
          <w:color w:val="auto"/>
        </w:rPr>
      </w:pPr>
      <w:r>
        <w:rPr>
          <w:rFonts w:ascii="Arial" w:cs="Arial" w:eastAsia="Arial" w:hAnsi="Arial"/>
          <w:sz w:val="22"/>
          <w:szCs w:val="22"/>
          <w:color w:val="auto"/>
        </w:rPr>
        <w:t>1.423</w:t>
      </w:r>
      <w:r>
        <w:rPr>
          <w:rFonts w:ascii="MS PGothic" w:cs="MS PGothic" w:eastAsia="MS PGothic" w:hAnsi="MS PGothic"/>
          <w:sz w:val="22"/>
          <w:szCs w:val="22"/>
          <w:color w:val="auto"/>
        </w:rPr>
        <w:t>‑</w:t>
      </w:r>
      <w:r>
        <w:rPr>
          <w:rFonts w:ascii="Arial" w:cs="Arial" w:eastAsia="Arial" w:hAnsi="Arial"/>
          <w:sz w:val="22"/>
          <w:szCs w:val="22"/>
          <w:color w:val="auto"/>
        </w:rPr>
        <w:t>2(a)(1), the terms of each Offering need not be identical provided that the terms of the Plan and an Offering together satisfy U.S. Treasury Regulation Section 1.423</w:t>
      </w:r>
      <w:r>
        <w:rPr>
          <w:rFonts w:ascii="MS PGothic" w:cs="MS PGothic" w:eastAsia="MS PGothic" w:hAnsi="MS PGothic"/>
          <w:sz w:val="22"/>
          <w:szCs w:val="22"/>
          <w:color w:val="auto"/>
        </w:rPr>
        <w:t>‑</w:t>
      </w:r>
      <w:r>
        <w:rPr>
          <w:rFonts w:ascii="Arial" w:cs="Arial" w:eastAsia="Arial" w:hAnsi="Arial"/>
          <w:sz w:val="22"/>
          <w:szCs w:val="22"/>
          <w:color w:val="auto"/>
        </w:rPr>
        <w:t>2(a)(2) and (a)(3).</w:t>
      </w:r>
    </w:p>
    <w:p>
      <w:pPr>
        <w:spacing w:after="0" w:line="212" w:lineRule="exact"/>
        <w:rPr>
          <w:sz w:val="20"/>
          <w:szCs w:val="20"/>
          <w:color w:val="auto"/>
        </w:rPr>
      </w:pPr>
    </w:p>
    <w:p>
      <w:pPr>
        <w:jc w:val="both"/>
        <w:ind w:firstLine="1678"/>
        <w:spacing w:after="0" w:line="306" w:lineRule="auto"/>
        <w:tabs>
          <w:tab w:leader="none" w:pos="2847" w:val="left"/>
        </w:tabs>
        <w:numPr>
          <w:ilvl w:val="0"/>
          <w:numId w:val="1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Offering Period</w:t>
      </w:r>
      <w:r>
        <w:rPr>
          <w:rFonts w:ascii="Arial" w:cs="Arial" w:eastAsia="Arial" w:hAnsi="Arial"/>
          <w:sz w:val="19"/>
          <w:szCs w:val="19"/>
          <w:color w:val="auto"/>
        </w:rPr>
        <w:t>” means the periods of approximately twenty-four (24) months during which an option granted pursuant to the Plan may be exercised, (i) commencing on the first Trading Day on or after June 10 and December 10 of each year and terminating on the first Trading Day on or after June 10 and December 10, approximately twenty-four (24) months later; provided, however, that the first Offering Period under the Plan will not commence until a date determined by the Administrator, in its discretion, and will end on a date determined by the Administrator, in its discretion, that is at least twenty-four (24) months later and no more than twenty-seven (27) months later, in each case on a uniform and nondiscriminatory basis. The duration and timing of Offering Periods may be changed pursuant to Sections 4, 20, and 30.</w:t>
      </w:r>
    </w:p>
    <w:p>
      <w:pPr>
        <w:spacing w:after="0" w:line="156" w:lineRule="exact"/>
        <w:rPr>
          <w:rFonts w:ascii="Arial" w:cs="Arial" w:eastAsia="Arial" w:hAnsi="Arial"/>
          <w:sz w:val="19"/>
          <w:szCs w:val="19"/>
          <w:color w:val="auto"/>
        </w:rPr>
      </w:pPr>
    </w:p>
    <w:p>
      <w:pPr>
        <w:ind w:left="2860" w:hanging="1182"/>
        <w:spacing w:after="0"/>
        <w:tabs>
          <w:tab w:leader="none" w:pos="2860" w:val="left"/>
        </w:tabs>
        <w:numPr>
          <w:ilvl w:val="0"/>
          <w:numId w:val="1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Parent</w:t>
      </w:r>
      <w:r>
        <w:rPr>
          <w:rFonts w:ascii="Arial" w:cs="Arial" w:eastAsia="Arial" w:hAnsi="Arial"/>
          <w:sz w:val="19"/>
          <w:szCs w:val="19"/>
          <w:color w:val="auto"/>
        </w:rPr>
        <w:t>” means a “parent corporation,” whether now or hereafter existing, as defined in Section</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424(e) of the Code.</w:t>
      </w:r>
    </w:p>
    <w:p>
      <w:pPr>
        <w:spacing w:after="0" w:line="228" w:lineRule="exact"/>
        <w:rPr>
          <w:rFonts w:ascii="Arial" w:cs="Arial" w:eastAsia="Arial" w:hAnsi="Arial"/>
          <w:sz w:val="19"/>
          <w:szCs w:val="19"/>
          <w:color w:val="auto"/>
        </w:rPr>
      </w:pPr>
    </w:p>
    <w:p>
      <w:pPr>
        <w:ind w:left="2860" w:hanging="1182"/>
        <w:spacing w:after="0"/>
        <w:tabs>
          <w:tab w:leader="none" w:pos="2860" w:val="left"/>
        </w:tabs>
        <w:numPr>
          <w:ilvl w:val="0"/>
          <w:numId w:val="1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w:t>
      </w:r>
      <w:r>
        <w:rPr>
          <w:rFonts w:ascii="Arial" w:cs="Arial" w:eastAsia="Arial" w:hAnsi="Arial"/>
          <w:sz w:val="22"/>
          <w:szCs w:val="22"/>
          <w:color w:val="auto"/>
        </w:rPr>
        <w:t>” means an Eligible Employee that participates in the Plan.</w:t>
      </w:r>
    </w:p>
    <w:p>
      <w:pPr>
        <w:spacing w:after="0" w:line="233" w:lineRule="exact"/>
        <w:rPr>
          <w:rFonts w:ascii="Arial" w:cs="Arial" w:eastAsia="Arial" w:hAnsi="Arial"/>
          <w:sz w:val="22"/>
          <w:szCs w:val="22"/>
          <w:color w:val="auto"/>
        </w:rPr>
      </w:pPr>
    </w:p>
    <w:p>
      <w:pPr>
        <w:ind w:left="2860" w:hanging="1182"/>
        <w:spacing w:after="0"/>
        <w:tabs>
          <w:tab w:leader="none" w:pos="2860" w:val="left"/>
        </w:tabs>
        <w:numPr>
          <w:ilvl w:val="0"/>
          <w:numId w:val="1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w:t>
      </w:r>
      <w:r>
        <w:rPr>
          <w:rFonts w:ascii="Arial" w:cs="Arial" w:eastAsia="Arial" w:hAnsi="Arial"/>
          <w:sz w:val="22"/>
          <w:szCs w:val="22"/>
          <w:color w:val="auto"/>
        </w:rPr>
        <w:t>” means this ORIC Pharmaceuticals, Inc. 2020 Employee Stock Purchase Plan.</w:t>
      </w:r>
    </w:p>
    <w:p>
      <w:pPr>
        <w:spacing w:after="0" w:line="233" w:lineRule="exact"/>
        <w:rPr>
          <w:sz w:val="20"/>
          <w:szCs w:val="20"/>
          <w:color w:val="auto"/>
        </w:rPr>
      </w:pPr>
    </w:p>
    <w:p>
      <w:pPr>
        <w:jc w:val="both"/>
        <w:ind w:firstLine="1678"/>
        <w:spacing w:after="0" w:line="266" w:lineRule="auto"/>
        <w:tabs>
          <w:tab w:leader="none" w:pos="2915" w:val="left"/>
        </w:tabs>
        <w:numPr>
          <w:ilvl w:val="0"/>
          <w:numId w:val="1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Purchase Period</w:t>
      </w:r>
      <w:r>
        <w:rPr>
          <w:rFonts w:ascii="Arial" w:cs="Arial" w:eastAsia="Arial" w:hAnsi="Arial"/>
          <w:sz w:val="22"/>
          <w:szCs w:val="22"/>
          <w:color w:val="auto"/>
        </w:rPr>
        <w:t>” means the approximately six (6)-month period commencing after one Exercise Date and ending with the next Exercise Date, except that the first Purchase Period of any Offering Period commences on the Offering Period’s Enrollment Date and ends on the next Exercise Date,</w:t>
      </w:r>
    </w:p>
    <w:p>
      <w:pPr>
        <w:spacing w:after="0" w:line="184" w:lineRule="exact"/>
        <w:rPr>
          <w:rFonts w:ascii="Arial" w:cs="Arial" w:eastAsia="Arial" w:hAnsi="Arial"/>
          <w:sz w:val="22"/>
          <w:szCs w:val="22"/>
          <w:color w:val="auto"/>
        </w:rPr>
      </w:pPr>
    </w:p>
    <w:p>
      <w:pPr>
        <w:jc w:val="both"/>
        <w:ind w:firstLine="1678"/>
        <w:spacing w:after="0" w:line="308" w:lineRule="auto"/>
        <w:tabs>
          <w:tab w:leader="none" w:pos="2861" w:val="left"/>
        </w:tabs>
        <w:numPr>
          <w:ilvl w:val="0"/>
          <w:numId w:val="1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Purchase Price</w:t>
      </w:r>
      <w:r>
        <w:rPr>
          <w:rFonts w:ascii="Arial" w:cs="Arial" w:eastAsia="Arial" w:hAnsi="Arial"/>
          <w:sz w:val="19"/>
          <w:szCs w:val="19"/>
          <w:color w:val="auto"/>
        </w:rPr>
        <w:t>” means the price per Share of the Shares purchased under any option granted under the Plan as determined by the Administrator from time to time, in its discretion and on a uniform and nondiscriminatory basis for all options to be granted on an Enrollment Date. However, in no event will the Purchase Price be less than eighty-five percent (85%) of the lower of the Fair Market Value of a share of Common Stock on the Enrollment Date or the Fair Market Value of a share of Common Stock on the Exercise Date and at all times in compliance with Section 423 of the Code (or any successor rule or provision or any other Applicable Law, regulation or stock exchange rule).</w:t>
      </w:r>
    </w:p>
    <w:p>
      <w:pPr>
        <w:spacing w:after="0" w:line="153" w:lineRule="exact"/>
        <w:rPr>
          <w:rFonts w:ascii="Arial" w:cs="Arial" w:eastAsia="Arial" w:hAnsi="Arial"/>
          <w:sz w:val="19"/>
          <w:szCs w:val="19"/>
          <w:color w:val="auto"/>
        </w:rPr>
      </w:pPr>
    </w:p>
    <w:p>
      <w:pPr>
        <w:ind w:left="2860" w:hanging="1182"/>
        <w:spacing w:after="0"/>
        <w:tabs>
          <w:tab w:leader="none" w:pos="2860" w:val="left"/>
        </w:tabs>
        <w:numPr>
          <w:ilvl w:val="0"/>
          <w:numId w:val="1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Registration Date</w:t>
      </w:r>
      <w:r>
        <w:rPr>
          <w:rFonts w:ascii="Arial" w:cs="Arial" w:eastAsia="Arial" w:hAnsi="Arial"/>
          <w:sz w:val="22"/>
          <w:szCs w:val="22"/>
          <w:color w:val="auto"/>
        </w:rPr>
        <w:t>” means the effective date of the Registration Statement.</w:t>
      </w:r>
    </w:p>
    <w:p>
      <w:pPr>
        <w:spacing w:after="0" w:line="233" w:lineRule="exact"/>
        <w:rPr>
          <w:rFonts w:ascii="Arial" w:cs="Arial" w:eastAsia="Arial" w:hAnsi="Arial"/>
          <w:sz w:val="22"/>
          <w:szCs w:val="22"/>
          <w:color w:val="auto"/>
        </w:rPr>
      </w:pPr>
    </w:p>
    <w:p>
      <w:pPr>
        <w:ind w:right="20" w:firstLine="1678"/>
        <w:spacing w:after="0" w:line="276" w:lineRule="auto"/>
        <w:tabs>
          <w:tab w:leader="none" w:pos="2847" w:val="left"/>
        </w:tabs>
        <w:numPr>
          <w:ilvl w:val="0"/>
          <w:numId w:val="1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Registration Statement</w:t>
      </w:r>
      <w:r>
        <w:rPr>
          <w:rFonts w:ascii="Arial" w:cs="Arial" w:eastAsia="Arial" w:hAnsi="Arial"/>
          <w:sz w:val="22"/>
          <w:szCs w:val="22"/>
          <w:color w:val="auto"/>
        </w:rPr>
        <w:t>” means the registration statement on Form S-1 filed with the Securities and Exchange Commission for the initial public offering of the Common Stock.</w:t>
      </w:r>
    </w:p>
    <w:p>
      <w:pPr>
        <w:spacing w:after="0" w:line="174" w:lineRule="exact"/>
        <w:rPr>
          <w:rFonts w:ascii="Arial" w:cs="Arial" w:eastAsia="Arial" w:hAnsi="Arial"/>
          <w:sz w:val="22"/>
          <w:szCs w:val="22"/>
          <w:color w:val="auto"/>
        </w:rPr>
      </w:pPr>
    </w:p>
    <w:p>
      <w:pPr>
        <w:ind w:left="2860" w:hanging="1182"/>
        <w:spacing w:after="0"/>
        <w:tabs>
          <w:tab w:leader="none" w:pos="2860" w:val="left"/>
        </w:tabs>
        <w:numPr>
          <w:ilvl w:val="0"/>
          <w:numId w:val="1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means a “subsidiary corporation,” whether now or hereafter existing, as defined in</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Section 424(f) of the Code.</w:t>
      </w:r>
    </w:p>
    <w:p>
      <w:pPr>
        <w:spacing w:after="0" w:line="228" w:lineRule="exact"/>
        <w:rPr>
          <w:rFonts w:ascii="Arial" w:cs="Arial" w:eastAsia="Arial" w:hAnsi="Arial"/>
          <w:sz w:val="19"/>
          <w:szCs w:val="19"/>
          <w:color w:val="auto"/>
        </w:rPr>
      </w:pPr>
    </w:p>
    <w:p>
      <w:pPr>
        <w:ind w:firstLine="1678"/>
        <w:spacing w:after="0" w:line="276" w:lineRule="auto"/>
        <w:tabs>
          <w:tab w:leader="none" w:pos="2874" w:val="left"/>
        </w:tabs>
        <w:numPr>
          <w:ilvl w:val="0"/>
          <w:numId w:val="1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Trading Day</w:t>
      </w:r>
      <w:r>
        <w:rPr>
          <w:rFonts w:ascii="Arial" w:cs="Arial" w:eastAsia="Arial" w:hAnsi="Arial"/>
          <w:sz w:val="22"/>
          <w:szCs w:val="22"/>
          <w:color w:val="auto"/>
        </w:rPr>
        <w:t>” means a day on which the national stock exchange upon which the Common Stock is listed is open for trading.</w:t>
      </w:r>
    </w:p>
    <w:p>
      <w:pPr>
        <w:spacing w:after="0" w:line="174" w:lineRule="exact"/>
        <w:rPr>
          <w:rFonts w:ascii="Arial" w:cs="Arial" w:eastAsia="Arial" w:hAnsi="Arial"/>
          <w:sz w:val="22"/>
          <w:szCs w:val="22"/>
          <w:color w:val="auto"/>
        </w:rPr>
      </w:pPr>
    </w:p>
    <w:p>
      <w:pPr>
        <w:ind w:right="20" w:firstLine="1678"/>
        <w:spacing w:after="0" w:line="258" w:lineRule="auto"/>
        <w:tabs>
          <w:tab w:leader="none" w:pos="2888" w:val="left"/>
        </w:tabs>
        <w:numPr>
          <w:ilvl w:val="0"/>
          <w:numId w:val="1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Treasury Regulations</w:t>
      </w:r>
      <w:r>
        <w:rPr>
          <w:rFonts w:ascii="Arial" w:cs="Arial" w:eastAsia="Arial" w:hAnsi="Arial"/>
          <w:sz w:val="22"/>
          <w:szCs w:val="22"/>
          <w:color w:val="auto"/>
        </w:rPr>
        <w:t>” means the Treasury regulations of the Code. Reference to a specific Treasury Regulation will include such Treasury Regulation, the section of the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5</w:t>
      </w: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34" w:right="339" w:bottom="1440" w:gutter="0" w:footer="0" w:header="0"/>
        </w:sectPr>
      </w:pPr>
    </w:p>
    <w:bookmarkStart w:id="83" w:name="page84"/>
    <w:bookmarkEnd w:id="83"/>
    <w:p>
      <w:pPr>
        <w:spacing w:after="0" w:line="276" w:lineRule="auto"/>
        <w:rPr>
          <w:sz w:val="20"/>
          <w:szCs w:val="20"/>
          <w:color w:val="auto"/>
        </w:rPr>
      </w:pPr>
      <w:r>
        <w:rPr>
          <w:rFonts w:ascii="Arial" w:cs="Arial" w:eastAsia="Arial" w:hAnsi="Arial"/>
          <w:sz w:val="22"/>
          <w:szCs w:val="22"/>
          <w:color w:val="auto"/>
        </w:rPr>
        <w:t>Code under which such regulation was promulgated, and any comparable provision of any future legislation or regulation amending, supplementing, or superseding such Section or regulation.</w:t>
      </w:r>
    </w:p>
    <w:p>
      <w:pPr>
        <w:spacing w:after="0" w:line="174" w:lineRule="exact"/>
        <w:rPr>
          <w:sz w:val="20"/>
          <w:szCs w:val="20"/>
          <w:color w:val="auto"/>
        </w:rPr>
      </w:pPr>
    </w:p>
    <w:p>
      <w:pPr>
        <w:ind w:left="1460" w:hanging="660"/>
        <w:spacing w:after="0"/>
        <w:tabs>
          <w:tab w:leader="none" w:pos="1460" w:val="left"/>
        </w:tabs>
        <w:numPr>
          <w:ilvl w:val="0"/>
          <w:numId w:val="18"/>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Eligibility</w:t>
      </w:r>
      <w:r>
        <w:rPr>
          <w:rFonts w:ascii="Arial" w:cs="Arial" w:eastAsia="Arial" w:hAnsi="Arial"/>
          <w:sz w:val="22"/>
          <w:szCs w:val="22"/>
          <w:color w:val="auto"/>
        </w:rPr>
        <w:t>.</w:t>
      </w:r>
    </w:p>
    <w:p>
      <w:pPr>
        <w:spacing w:after="0" w:line="233" w:lineRule="exact"/>
        <w:rPr>
          <w:rFonts w:ascii="Arial" w:cs="Arial" w:eastAsia="Arial" w:hAnsi="Arial"/>
          <w:sz w:val="22"/>
          <w:szCs w:val="22"/>
          <w:u w:val="single" w:color="auto"/>
          <w:color w:val="auto"/>
        </w:rPr>
      </w:pPr>
    </w:p>
    <w:p>
      <w:pPr>
        <w:ind w:right="20" w:firstLine="1678"/>
        <w:spacing w:after="0" w:line="276" w:lineRule="auto"/>
        <w:tabs>
          <w:tab w:leader="none" w:pos="2888" w:val="left"/>
        </w:tabs>
        <w:numPr>
          <w:ilvl w:val="2"/>
          <w:numId w:val="18"/>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Offering Periods</w:t>
      </w:r>
      <w:r>
        <w:rPr>
          <w:rFonts w:ascii="Arial" w:cs="Arial" w:eastAsia="Arial" w:hAnsi="Arial"/>
          <w:sz w:val="22"/>
          <w:szCs w:val="22"/>
          <w:color w:val="auto"/>
        </w:rPr>
        <w:t>. Any Eligible Employee on a given Enrollment Date will be eligible to participate in the Plan, subject to the requirements of Section 5.</w:t>
      </w:r>
    </w:p>
    <w:p>
      <w:pPr>
        <w:spacing w:after="0" w:line="174" w:lineRule="exact"/>
        <w:rPr>
          <w:rFonts w:ascii="Arial" w:cs="Arial" w:eastAsia="Arial" w:hAnsi="Arial"/>
          <w:sz w:val="22"/>
          <w:szCs w:val="22"/>
          <w:u w:val="single" w:color="auto"/>
          <w:color w:val="auto"/>
        </w:rPr>
      </w:pPr>
    </w:p>
    <w:p>
      <w:pPr>
        <w:jc w:val="both"/>
        <w:ind w:firstLine="1678"/>
        <w:spacing w:after="0" w:line="273" w:lineRule="auto"/>
        <w:tabs>
          <w:tab w:leader="none" w:pos="2915" w:val="left"/>
        </w:tabs>
        <w:numPr>
          <w:ilvl w:val="2"/>
          <w:numId w:val="18"/>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Non-U.S. Employees</w:t>
      </w:r>
      <w:r>
        <w:rPr>
          <w:rFonts w:ascii="Arial" w:cs="Arial" w:eastAsia="Arial" w:hAnsi="Arial"/>
          <w:sz w:val="21"/>
          <w:szCs w:val="21"/>
          <w:color w:val="auto"/>
        </w:rPr>
        <w:t>. Eligible Employees who are citizens or residents of a non-U.S. jurisdiction (without regard to whether they also are citizens or residents of the United States or resident aliens (within the meaning of Section 7701(b)(1)(A) of the Code)) may be excluded from participation in the Plan or an Offering if the participation of such Eligible Employees is prohibited under the laws of the applicable jurisdiction or if complying with the laws of the applicable jurisdiction would cause the Plan or an Offering to violate Section 423 of the Code. In the case of the Non-423 Component, Eligible Employees may be excluded from participation in the Plan or an Offering if the Administrator determines that participation of such Eligible Employees is not advisable or practicable.</w:t>
      </w:r>
    </w:p>
    <w:p>
      <w:pPr>
        <w:spacing w:after="0" w:line="183" w:lineRule="exact"/>
        <w:rPr>
          <w:rFonts w:ascii="Arial" w:cs="Arial" w:eastAsia="Arial" w:hAnsi="Arial"/>
          <w:sz w:val="21"/>
          <w:szCs w:val="21"/>
          <w:u w:val="single" w:color="auto"/>
          <w:color w:val="auto"/>
        </w:rPr>
      </w:pPr>
    </w:p>
    <w:p>
      <w:pPr>
        <w:jc w:val="both"/>
        <w:ind w:firstLine="1678"/>
        <w:spacing w:after="0" w:line="303" w:lineRule="auto"/>
        <w:tabs>
          <w:tab w:leader="none" w:pos="2847" w:val="left"/>
        </w:tabs>
        <w:numPr>
          <w:ilvl w:val="2"/>
          <w:numId w:val="18"/>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Limitations</w:t>
      </w:r>
      <w:r>
        <w:rPr>
          <w:rFonts w:ascii="Arial" w:cs="Arial" w:eastAsia="Arial" w:hAnsi="Arial"/>
          <w:sz w:val="19"/>
          <w:szCs w:val="19"/>
          <w:color w:val="auto"/>
        </w:rPr>
        <w:t>. Any provisions of the Plan to the contrary notwithstanding, no Eligible Employee will be granted an option under the Plan (i) to the extent that, immediately after the grant, such Eligible Employee (or any other person whose stock would be attributed to such Eligible Employee pursuant to Section 424(d) of the Code) would own capital stock of the Company or any Parent or Subsidiary of the Company and/or hold outstanding options to purchase such stock possessing five percent (5%) or more of the total combined voting power or value of all classes of the capital stock of the Company or of any Parent or Subsidiary of the Company, or (ii) to the extent that his or her rights to purchase stock under all employee stock purchase plans (as defined in Section 423 of the Code) of the Company or any Parent or Subsidiary of the Company accrues at a rate, which exceeds twenty-five thousand dollars ($25,000) worth of stock (determined at the Fair Market Value of the stock at the time such option is granted) for each calendar year in which such option is outstanding at any time, as determined in accordance with Section 423 of the Code and the regulations thereunder.</w:t>
      </w:r>
    </w:p>
    <w:p>
      <w:pPr>
        <w:spacing w:after="0" w:line="157" w:lineRule="exact"/>
        <w:rPr>
          <w:rFonts w:ascii="Arial" w:cs="Arial" w:eastAsia="Arial" w:hAnsi="Arial"/>
          <w:sz w:val="19"/>
          <w:szCs w:val="19"/>
          <w:u w:val="single" w:color="auto"/>
          <w:color w:val="auto"/>
        </w:rPr>
      </w:pPr>
    </w:p>
    <w:p>
      <w:pPr>
        <w:jc w:val="both"/>
        <w:ind w:left="760" w:firstLine="688"/>
        <w:spacing w:after="0" w:line="304" w:lineRule="auto"/>
        <w:tabs>
          <w:tab w:leader="none" w:pos="2050" w:val="left"/>
        </w:tabs>
        <w:numPr>
          <w:ilvl w:val="1"/>
          <w:numId w:val="18"/>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Offering Periods</w:t>
      </w:r>
      <w:r>
        <w:rPr>
          <w:rFonts w:ascii="Arial" w:cs="Arial" w:eastAsia="Arial" w:hAnsi="Arial"/>
          <w:sz w:val="19"/>
          <w:szCs w:val="19"/>
          <w:color w:val="auto"/>
        </w:rPr>
        <w:t>. The Plan will be implemented by consecutive Offering Periods with a new Offering Period commencing on the first Trading Day on or after June 10 and December 10 each year, or on such other dates as the Administrator will determine; provided, however, that the first Offering Period under the Plan will not commence until a date determined by the Administrator, in its discretion, and will end on a date determined by the Administrator, in its discretion, that is at least twenty-four (24) months later and no more than twenty-seven (27) months later, in each case on a uniform and nondiscriminatory basis. The Administrator will have the power to change the duration of Offering Periods (including the commencement dates thereof) with respect to future Offerings without stockholder approval if such change is announced prior to the scheduled beginning of the first Offering Period to be affected thereafter; provided, however, that no Offering Period may last more than twenty-seven (27) months.</w:t>
      </w:r>
    </w:p>
    <w:p>
      <w:pPr>
        <w:spacing w:after="0" w:line="155" w:lineRule="exact"/>
        <w:rPr>
          <w:sz w:val="20"/>
          <w:szCs w:val="20"/>
          <w:color w:val="auto"/>
        </w:rPr>
      </w:pPr>
    </w:p>
    <w:p>
      <w:pPr>
        <w:jc w:val="both"/>
        <w:ind w:firstLine="800"/>
        <w:spacing w:after="0" w:line="257" w:lineRule="auto"/>
        <w:tabs>
          <w:tab w:leader="none" w:pos="1478" w:val="left"/>
        </w:tabs>
        <w:numPr>
          <w:ilvl w:val="0"/>
          <w:numId w:val="19"/>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Participation</w:t>
      </w:r>
      <w:r>
        <w:rPr>
          <w:rFonts w:ascii="Arial" w:cs="Arial" w:eastAsia="Arial" w:hAnsi="Arial"/>
          <w:sz w:val="22"/>
          <w:szCs w:val="22"/>
          <w:color w:val="auto"/>
        </w:rPr>
        <w:t>. An Eligible Employee may participate in the Plan by (i) submitting to the Company’s stock administration office (or its designee) a properly completed subscription agreement authorizing Contributions in the form provided by the Administrator for such purpose or (ii) following</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6</w:t>
      </w: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34" w:right="339" w:bottom="1440" w:gutter="0" w:footer="0" w:header="0"/>
        </w:sectPr>
      </w:pPr>
    </w:p>
    <w:bookmarkStart w:id="84" w:name="page85"/>
    <w:bookmarkEnd w:id="84"/>
    <w:p>
      <w:pPr>
        <w:ind w:right="20"/>
        <w:spacing w:after="0" w:line="276" w:lineRule="auto"/>
        <w:rPr>
          <w:sz w:val="20"/>
          <w:szCs w:val="20"/>
          <w:color w:val="auto"/>
        </w:rPr>
      </w:pPr>
      <w:r>
        <w:rPr>
          <w:rFonts w:ascii="Arial" w:cs="Arial" w:eastAsia="Arial" w:hAnsi="Arial"/>
          <w:sz w:val="22"/>
          <w:szCs w:val="22"/>
          <w:color w:val="auto"/>
        </w:rPr>
        <w:t>an electronic or other enrollment procedure determined by the Administrator, in either case on or before a date determined by the Administrator prior to an applicable Enrollment Date.</w:t>
      </w:r>
    </w:p>
    <w:p>
      <w:pPr>
        <w:spacing w:after="0" w:line="174" w:lineRule="exact"/>
        <w:rPr>
          <w:sz w:val="20"/>
          <w:szCs w:val="20"/>
          <w:color w:val="auto"/>
        </w:rPr>
      </w:pPr>
    </w:p>
    <w:p>
      <w:pPr>
        <w:ind w:left="1460" w:hanging="660"/>
        <w:spacing w:after="0"/>
        <w:tabs>
          <w:tab w:leader="none" w:pos="1460" w:val="left"/>
        </w:tabs>
        <w:numPr>
          <w:ilvl w:val="0"/>
          <w:numId w:val="20"/>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Contributions</w:t>
      </w:r>
      <w:r>
        <w:rPr>
          <w:rFonts w:ascii="Arial" w:cs="Arial" w:eastAsia="Arial" w:hAnsi="Arial"/>
          <w:sz w:val="22"/>
          <w:szCs w:val="22"/>
          <w:color w:val="auto"/>
        </w:rPr>
        <w:t>.</w:t>
      </w:r>
    </w:p>
    <w:p>
      <w:pPr>
        <w:spacing w:after="0" w:line="233" w:lineRule="exact"/>
        <w:rPr>
          <w:rFonts w:ascii="Arial" w:cs="Arial" w:eastAsia="Arial" w:hAnsi="Arial"/>
          <w:sz w:val="22"/>
          <w:szCs w:val="22"/>
          <w:u w:val="single" w:color="auto"/>
          <w:color w:val="auto"/>
        </w:rPr>
      </w:pPr>
    </w:p>
    <w:p>
      <w:pPr>
        <w:jc w:val="both"/>
        <w:ind w:firstLine="1678"/>
        <w:spacing w:after="0" w:line="272" w:lineRule="auto"/>
        <w:tabs>
          <w:tab w:leader="none" w:pos="2861" w:val="left"/>
        </w:tabs>
        <w:numPr>
          <w:ilvl w:val="1"/>
          <w:numId w:val="20"/>
        </w:numPr>
        <w:rPr>
          <w:rFonts w:ascii="Arial" w:cs="Arial" w:eastAsia="Arial" w:hAnsi="Arial"/>
          <w:sz w:val="21"/>
          <w:szCs w:val="21"/>
          <w:color w:val="auto"/>
        </w:rPr>
      </w:pPr>
      <w:r>
        <w:rPr>
          <w:rFonts w:ascii="Arial" w:cs="Arial" w:eastAsia="Arial" w:hAnsi="Arial"/>
          <w:sz w:val="21"/>
          <w:szCs w:val="21"/>
          <w:color w:val="auto"/>
        </w:rPr>
        <w:t>At the time a Participant enrolls in the Plan pursuant to Section 5, he or she will elect to have Contributions (in the form of payroll deductions or otherwise, to the extent permitted by the Administrator) made on each pay day during the Offering Period in an amount not exceeding fifteen percent (15%%) of the Compensation that he or she receives on the pay day (for illustrative purposes, should a pay day occur on an Exercise Date, a Participant will have any Contributions made on such day applied to his or her account under the then-current Purchase Period or Offering Period). The Administrator, in its sole discretion, may permit all Participants in a specified Offering to contribute amounts to the Plan through payment by cash, check or other means set forth in the subscription agreement prior to each Exercise Date of each Purchase Period. A Participant’s subscription agreement will remain in effect for successive Offering Periods unless terminated as provided in Section 10 hereof.</w:t>
      </w:r>
    </w:p>
    <w:p>
      <w:pPr>
        <w:spacing w:after="0" w:line="182" w:lineRule="exact"/>
        <w:rPr>
          <w:rFonts w:ascii="Arial" w:cs="Arial" w:eastAsia="Arial" w:hAnsi="Arial"/>
          <w:sz w:val="21"/>
          <w:szCs w:val="21"/>
          <w:color w:val="auto"/>
        </w:rPr>
      </w:pPr>
    </w:p>
    <w:p>
      <w:pPr>
        <w:jc w:val="both"/>
        <w:ind w:firstLine="1678"/>
        <w:spacing w:after="0" w:line="262" w:lineRule="auto"/>
        <w:tabs>
          <w:tab w:leader="none" w:pos="2861" w:val="left"/>
        </w:tabs>
        <w:numPr>
          <w:ilvl w:val="1"/>
          <w:numId w:val="20"/>
        </w:numPr>
        <w:rPr>
          <w:rFonts w:ascii="Arial" w:cs="Arial" w:eastAsia="Arial" w:hAnsi="Arial"/>
          <w:sz w:val="22"/>
          <w:szCs w:val="22"/>
          <w:color w:val="auto"/>
        </w:rPr>
      </w:pPr>
      <w:r>
        <w:rPr>
          <w:rFonts w:ascii="Arial" w:cs="Arial" w:eastAsia="Arial" w:hAnsi="Arial"/>
          <w:sz w:val="22"/>
          <w:szCs w:val="22"/>
          <w:color w:val="auto"/>
        </w:rPr>
        <w:t>In the event Contributions are made in the form of payroll deductions, such payroll deductions for a Participant will commence on the first pay day following the Enrollment Date and will end on the last pay day on or prior to the last Exercise Date of such Offering Period to which such authorization is applicable, unless sooner terminated by the Participant as provided in Section 10 hereof.</w:t>
      </w:r>
    </w:p>
    <w:p>
      <w:pPr>
        <w:spacing w:after="0" w:line="191" w:lineRule="exact"/>
        <w:rPr>
          <w:rFonts w:ascii="Arial" w:cs="Arial" w:eastAsia="Arial" w:hAnsi="Arial"/>
          <w:sz w:val="22"/>
          <w:szCs w:val="22"/>
          <w:color w:val="auto"/>
        </w:rPr>
      </w:pPr>
    </w:p>
    <w:p>
      <w:pPr>
        <w:jc w:val="both"/>
        <w:ind w:firstLine="1678"/>
        <w:spacing w:after="0" w:line="266" w:lineRule="auto"/>
        <w:tabs>
          <w:tab w:leader="none" w:pos="2847" w:val="left"/>
        </w:tabs>
        <w:numPr>
          <w:ilvl w:val="1"/>
          <w:numId w:val="20"/>
        </w:numPr>
        <w:rPr>
          <w:rFonts w:ascii="Arial" w:cs="Arial" w:eastAsia="Arial" w:hAnsi="Arial"/>
          <w:sz w:val="22"/>
          <w:szCs w:val="22"/>
          <w:color w:val="auto"/>
        </w:rPr>
      </w:pPr>
      <w:r>
        <w:rPr>
          <w:rFonts w:ascii="Arial" w:cs="Arial" w:eastAsia="Arial" w:hAnsi="Arial"/>
          <w:sz w:val="22"/>
          <w:szCs w:val="22"/>
          <w:color w:val="auto"/>
        </w:rPr>
        <w:t>All Contributions made for a Participant will be credited to his or her account under the Plan and Contributions will be made in whole percentages of his or her Compensation only. A Participant may not make any additional payments into such account.</w:t>
      </w:r>
    </w:p>
    <w:p>
      <w:pPr>
        <w:spacing w:after="0" w:line="184" w:lineRule="exact"/>
        <w:rPr>
          <w:rFonts w:ascii="Arial" w:cs="Arial" w:eastAsia="Arial" w:hAnsi="Arial"/>
          <w:sz w:val="22"/>
          <w:szCs w:val="22"/>
          <w:color w:val="auto"/>
        </w:rPr>
      </w:pPr>
    </w:p>
    <w:p>
      <w:pPr>
        <w:ind w:left="2860" w:hanging="1182"/>
        <w:spacing w:after="0"/>
        <w:tabs>
          <w:tab w:leader="none" w:pos="2860" w:val="left"/>
        </w:tabs>
        <w:numPr>
          <w:ilvl w:val="1"/>
          <w:numId w:val="20"/>
        </w:numPr>
        <w:rPr>
          <w:rFonts w:ascii="Arial" w:cs="Arial" w:eastAsia="Arial" w:hAnsi="Arial"/>
          <w:sz w:val="19"/>
          <w:szCs w:val="19"/>
          <w:color w:val="auto"/>
        </w:rPr>
      </w:pPr>
      <w:r>
        <w:rPr>
          <w:rFonts w:ascii="Arial" w:cs="Arial" w:eastAsia="Arial" w:hAnsi="Arial"/>
          <w:sz w:val="19"/>
          <w:szCs w:val="19"/>
          <w:color w:val="auto"/>
        </w:rPr>
        <w:t>A Participant may discontinue his or her participation in the Plan as provided under Section 10.</w:t>
      </w:r>
    </w:p>
    <w:p>
      <w:pPr>
        <w:spacing w:after="0" w:line="267" w:lineRule="exact"/>
        <w:rPr>
          <w:rFonts w:ascii="Arial" w:cs="Arial" w:eastAsia="Arial" w:hAnsi="Arial"/>
          <w:sz w:val="19"/>
          <w:szCs w:val="19"/>
          <w:color w:val="auto"/>
        </w:rPr>
      </w:pPr>
    </w:p>
    <w:p>
      <w:pPr>
        <w:ind w:left="2860" w:hanging="1182"/>
        <w:spacing w:after="0"/>
        <w:tabs>
          <w:tab w:leader="none" w:pos="2860" w:val="left"/>
        </w:tabs>
        <w:numPr>
          <w:ilvl w:val="1"/>
          <w:numId w:val="20"/>
        </w:numPr>
        <w:rPr>
          <w:rFonts w:ascii="Arial" w:cs="Arial" w:eastAsia="Arial" w:hAnsi="Arial"/>
          <w:sz w:val="22"/>
          <w:szCs w:val="22"/>
          <w:color w:val="auto"/>
        </w:rPr>
      </w:pPr>
      <w:r>
        <w:rPr>
          <w:rFonts w:ascii="Arial" w:cs="Arial" w:eastAsia="Arial" w:hAnsi="Arial"/>
          <w:sz w:val="22"/>
          <w:szCs w:val="22"/>
          <w:color w:val="auto"/>
        </w:rPr>
        <w:t>Unless otherwise determined by the Administrator:</w:t>
      </w:r>
    </w:p>
    <w:p>
      <w:pPr>
        <w:spacing w:after="0" w:line="233" w:lineRule="exact"/>
        <w:rPr>
          <w:sz w:val="20"/>
          <w:szCs w:val="20"/>
          <w:color w:val="auto"/>
        </w:rPr>
      </w:pPr>
    </w:p>
    <w:p>
      <w:pPr>
        <w:jc w:val="both"/>
        <w:ind w:firstLine="2464"/>
        <w:spacing w:after="0" w:line="262" w:lineRule="auto"/>
        <w:rPr>
          <w:sz w:val="20"/>
          <w:szCs w:val="20"/>
          <w:color w:val="auto"/>
        </w:rPr>
      </w:pPr>
      <w:r>
        <w:rPr>
          <w:rFonts w:ascii="Arial" w:cs="Arial" w:eastAsia="Arial" w:hAnsi="Arial"/>
          <w:sz w:val="22"/>
          <w:szCs w:val="22"/>
          <w:color w:val="auto"/>
        </w:rPr>
        <w:t>(i) During any Purchase Period, and subject to satisfying the procedures set forth in this clause (e), a Participant may not increase the rate of his or her Contributions and may only decrease the rate of his or her Contributions up to two (2) times during such Purchase Period, provided that any decrease on the second time during such Purchase Period must be to a Contribution rate of zero percent (0%); and</w:t>
      </w:r>
    </w:p>
    <w:p>
      <w:pPr>
        <w:spacing w:after="0" w:line="191" w:lineRule="exact"/>
        <w:rPr>
          <w:sz w:val="20"/>
          <w:szCs w:val="20"/>
          <w:color w:val="auto"/>
        </w:rPr>
      </w:pPr>
    </w:p>
    <w:p>
      <w:pPr>
        <w:jc w:val="both"/>
        <w:ind w:firstLine="2418"/>
        <w:spacing w:after="0" w:line="276" w:lineRule="auto"/>
        <w:rPr>
          <w:sz w:val="20"/>
          <w:szCs w:val="20"/>
          <w:color w:val="auto"/>
        </w:rPr>
      </w:pPr>
      <w:r>
        <w:rPr>
          <w:rFonts w:ascii="Arial" w:cs="Arial" w:eastAsia="Arial" w:hAnsi="Arial"/>
          <w:sz w:val="21"/>
          <w:szCs w:val="21"/>
          <w:color w:val="auto"/>
        </w:rPr>
        <w:t>(ii) During any Offering Period, and subject to satisfying the procedures set forth in this clause (e), a Participant may increase the rate of his or her Contributions to an amount not exceeding fifteen percent (15%) of the Compensation which he or she receives on each pay day during the Offering Period (or if less, the maximum amount allowed by the ESPP), provided that any such change in Contribution rate will be effective at the beginning of the next Purchase Period in such Offering Period that immediately follows the date of such change; and</w:t>
      </w:r>
    </w:p>
    <w:p>
      <w:pPr>
        <w:spacing w:after="0" w:line="177" w:lineRule="exact"/>
        <w:rPr>
          <w:sz w:val="20"/>
          <w:szCs w:val="20"/>
          <w:color w:val="auto"/>
        </w:rPr>
      </w:pPr>
    </w:p>
    <w:p>
      <w:pPr>
        <w:jc w:val="both"/>
        <w:ind w:firstLine="2372"/>
        <w:spacing w:after="0" w:line="257" w:lineRule="auto"/>
        <w:rPr>
          <w:sz w:val="20"/>
          <w:szCs w:val="20"/>
          <w:color w:val="auto"/>
        </w:rPr>
      </w:pPr>
      <w:r>
        <w:rPr>
          <w:rFonts w:ascii="Arial" w:cs="Arial" w:eastAsia="Arial" w:hAnsi="Arial"/>
          <w:sz w:val="22"/>
          <w:szCs w:val="22"/>
          <w:color w:val="auto"/>
        </w:rPr>
        <w:t>(iii) Any such increase or decrease in a Participant’s rate of Contributions requires the Participant to (i) properly complete and submit to the Company’s stock administration office (or its designee) a new subscription agreement authorizing the change in Contribution rate in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7</w:t>
      </w: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34" w:right="339" w:bottom="1440" w:gutter="0" w:footer="0" w:header="0"/>
        </w:sectPr>
      </w:pPr>
    </w:p>
    <w:bookmarkStart w:id="85" w:name="page86"/>
    <w:bookmarkEnd w:id="85"/>
    <w:p>
      <w:pPr>
        <w:jc w:val="both"/>
        <w:spacing w:after="0" w:line="264" w:lineRule="auto"/>
        <w:rPr>
          <w:sz w:val="20"/>
          <w:szCs w:val="20"/>
          <w:color w:val="auto"/>
        </w:rPr>
      </w:pPr>
      <w:r>
        <w:rPr>
          <w:rFonts w:ascii="Arial" w:cs="Arial" w:eastAsia="Arial" w:hAnsi="Arial"/>
          <w:sz w:val="21"/>
          <w:szCs w:val="21"/>
          <w:color w:val="auto"/>
        </w:rPr>
        <w:t>the form provided by the Administrator for such purpose, or (ii) follow an electronic or other procedure prescribed by the Administrator, in either case, on or before a date determined by the Administrator prior to an applicable Exercise Date or, with respect to increases or decreases in a Participant’s rate of Contributions applicable to a future Offering Period, on or before the Enrollment Date of such Offering Period. If a Participant has not followed such procedures to change the rate of Contributions, the rate of his or her Contributions will continue at the originally elected rate throughout the Purchase Period and future Offering Periods and Purchase Periods (unless the Participant’s participation is terminated as provided in Sections 10 or 11). The Administrator may, in its sole discretion, amend the nature and/or number of Contribution rate changes that may be made by Participants during any Offering Period or Purchase Period and may establish other conditions or limitations as it deems appropriate for Plan administration. Except as otherwise provided in this subsection (e), any change in the rate of Contributions made pursuant to this Section 6(e) will be effective as of the first (1</w:t>
      </w:r>
      <w:r>
        <w:rPr>
          <w:rFonts w:ascii="Arial" w:cs="Arial" w:eastAsia="Arial" w:hAnsi="Arial"/>
          <w:sz w:val="27"/>
          <w:szCs w:val="27"/>
          <w:color w:val="auto"/>
          <w:vertAlign w:val="superscript"/>
        </w:rPr>
        <w:t>st</w:t>
      </w:r>
      <w:r>
        <w:rPr>
          <w:rFonts w:ascii="Arial" w:cs="Arial" w:eastAsia="Arial" w:hAnsi="Arial"/>
          <w:sz w:val="21"/>
          <w:szCs w:val="21"/>
          <w:color w:val="auto"/>
        </w:rPr>
        <w:t>) full payroll period following five (5) business days after the date on which the change is made by the Participant (unless the Administrator, in its sole discretion, elects to process a given change in payroll deduction rate more quickly).</w:t>
      </w:r>
    </w:p>
    <w:p>
      <w:pPr>
        <w:spacing w:after="0" w:line="193" w:lineRule="exact"/>
        <w:rPr>
          <w:sz w:val="20"/>
          <w:szCs w:val="20"/>
          <w:color w:val="auto"/>
        </w:rPr>
      </w:pPr>
    </w:p>
    <w:p>
      <w:pPr>
        <w:jc w:val="both"/>
        <w:ind w:firstLine="1678"/>
        <w:spacing w:after="0" w:line="276" w:lineRule="auto"/>
        <w:tabs>
          <w:tab w:leader="none" w:pos="2847" w:val="left"/>
        </w:tabs>
        <w:numPr>
          <w:ilvl w:val="0"/>
          <w:numId w:val="21"/>
        </w:numPr>
        <w:rPr>
          <w:rFonts w:ascii="Arial" w:cs="Arial" w:eastAsia="Arial" w:hAnsi="Arial"/>
          <w:sz w:val="21"/>
          <w:szCs w:val="21"/>
          <w:color w:val="auto"/>
        </w:rPr>
      </w:pPr>
      <w:r>
        <w:rPr>
          <w:rFonts w:ascii="Arial" w:cs="Arial" w:eastAsia="Arial" w:hAnsi="Arial"/>
          <w:sz w:val="21"/>
          <w:szCs w:val="21"/>
          <w:color w:val="auto"/>
        </w:rPr>
        <w:t>Notwithstanding the foregoing, to the extent necessary to comply with Section 423(b)(8) of the Code and Section 3(d), a Participant’s Contributions may be decreased to zero percent (0%) at any time during a Purchase Period. Subject to Section 423(b)(8) of the Code and Section 3(d) hereof, Contributions will recommence at the rate originally elected by the Participant effective as of the beginning of the first Purchase Period scheduled to end in the following calendar year, unless terminated by the Participant as provided in Section 10.</w:t>
      </w:r>
    </w:p>
    <w:p>
      <w:pPr>
        <w:spacing w:after="0" w:line="177" w:lineRule="exact"/>
        <w:rPr>
          <w:rFonts w:ascii="Arial" w:cs="Arial" w:eastAsia="Arial" w:hAnsi="Arial"/>
          <w:sz w:val="21"/>
          <w:szCs w:val="21"/>
          <w:color w:val="auto"/>
        </w:rPr>
      </w:pPr>
    </w:p>
    <w:p>
      <w:pPr>
        <w:jc w:val="both"/>
        <w:ind w:firstLine="1678"/>
        <w:spacing w:after="0" w:line="262" w:lineRule="auto"/>
        <w:tabs>
          <w:tab w:leader="none" w:pos="2901" w:val="left"/>
        </w:tabs>
        <w:numPr>
          <w:ilvl w:val="0"/>
          <w:numId w:val="21"/>
        </w:numPr>
        <w:rPr>
          <w:rFonts w:ascii="Arial" w:cs="Arial" w:eastAsia="Arial" w:hAnsi="Arial"/>
          <w:sz w:val="22"/>
          <w:szCs w:val="22"/>
          <w:color w:val="auto"/>
        </w:rPr>
      </w:pPr>
      <w:r>
        <w:rPr>
          <w:rFonts w:ascii="Arial" w:cs="Arial" w:eastAsia="Arial" w:hAnsi="Arial"/>
          <w:sz w:val="22"/>
          <w:szCs w:val="22"/>
          <w:color w:val="auto"/>
        </w:rPr>
        <w:t>Notwithstanding any provisions to the contrary in the Plan, the Administrator may allow Participants to participate in the Plan via cash contributions instead of payroll deductions if (i) payroll deductions are not permitted under applicable local law, (ii) the Administrator determines that cash contributions are permissible under Section 423 of the Code; or (iii) the Participants are participating in the Non-423 Component.</w:t>
      </w:r>
    </w:p>
    <w:p>
      <w:pPr>
        <w:spacing w:after="0" w:line="191" w:lineRule="exact"/>
        <w:rPr>
          <w:rFonts w:ascii="Arial" w:cs="Arial" w:eastAsia="Arial" w:hAnsi="Arial"/>
          <w:sz w:val="22"/>
          <w:szCs w:val="22"/>
          <w:color w:val="auto"/>
        </w:rPr>
      </w:pPr>
    </w:p>
    <w:p>
      <w:pPr>
        <w:jc w:val="both"/>
        <w:ind w:firstLine="1678"/>
        <w:spacing w:after="0" w:line="270" w:lineRule="exact"/>
        <w:tabs>
          <w:tab w:leader="none" w:pos="2847" w:val="left"/>
        </w:tabs>
        <w:numPr>
          <w:ilvl w:val="0"/>
          <w:numId w:val="21"/>
        </w:numPr>
        <w:rPr>
          <w:rFonts w:ascii="Arial" w:cs="Arial" w:eastAsia="Arial" w:hAnsi="Arial"/>
          <w:sz w:val="21"/>
          <w:szCs w:val="21"/>
          <w:color w:val="auto"/>
        </w:rPr>
      </w:pPr>
      <w:r>
        <w:rPr>
          <w:rFonts w:ascii="Arial" w:cs="Arial" w:eastAsia="Arial" w:hAnsi="Arial"/>
          <w:sz w:val="21"/>
          <w:szCs w:val="21"/>
          <w:color w:val="auto"/>
        </w:rPr>
        <w:t>At the time the option is exercised, in whole or in part, or at the time some or all of the Common Stock issued under the Plan is disposed of (or any other time that a taxable event related to the Plan occurs), the Participant must make adequate provision for the Company’s or Employer’s federal, state, local or any other tax liability payable to any authority including taxes imposed by jurisdictions outside of the U.S., national insurance, social security or other tax withholding obligations, if any, which arise upon the exercise of the option or the disposition of the Common Stock (or any other time that a taxable event related to the Plan occurs). At any time, the Company or the Employer may, but will not be obligated to, withhold from the Participant’s compensation the amount necessary for the Company or the Employer to meet applicable withholding obligations, including any withholding required to make available to the Company or the Employer any tax deductions or benefits attributable to sale or early disposition of Common Stock by the Eligible Employee. In addition, the Company or the Employer may, but will not be obligated to, withhold from the proceeds of the sale of Common Stock or any other method of withholding the Company or the Employer deems appropriate to the extent permitted by U.S. Treasury Regulation Section 1.423</w:t>
      </w:r>
      <w:r>
        <w:rPr>
          <w:rFonts w:ascii="MS PGothic" w:cs="MS PGothic" w:eastAsia="MS PGothic" w:hAnsi="MS PGothic"/>
          <w:sz w:val="21"/>
          <w:szCs w:val="21"/>
          <w:color w:val="auto"/>
        </w:rPr>
        <w:t>‑</w:t>
      </w:r>
      <w:r>
        <w:rPr>
          <w:rFonts w:ascii="Arial" w:cs="Arial" w:eastAsia="Arial" w:hAnsi="Arial"/>
          <w:sz w:val="21"/>
          <w:szCs w:val="21"/>
          <w:color w:val="auto"/>
        </w:rPr>
        <w:t>2(f).</w:t>
      </w:r>
    </w:p>
    <w:p>
      <w:pPr>
        <w:spacing w:after="0" w:line="220" w:lineRule="exact"/>
        <w:rPr>
          <w:sz w:val="20"/>
          <w:szCs w:val="20"/>
          <w:color w:val="auto"/>
        </w:rPr>
      </w:pPr>
    </w:p>
    <w:p>
      <w:pPr>
        <w:ind w:firstLine="800"/>
        <w:spacing w:after="0" w:line="258" w:lineRule="auto"/>
        <w:tabs>
          <w:tab w:leader="none" w:pos="1451" w:val="left"/>
        </w:tabs>
        <w:numPr>
          <w:ilvl w:val="0"/>
          <w:numId w:val="22"/>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Grant of Option</w:t>
      </w:r>
      <w:r>
        <w:rPr>
          <w:rFonts w:ascii="Arial" w:cs="Arial" w:eastAsia="Arial" w:hAnsi="Arial"/>
          <w:sz w:val="22"/>
          <w:szCs w:val="22"/>
          <w:color w:val="auto"/>
        </w:rPr>
        <w:t>. On the Enrollment Date of each Offering Period, each Eligible Employee participating in such Offering Period will be granted an option to purchase on each Exercise Date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8</w:t>
      </w: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34" w:right="339" w:bottom="1440" w:gutter="0" w:footer="0" w:header="0"/>
        </w:sectPr>
      </w:pPr>
    </w:p>
    <w:bookmarkStart w:id="86" w:name="page87"/>
    <w:bookmarkEnd w:id="86"/>
    <w:p>
      <w:pPr>
        <w:jc w:val="both"/>
        <w:spacing w:after="0" w:line="271" w:lineRule="auto"/>
        <w:rPr>
          <w:sz w:val="20"/>
          <w:szCs w:val="20"/>
          <w:color w:val="auto"/>
        </w:rPr>
      </w:pPr>
      <w:r>
        <w:rPr>
          <w:rFonts w:ascii="Arial" w:cs="Arial" w:eastAsia="Arial" w:hAnsi="Arial"/>
          <w:sz w:val="21"/>
          <w:szCs w:val="21"/>
          <w:color w:val="auto"/>
        </w:rPr>
        <w:t>during such Offering Period (at the applicable Purchase Price) up to a number of shares of Common Stock determined by dividing such Eligible Employee’s Contributions accumulated prior to such Exercise Date and retained in the Eligible Employee’s account as of the Exercise Date by the applicable Purchase Price; provided that in no event will an Eligible Employee be permitted to purchase during each Purchase Period more than 4,000 shares of Common Stock (subject to any adjustment pursuant to Section 19) and provided further that such purchase will be subject to the limitations set forth in Sections 3(d) and 13. The Eligible Employee may accept the grant of such option by electing to participate in the Plan in accordance with the requirements of Section 5. The Administrator may, for future Offering Periods, increase or decrease, in its absolute discretion, the maximum number of shares of Common Stock that an Eligible Employee may purchase during each Purchase Period. Exercise of the option will occur as provided in Section 8, unless the Participant has withdrawn pursuant to Section 10. The option will expire on the last day of the Offering Period.</w:t>
      </w:r>
    </w:p>
    <w:p>
      <w:pPr>
        <w:spacing w:after="0" w:line="189" w:lineRule="exact"/>
        <w:rPr>
          <w:sz w:val="20"/>
          <w:szCs w:val="20"/>
          <w:color w:val="auto"/>
        </w:rPr>
      </w:pPr>
    </w:p>
    <w:p>
      <w:pPr>
        <w:ind w:left="2040" w:hanging="592"/>
        <w:spacing w:after="0"/>
        <w:tabs>
          <w:tab w:leader="none" w:pos="2040" w:val="left"/>
        </w:tabs>
        <w:numPr>
          <w:ilvl w:val="1"/>
          <w:numId w:val="23"/>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Exercise of Option</w:t>
      </w:r>
      <w:r>
        <w:rPr>
          <w:rFonts w:ascii="Arial" w:cs="Arial" w:eastAsia="Arial" w:hAnsi="Arial"/>
          <w:sz w:val="22"/>
          <w:szCs w:val="22"/>
          <w:color w:val="auto"/>
        </w:rPr>
        <w:t>.</w:t>
      </w:r>
    </w:p>
    <w:p>
      <w:pPr>
        <w:spacing w:after="0" w:line="233" w:lineRule="exact"/>
        <w:rPr>
          <w:rFonts w:ascii="Arial" w:cs="Arial" w:eastAsia="Arial" w:hAnsi="Arial"/>
          <w:sz w:val="22"/>
          <w:szCs w:val="22"/>
          <w:u w:val="single" w:color="auto"/>
          <w:color w:val="auto"/>
        </w:rPr>
      </w:pPr>
    </w:p>
    <w:p>
      <w:pPr>
        <w:jc w:val="both"/>
        <w:ind w:firstLine="1678"/>
        <w:spacing w:after="0" w:line="305" w:lineRule="auto"/>
        <w:tabs>
          <w:tab w:leader="none" w:pos="2847" w:val="left"/>
        </w:tabs>
        <w:numPr>
          <w:ilvl w:val="2"/>
          <w:numId w:val="23"/>
        </w:numPr>
        <w:rPr>
          <w:rFonts w:ascii="Arial" w:cs="Arial" w:eastAsia="Arial" w:hAnsi="Arial"/>
          <w:sz w:val="19"/>
          <w:szCs w:val="19"/>
          <w:color w:val="auto"/>
        </w:rPr>
      </w:pPr>
      <w:r>
        <w:rPr>
          <w:rFonts w:ascii="Arial" w:cs="Arial" w:eastAsia="Arial" w:hAnsi="Arial"/>
          <w:sz w:val="19"/>
          <w:szCs w:val="19"/>
          <w:color w:val="auto"/>
        </w:rPr>
        <w:t>Unless a Participant withdraws from the Plan as provided in Section 10, his or her option for the purchase of shares of Common Stock will be exercised automatically on each Exercise Date, and the maximum number of full shares subject to the option will be purchased for such Participant at the applicable Purchase Price with the accumulated Contributions from his or her account. No fractional shares of Common Stock will be purchased; any Contributions accumulated in a Participant’s account, which are not sufficient to purchase a full share will be retained in the Participant’s account for the subsequent Purchase Period or Offering Period, subject to earlier withdrawal by the Participant as provided in Section 10. Any other funds left over in a Participant’s account after the Exercise Date will be returned to the Participant. During a Participant’s lifetime, a Participant’s option to purchase shares hereunder is exercisable only by him or her.</w:t>
      </w:r>
    </w:p>
    <w:p>
      <w:pPr>
        <w:spacing w:after="0" w:line="154" w:lineRule="exact"/>
        <w:rPr>
          <w:rFonts w:ascii="Arial" w:cs="Arial" w:eastAsia="Arial" w:hAnsi="Arial"/>
          <w:sz w:val="19"/>
          <w:szCs w:val="19"/>
          <w:color w:val="auto"/>
        </w:rPr>
      </w:pPr>
    </w:p>
    <w:p>
      <w:pPr>
        <w:jc w:val="both"/>
        <w:ind w:firstLine="1678"/>
        <w:spacing w:after="0" w:line="301" w:lineRule="auto"/>
        <w:tabs>
          <w:tab w:leader="none" w:pos="2847" w:val="left"/>
        </w:tabs>
        <w:numPr>
          <w:ilvl w:val="2"/>
          <w:numId w:val="23"/>
        </w:numPr>
        <w:rPr>
          <w:rFonts w:ascii="Arial" w:cs="Arial" w:eastAsia="Arial" w:hAnsi="Arial"/>
          <w:sz w:val="19"/>
          <w:szCs w:val="19"/>
          <w:color w:val="auto"/>
        </w:rPr>
      </w:pPr>
      <w:r>
        <w:rPr>
          <w:rFonts w:ascii="Arial" w:cs="Arial" w:eastAsia="Arial" w:hAnsi="Arial"/>
          <w:sz w:val="19"/>
          <w:szCs w:val="19"/>
          <w:color w:val="auto"/>
        </w:rPr>
        <w:t>If the Administrator determines that, on a given Exercise Date, the number of shares of Common Stock with respect to which options are to be exercised may exceed (i) the number of shares of Common Stock that were available for sale under the Plan on the Enrollment Date of the applicable Offering Period, or (ii) the number of shares of Common Stock available for sale under the Plan on such Exercise Date, the Administrator may in its sole discretion (x) provide that the Company will make a pro rata allocation of the shares of Common Stock available for purchase on such Enrollment Date or Exercise Date, as applicable, in as uniform a manner as will be practicable and as it will determine in its sole discretion to be equitable among all Participants exercising options to purchase Common Stock on such Exercise Date, and continue all Offering Periods then in effect or (y) provide that the Company will make a pro rata allocation of the shares of Common Stock available for purchase on such Enrollment Date or Exercise Date, as applicable, in as uniform a manner as will be practicable and as it will determine in its sole discretion to be equitable among all participants exercising options to purchase Common Stock on such Exercise Date, and terminate any or all Offering Periods then in effect pursuant to Section 20. The Company may make a pro rata allocation of the shares available on the Enrollment Date of any applicable Offering Period pursuant to the preceding sentence, notwithstanding any authorization of additional shares for issuance under the Plan by the Company’s stockholders subsequent to such Enrollment Date.</w:t>
      </w:r>
    </w:p>
    <w:p>
      <w:pPr>
        <w:spacing w:after="0" w:line="200" w:lineRule="exact"/>
        <w:rPr>
          <w:rFonts w:ascii="Arial" w:cs="Arial" w:eastAsia="Arial" w:hAnsi="Arial"/>
          <w:sz w:val="19"/>
          <w:szCs w:val="19"/>
          <w:color w:val="auto"/>
        </w:rPr>
      </w:pPr>
    </w:p>
    <w:p>
      <w:pPr>
        <w:spacing w:after="0" w:line="233" w:lineRule="exact"/>
        <w:rPr>
          <w:rFonts w:ascii="Arial" w:cs="Arial" w:eastAsia="Arial" w:hAnsi="Arial"/>
          <w:sz w:val="19"/>
          <w:szCs w:val="19"/>
          <w:color w:val="auto"/>
        </w:rPr>
      </w:pPr>
    </w:p>
    <w:p>
      <w:pPr>
        <w:jc w:val="both"/>
        <w:ind w:firstLine="800"/>
        <w:spacing w:after="0" w:line="257" w:lineRule="auto"/>
        <w:tabs>
          <w:tab w:leader="none" w:pos="1451" w:val="left"/>
        </w:tabs>
        <w:numPr>
          <w:ilvl w:val="0"/>
          <w:numId w:val="24"/>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Delivery</w:t>
      </w:r>
      <w:r>
        <w:rPr>
          <w:rFonts w:ascii="Arial" w:cs="Arial" w:eastAsia="Arial" w:hAnsi="Arial"/>
          <w:sz w:val="22"/>
          <w:szCs w:val="22"/>
          <w:color w:val="auto"/>
        </w:rPr>
        <w:t>. As soon as reasonably practicable after each Exercise Date on which a purchase of shares of Common Stock occurs, the Company will arrange the delivery to each Participant of the shares purchased upon exercise of his or her option in a form determined by the Administrator (in its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9</w:t>
      </w: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34" w:right="339" w:bottom="1440" w:gutter="0" w:footer="0" w:header="0"/>
        </w:sectPr>
      </w:pPr>
    </w:p>
    <w:bookmarkStart w:id="87" w:name="page88"/>
    <w:bookmarkEnd w:id="87"/>
    <w:p>
      <w:pPr>
        <w:jc w:val="both"/>
        <w:spacing w:after="0" w:line="261" w:lineRule="auto"/>
        <w:rPr>
          <w:sz w:val="20"/>
          <w:szCs w:val="20"/>
          <w:color w:val="auto"/>
        </w:rPr>
      </w:pPr>
      <w:r>
        <w:rPr>
          <w:rFonts w:ascii="Arial" w:cs="Arial" w:eastAsia="Arial" w:hAnsi="Arial"/>
          <w:sz w:val="22"/>
          <w:szCs w:val="22"/>
          <w:color w:val="auto"/>
        </w:rPr>
        <w:t>sole discretion) and pursuant to rules established by the Administrator. The Company may permit or require that shares be deposited directly with a broker designated by the Company or to a designated agent of the Company, and the Company may utilize electronic or automated methods of share transfer. The Company may require that shares be retained with such broker or agent for a designated period of time and/or may establish other procedures to permit tracking of disqualifying dispositions of such shares.</w:t>
      </w:r>
    </w:p>
    <w:p>
      <w:pPr>
        <w:spacing w:after="0" w:line="190" w:lineRule="exact"/>
        <w:rPr>
          <w:sz w:val="20"/>
          <w:szCs w:val="20"/>
          <w:color w:val="auto"/>
        </w:rPr>
      </w:pPr>
    </w:p>
    <w:p>
      <w:pPr>
        <w:ind w:left="1460" w:hanging="660"/>
        <w:spacing w:after="0"/>
        <w:tabs>
          <w:tab w:leader="none" w:pos="1460" w:val="left"/>
        </w:tabs>
        <w:numPr>
          <w:ilvl w:val="0"/>
          <w:numId w:val="25"/>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Withdrawal</w:t>
      </w:r>
      <w:r>
        <w:rPr>
          <w:rFonts w:ascii="Arial" w:cs="Arial" w:eastAsia="Arial" w:hAnsi="Arial"/>
          <w:sz w:val="22"/>
          <w:szCs w:val="22"/>
          <w:color w:val="auto"/>
        </w:rPr>
        <w:t>.</w:t>
      </w:r>
    </w:p>
    <w:p>
      <w:pPr>
        <w:spacing w:after="0" w:line="233" w:lineRule="exact"/>
        <w:rPr>
          <w:rFonts w:ascii="Arial" w:cs="Arial" w:eastAsia="Arial" w:hAnsi="Arial"/>
          <w:sz w:val="22"/>
          <w:szCs w:val="22"/>
          <w:u w:val="single" w:color="auto"/>
          <w:color w:val="auto"/>
        </w:rPr>
      </w:pPr>
    </w:p>
    <w:p>
      <w:pPr>
        <w:jc w:val="both"/>
        <w:ind w:firstLine="1678"/>
        <w:spacing w:after="0" w:line="272" w:lineRule="auto"/>
        <w:tabs>
          <w:tab w:leader="none" w:pos="2874" w:val="left"/>
        </w:tabs>
        <w:numPr>
          <w:ilvl w:val="1"/>
          <w:numId w:val="25"/>
        </w:numPr>
        <w:rPr>
          <w:rFonts w:ascii="Arial" w:cs="Arial" w:eastAsia="Arial" w:hAnsi="Arial"/>
          <w:sz w:val="21"/>
          <w:szCs w:val="21"/>
          <w:color w:val="auto"/>
        </w:rPr>
      </w:pPr>
      <w:r>
        <w:rPr>
          <w:rFonts w:ascii="Arial" w:cs="Arial" w:eastAsia="Arial" w:hAnsi="Arial"/>
          <w:sz w:val="21"/>
          <w:szCs w:val="21"/>
          <w:color w:val="auto"/>
        </w:rPr>
        <w:t xml:space="preserve">A Participant may withdraw all but not less than all the Contributions credited to his or her account and not yet used to exercise his or her option under the Plan at any time by (i) submitting to the Company’s stock administration office (or its designee) a written notice of withdrawal in the form determined by the Administrator for such purpose (which may be similar to the form attached hereto as </w:t>
      </w:r>
      <w:r>
        <w:rPr>
          <w:rFonts w:ascii="Arial" w:cs="Arial" w:eastAsia="Arial" w:hAnsi="Arial"/>
          <w:sz w:val="21"/>
          <w:szCs w:val="21"/>
          <w:u w:val="single" w:color="auto"/>
          <w:color w:val="auto"/>
        </w:rPr>
        <w:t>Exhibit B</w:t>
      </w:r>
      <w:r>
        <w:rPr>
          <w:rFonts w:ascii="Arial" w:cs="Arial" w:eastAsia="Arial" w:hAnsi="Arial"/>
          <w:sz w:val="21"/>
          <w:szCs w:val="21"/>
          <w:color w:val="auto"/>
        </w:rPr>
        <w:t>), or (ii) following an electronic or other withdrawal procedure determined by the Administrator. All of the Participant’s Contributions credited to his or her account will be paid to such Participant promptly after receipt of notice of withdrawal and such Participant’s option for the Offering Period will be automatically terminated, and no further Contributions for the purchase of shares will be made for such Offering Period. If a Participant withdraws from an Offering Period, Contributions will not resume at the beginning of the succeeding Offering Period, unless the Participant re-enrolls in the Plan in accordance with the provisions of Section 5.</w:t>
      </w:r>
    </w:p>
    <w:p>
      <w:pPr>
        <w:spacing w:after="0" w:line="182" w:lineRule="exact"/>
        <w:rPr>
          <w:rFonts w:ascii="Arial" w:cs="Arial" w:eastAsia="Arial" w:hAnsi="Arial"/>
          <w:sz w:val="21"/>
          <w:szCs w:val="21"/>
          <w:color w:val="auto"/>
        </w:rPr>
      </w:pPr>
    </w:p>
    <w:p>
      <w:pPr>
        <w:jc w:val="both"/>
        <w:ind w:firstLine="1678"/>
        <w:spacing w:after="0" w:line="266" w:lineRule="auto"/>
        <w:tabs>
          <w:tab w:leader="none" w:pos="2888" w:val="left"/>
        </w:tabs>
        <w:numPr>
          <w:ilvl w:val="1"/>
          <w:numId w:val="25"/>
        </w:numPr>
        <w:rPr>
          <w:rFonts w:ascii="Arial" w:cs="Arial" w:eastAsia="Arial" w:hAnsi="Arial"/>
          <w:sz w:val="22"/>
          <w:szCs w:val="22"/>
          <w:color w:val="auto"/>
        </w:rPr>
      </w:pPr>
      <w:r>
        <w:rPr>
          <w:rFonts w:ascii="Arial" w:cs="Arial" w:eastAsia="Arial" w:hAnsi="Arial"/>
          <w:sz w:val="22"/>
          <w:szCs w:val="22"/>
          <w:color w:val="auto"/>
        </w:rPr>
        <w:t>A Participant’s withdrawal from an Offering Period will not have any effect on his or her eligibility to participate in any similar plan that may hereafter be adopted by the Company or in succeeding Offering Periods that commence after the termination of the Offering Period from which the Participant withdraws.</w:t>
      </w:r>
    </w:p>
    <w:p>
      <w:pPr>
        <w:spacing w:after="0" w:line="184" w:lineRule="exact"/>
        <w:rPr>
          <w:rFonts w:ascii="Arial" w:cs="Arial" w:eastAsia="Arial" w:hAnsi="Arial"/>
          <w:sz w:val="22"/>
          <w:szCs w:val="22"/>
          <w:color w:val="auto"/>
        </w:rPr>
      </w:pPr>
    </w:p>
    <w:p>
      <w:pPr>
        <w:jc w:val="both"/>
        <w:ind w:firstLine="800"/>
        <w:spacing w:after="0" w:line="304" w:lineRule="auto"/>
        <w:tabs>
          <w:tab w:leader="none" w:pos="1451" w:val="left"/>
        </w:tabs>
        <w:numPr>
          <w:ilvl w:val="0"/>
          <w:numId w:val="25"/>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Termination of Employment</w:t>
      </w:r>
      <w:r>
        <w:rPr>
          <w:rFonts w:ascii="Arial" w:cs="Arial" w:eastAsia="Arial" w:hAnsi="Arial"/>
          <w:sz w:val="19"/>
          <w:szCs w:val="19"/>
          <w:color w:val="auto"/>
        </w:rPr>
        <w:t>. Upon a Participant’s ceasing to be an Eligible Employee, for any reason, he or she will be deemed to have elected to withdraw from the Plan and the Contributions credited to such Participant’s account during the Offering Period but not yet used to purchase shares of Common Stock under the Plan will be returned to such Participant or, in the case of his or her death, to the person or persons entitled thereto under Section 15, and such Participant’s option will be automatically terminated. Unless otherwise provided by the Administrator, a Participant whose employment transfers between entities through a termination with an immediate rehire (with no break in service) by the Company or a Designated Company will not be treated as terminated under the Plan; however, if a Participant transfers from an Offering under the 423 Component to the Non-423 Component, the exercise of the option will be qualified under the 423 Component only to the extent it complies with Section 423 of the Code, unless otherwise provided by the Administrator.</w:t>
      </w:r>
    </w:p>
    <w:p>
      <w:pPr>
        <w:spacing w:after="0" w:line="155" w:lineRule="exact"/>
        <w:rPr>
          <w:rFonts w:ascii="Arial" w:cs="Arial" w:eastAsia="Arial" w:hAnsi="Arial"/>
          <w:sz w:val="19"/>
          <w:szCs w:val="19"/>
          <w:u w:val="single" w:color="auto"/>
          <w:color w:val="auto"/>
        </w:rPr>
      </w:pPr>
    </w:p>
    <w:p>
      <w:pPr>
        <w:jc w:val="both"/>
        <w:ind w:firstLine="800"/>
        <w:spacing w:after="0" w:line="271" w:lineRule="exact"/>
        <w:tabs>
          <w:tab w:leader="none" w:pos="1451" w:val="left"/>
        </w:tabs>
        <w:numPr>
          <w:ilvl w:val="0"/>
          <w:numId w:val="25"/>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Interest</w:t>
      </w:r>
      <w:r>
        <w:rPr>
          <w:rFonts w:ascii="Arial" w:cs="Arial" w:eastAsia="Arial" w:hAnsi="Arial"/>
          <w:sz w:val="22"/>
          <w:szCs w:val="22"/>
          <w:color w:val="auto"/>
        </w:rPr>
        <w:t>. No interest will accrue on the Contributions of a participant in the Plan, except as may be required by Applicable Law, as determined by the Company, and if so required by the laws of a particular jurisdiction, will apply to all Participants in the relevant Offering under the 423 Component, except to the extent otherwise permitted by U.S. Treasury Regulation Section 1.423</w:t>
      </w:r>
      <w:r>
        <w:rPr>
          <w:rFonts w:ascii="MS PGothic" w:cs="MS PGothic" w:eastAsia="MS PGothic" w:hAnsi="MS PGothic"/>
          <w:sz w:val="22"/>
          <w:szCs w:val="22"/>
          <w:color w:val="auto"/>
        </w:rPr>
        <w:t>‑</w:t>
      </w:r>
      <w:r>
        <w:rPr>
          <w:rFonts w:ascii="Arial" w:cs="Arial" w:eastAsia="Arial" w:hAnsi="Arial"/>
          <w:sz w:val="22"/>
          <w:szCs w:val="22"/>
          <w:color w:val="auto"/>
        </w:rPr>
        <w:t>2(f).</w:t>
      </w:r>
    </w:p>
    <w:p>
      <w:pPr>
        <w:spacing w:after="0" w:line="212" w:lineRule="exact"/>
        <w:rPr>
          <w:rFonts w:ascii="Arial" w:cs="Arial" w:eastAsia="Arial" w:hAnsi="Arial"/>
          <w:sz w:val="22"/>
          <w:szCs w:val="22"/>
          <w:u w:val="single" w:color="auto"/>
          <w:color w:val="auto"/>
        </w:rPr>
      </w:pPr>
    </w:p>
    <w:p>
      <w:pPr>
        <w:ind w:left="1460" w:hanging="660"/>
        <w:spacing w:after="0"/>
        <w:tabs>
          <w:tab w:leader="none" w:pos="1460" w:val="left"/>
        </w:tabs>
        <w:numPr>
          <w:ilvl w:val="0"/>
          <w:numId w:val="25"/>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Stock</w:t>
      </w:r>
      <w:r>
        <w:rPr>
          <w:rFonts w:ascii="Arial" w:cs="Arial" w:eastAsia="Arial" w:hAnsi="Arial"/>
          <w:sz w:val="22"/>
          <w:szCs w:val="22"/>
          <w:color w:val="auto"/>
        </w:rPr>
        <w:t>.</w:t>
      </w:r>
    </w:p>
    <w:p>
      <w:pPr>
        <w:spacing w:after="0" w:line="233" w:lineRule="exact"/>
        <w:rPr>
          <w:rFonts w:ascii="Arial" w:cs="Arial" w:eastAsia="Arial" w:hAnsi="Arial"/>
          <w:sz w:val="22"/>
          <w:szCs w:val="22"/>
          <w:u w:val="single" w:color="auto"/>
          <w:color w:val="auto"/>
        </w:rPr>
      </w:pPr>
    </w:p>
    <w:p>
      <w:pPr>
        <w:ind w:firstLine="1678"/>
        <w:spacing w:after="0" w:line="258" w:lineRule="auto"/>
        <w:tabs>
          <w:tab w:leader="none" w:pos="2847" w:val="left"/>
        </w:tabs>
        <w:numPr>
          <w:ilvl w:val="1"/>
          <w:numId w:val="25"/>
        </w:numPr>
        <w:rPr>
          <w:rFonts w:ascii="Arial" w:cs="Arial" w:eastAsia="Arial" w:hAnsi="Arial"/>
          <w:sz w:val="22"/>
          <w:szCs w:val="22"/>
          <w:color w:val="auto"/>
        </w:rPr>
      </w:pPr>
      <w:r>
        <w:rPr>
          <w:rFonts w:ascii="Arial" w:cs="Arial" w:eastAsia="Arial" w:hAnsi="Arial"/>
          <w:sz w:val="22"/>
          <w:szCs w:val="22"/>
          <w:color w:val="auto"/>
        </w:rPr>
        <w:t>Subject to adjustment upon changes in capitalization of the Company as provided in Section 19 hereof, the maximum number of shares of Common Stock that will be made available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10</w:t>
      </w: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34" w:right="339" w:bottom="1440" w:gutter="0" w:footer="0" w:header="0"/>
        </w:sectPr>
      </w:pPr>
    </w:p>
    <w:bookmarkStart w:id="88" w:name="page89"/>
    <w:bookmarkEnd w:id="88"/>
    <w:p>
      <w:pPr>
        <w:jc w:val="both"/>
        <w:spacing w:after="0" w:line="311" w:lineRule="auto"/>
        <w:rPr>
          <w:sz w:val="20"/>
          <w:szCs w:val="20"/>
          <w:color w:val="auto"/>
        </w:rPr>
      </w:pPr>
      <w:r>
        <w:rPr>
          <w:rFonts w:ascii="Arial" w:cs="Arial" w:eastAsia="Arial" w:hAnsi="Arial"/>
          <w:sz w:val="19"/>
          <w:szCs w:val="19"/>
          <w:color w:val="auto"/>
        </w:rPr>
        <w:t>for sale under the Plan will be 290,000 shares of Common Stock. The number of shares of Common Stock available for issuance under the Plan will be increased on the first day of each Fiscal Year beginning for the Fiscal Year following the Fiscal Year in which the first Enrollment Date (if any) occurs equal to the least of (i) 500,000 shares of Common Stock, (ii) one percent (1%) of the outstanding shares of Common Stock on the last day of the immediately preceding Fiscal Year, or (iii) an amount determined by the Administrator no later than the last day of the immediately preceding Fiscal Year.</w:t>
      </w:r>
    </w:p>
    <w:p>
      <w:pPr>
        <w:spacing w:after="0" w:line="150" w:lineRule="exact"/>
        <w:rPr>
          <w:sz w:val="20"/>
          <w:szCs w:val="20"/>
          <w:color w:val="auto"/>
        </w:rPr>
      </w:pPr>
    </w:p>
    <w:p>
      <w:pPr>
        <w:jc w:val="both"/>
        <w:ind w:firstLine="1678"/>
        <w:spacing w:after="0" w:line="262" w:lineRule="auto"/>
        <w:tabs>
          <w:tab w:leader="none" w:pos="2874" w:val="left"/>
        </w:tabs>
        <w:numPr>
          <w:ilvl w:val="1"/>
          <w:numId w:val="26"/>
        </w:numPr>
        <w:rPr>
          <w:rFonts w:ascii="Arial" w:cs="Arial" w:eastAsia="Arial" w:hAnsi="Arial"/>
          <w:sz w:val="22"/>
          <w:szCs w:val="22"/>
          <w:color w:val="auto"/>
        </w:rPr>
      </w:pPr>
      <w:r>
        <w:rPr>
          <w:rFonts w:ascii="Arial" w:cs="Arial" w:eastAsia="Arial" w:hAnsi="Arial"/>
          <w:sz w:val="22"/>
          <w:szCs w:val="22"/>
          <w:color w:val="auto"/>
        </w:rPr>
        <w:t>Until the shares of Common Stock are issued (as evidenced by the appropriate entry on the books of the Company or of a duly authorized transfer agent of the Company), a Participant will have only the rights of an unsecured creditor with respect to such shares, and no right to vote or receive dividends or any other rights as a stockholder will exist with respect to such shares.</w:t>
      </w:r>
    </w:p>
    <w:p>
      <w:pPr>
        <w:spacing w:after="0" w:line="191" w:lineRule="exact"/>
        <w:rPr>
          <w:rFonts w:ascii="Arial" w:cs="Arial" w:eastAsia="Arial" w:hAnsi="Arial"/>
          <w:sz w:val="22"/>
          <w:szCs w:val="22"/>
          <w:color w:val="auto"/>
        </w:rPr>
      </w:pPr>
    </w:p>
    <w:p>
      <w:pPr>
        <w:ind w:firstLine="1678"/>
        <w:spacing w:after="0" w:line="276" w:lineRule="auto"/>
        <w:tabs>
          <w:tab w:leader="none" w:pos="2847" w:val="left"/>
        </w:tabs>
        <w:numPr>
          <w:ilvl w:val="1"/>
          <w:numId w:val="26"/>
        </w:numPr>
        <w:rPr>
          <w:rFonts w:ascii="Arial" w:cs="Arial" w:eastAsia="Arial" w:hAnsi="Arial"/>
          <w:sz w:val="22"/>
          <w:szCs w:val="22"/>
          <w:color w:val="auto"/>
        </w:rPr>
      </w:pPr>
      <w:r>
        <w:rPr>
          <w:rFonts w:ascii="Arial" w:cs="Arial" w:eastAsia="Arial" w:hAnsi="Arial"/>
          <w:sz w:val="22"/>
          <w:szCs w:val="22"/>
          <w:color w:val="auto"/>
        </w:rPr>
        <w:t>Shares of Common Stock to be delivered to a Participant under the Plan will be registered in the name of the Participant or in the name of the Participant and his or her spouse.</w:t>
      </w:r>
    </w:p>
    <w:p>
      <w:pPr>
        <w:spacing w:after="0" w:line="174" w:lineRule="exact"/>
        <w:rPr>
          <w:rFonts w:ascii="Arial" w:cs="Arial" w:eastAsia="Arial" w:hAnsi="Arial"/>
          <w:sz w:val="22"/>
          <w:szCs w:val="22"/>
          <w:color w:val="auto"/>
        </w:rPr>
      </w:pPr>
    </w:p>
    <w:p>
      <w:pPr>
        <w:jc w:val="both"/>
        <w:ind w:firstLine="800"/>
        <w:spacing w:after="0" w:line="270" w:lineRule="exact"/>
        <w:tabs>
          <w:tab w:leader="none" w:pos="1464" w:val="left"/>
        </w:tabs>
        <w:numPr>
          <w:ilvl w:val="0"/>
          <w:numId w:val="27"/>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Administration</w:t>
      </w:r>
      <w:r>
        <w:rPr>
          <w:rFonts w:ascii="Arial" w:cs="Arial" w:eastAsia="Arial" w:hAnsi="Arial"/>
          <w:sz w:val="19"/>
          <w:szCs w:val="19"/>
          <w:color w:val="auto"/>
        </w:rPr>
        <w:t>. The Plan will be administered by the Board or a Committee appointed by the Board, which Committee will be constituted to comply with Applicable Laws. The Administrator will have full and exclusive discretionary authority to construe, interpret and apply the terms of the Plan, to delegate ministerial duties to any of the Company’s employees, to designate separate Offerings under the Plan, to designate Subsidiaries and Affiliates of the Company as participating in the 423 Component or Non-423 Component, to determine eligibility, to adjudicate all disputed claims filed under the Plan and to establish such procedures that it deems necessary for the administration of the Plan (including, without limitation, to adopt such procedures and sub-plans as are necessary or appropriate to permit the participation in the Plan by employees who are foreign nationals or employed outside the U.S., the terms of which sub-plans may take precedence over other provisions of this Plan, with the exception of Section 13(a) hereof, but unless otherwise superseded by the terms of such sub-plan, the provisions of this Plan will govern the operation of such sub-plan). Unless otherwise determined by the Administrator, the Eligible Employees eligible to participate in each sub-plan will participate in a separate Offering or in the Non-423 Component. Without limiting the generality of the foregoing, the Administrator is specifically authorized to adopt rules and procedures regarding eligibility to participate, the definition of Compensation, handling of Contributions, making of Contributions to the Plan (including, without limitation, in forms other than payroll deductions), establishment of bank or trust accounts to hold Contributions, payment of interest, conversion of local currency, obligations to pay payroll tax, determination of beneficiary designation requirements, withholding procedures and handling of stock certificates that vary with applicable local requirements. The Administrator also is authorized to determine that, to the extent permitted by U.S. Treasury Regulation Section 1.423</w:t>
      </w:r>
      <w:r>
        <w:rPr>
          <w:rFonts w:ascii="MS PGothic" w:cs="MS PGothic" w:eastAsia="MS PGothic" w:hAnsi="MS PGothic"/>
          <w:sz w:val="19"/>
          <w:szCs w:val="19"/>
          <w:color w:val="auto"/>
        </w:rPr>
        <w:t>‑</w:t>
      </w:r>
      <w:r>
        <w:rPr>
          <w:rFonts w:ascii="Arial" w:cs="Arial" w:eastAsia="Arial" w:hAnsi="Arial"/>
          <w:sz w:val="19"/>
          <w:szCs w:val="19"/>
          <w:color w:val="auto"/>
        </w:rPr>
        <w:t>2(f), the terms of an option granted under the Plan or an Offering to citizens or residents of a non-U.S. jurisdiction will be less favorable than the terms of options granted under the Plan or the same Offering to employees residing solely in the U.S. Every finding, decision, and determination made by the Administrator will, to the full extent permitted by law, be final and binding upon all parties.</w:t>
      </w:r>
    </w:p>
    <w:p>
      <w:pPr>
        <w:spacing w:after="0" w:line="226" w:lineRule="exact"/>
        <w:rPr>
          <w:rFonts w:ascii="Arial" w:cs="Arial" w:eastAsia="Arial" w:hAnsi="Arial"/>
          <w:sz w:val="19"/>
          <w:szCs w:val="19"/>
          <w:u w:val="single" w:color="auto"/>
          <w:color w:val="auto"/>
        </w:rPr>
      </w:pPr>
    </w:p>
    <w:p>
      <w:pPr>
        <w:ind w:left="1460" w:hanging="660"/>
        <w:spacing w:after="0"/>
        <w:tabs>
          <w:tab w:leader="none" w:pos="1460" w:val="left"/>
        </w:tabs>
        <w:numPr>
          <w:ilvl w:val="0"/>
          <w:numId w:val="27"/>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Designation of Beneficiary</w:t>
      </w:r>
      <w:r>
        <w:rPr>
          <w:rFonts w:ascii="Arial" w:cs="Arial" w:eastAsia="Arial" w:hAnsi="Arial"/>
          <w:sz w:val="22"/>
          <w:szCs w:val="22"/>
          <w:color w:val="auto"/>
        </w:rPr>
        <w:t>.</w:t>
      </w:r>
    </w:p>
    <w:p>
      <w:pPr>
        <w:spacing w:after="0" w:line="233" w:lineRule="exact"/>
        <w:rPr>
          <w:rFonts w:ascii="Arial" w:cs="Arial" w:eastAsia="Arial" w:hAnsi="Arial"/>
          <w:sz w:val="22"/>
          <w:szCs w:val="22"/>
          <w:u w:val="single" w:color="auto"/>
          <w:color w:val="auto"/>
        </w:rPr>
      </w:pPr>
    </w:p>
    <w:p>
      <w:pPr>
        <w:ind w:firstLine="1678"/>
        <w:spacing w:after="0" w:line="258" w:lineRule="auto"/>
        <w:tabs>
          <w:tab w:leader="none" w:pos="2847" w:val="left"/>
        </w:tabs>
        <w:numPr>
          <w:ilvl w:val="1"/>
          <w:numId w:val="27"/>
        </w:numPr>
        <w:rPr>
          <w:rFonts w:ascii="Arial" w:cs="Arial" w:eastAsia="Arial" w:hAnsi="Arial"/>
          <w:sz w:val="22"/>
          <w:szCs w:val="22"/>
          <w:color w:val="auto"/>
        </w:rPr>
      </w:pPr>
      <w:r>
        <w:rPr>
          <w:rFonts w:ascii="Arial" w:cs="Arial" w:eastAsia="Arial" w:hAnsi="Arial"/>
          <w:sz w:val="22"/>
          <w:szCs w:val="22"/>
          <w:color w:val="auto"/>
        </w:rPr>
        <w:t>If permitted by the Administrator, a Participant may file a designation of a beneficiary who is to receive any shares of Common Stock and cash, if any, from the Participant’s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11</w:t>
      </w: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34" w:right="339" w:bottom="1440" w:gutter="0" w:footer="0" w:header="0"/>
        </w:sectPr>
      </w:pPr>
    </w:p>
    <w:bookmarkStart w:id="89" w:name="page90"/>
    <w:bookmarkEnd w:id="89"/>
    <w:p>
      <w:pPr>
        <w:jc w:val="both"/>
        <w:spacing w:after="0" w:line="276" w:lineRule="auto"/>
        <w:rPr>
          <w:sz w:val="20"/>
          <w:szCs w:val="20"/>
          <w:color w:val="auto"/>
        </w:rPr>
      </w:pPr>
      <w:r>
        <w:rPr>
          <w:rFonts w:ascii="Arial" w:cs="Arial" w:eastAsia="Arial" w:hAnsi="Arial"/>
          <w:sz w:val="21"/>
          <w:szCs w:val="21"/>
          <w:color w:val="auto"/>
        </w:rPr>
        <w:t>account under the Plan in the event of such Participant’s death subsequent to an Exercise Date on which the option is exercised but prior to delivery to such Participant of such shares and cash. In addition, if permitted by the Administrator, a Participant may file a designation of a beneficiary who is to receive any cash from the Participant’s account under the Plan in the event of such Participant’s death prior to exercise of the option. If a Participant is married and the designated beneficiary is not the spouse, spousal consent will be required for such designation to be effective.</w:t>
      </w:r>
    </w:p>
    <w:p>
      <w:pPr>
        <w:spacing w:after="0" w:line="177" w:lineRule="exact"/>
        <w:rPr>
          <w:sz w:val="20"/>
          <w:szCs w:val="20"/>
          <w:color w:val="auto"/>
        </w:rPr>
      </w:pPr>
    </w:p>
    <w:p>
      <w:pPr>
        <w:jc w:val="both"/>
        <w:ind w:firstLine="1678"/>
        <w:spacing w:after="0" w:line="273" w:lineRule="auto"/>
        <w:tabs>
          <w:tab w:leader="none" w:pos="2861" w:val="left"/>
        </w:tabs>
        <w:numPr>
          <w:ilvl w:val="1"/>
          <w:numId w:val="28"/>
        </w:numPr>
        <w:rPr>
          <w:rFonts w:ascii="Arial" w:cs="Arial" w:eastAsia="Arial" w:hAnsi="Arial"/>
          <w:sz w:val="21"/>
          <w:szCs w:val="21"/>
          <w:color w:val="auto"/>
        </w:rPr>
      </w:pPr>
      <w:r>
        <w:rPr>
          <w:rFonts w:ascii="Arial" w:cs="Arial" w:eastAsia="Arial" w:hAnsi="Arial"/>
          <w:sz w:val="21"/>
          <w:szCs w:val="21"/>
          <w:color w:val="auto"/>
        </w:rPr>
        <w:t>Such designation of beneficiary may be changed by the Participant at any time by notice in a form determined by the Administrator. In the event of the death of a Participant and in the absence of a beneficiary validly designated under the Plan who is living at the time of such Participant’s death, the Company will deliver such shares and/or cash to the executor or administrator of the estate of the Participant, or if no such executor or administrator has 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w:t>
      </w:r>
    </w:p>
    <w:p>
      <w:pPr>
        <w:spacing w:after="0" w:line="183" w:lineRule="exact"/>
        <w:rPr>
          <w:rFonts w:ascii="Arial" w:cs="Arial" w:eastAsia="Arial" w:hAnsi="Arial"/>
          <w:sz w:val="21"/>
          <w:szCs w:val="21"/>
          <w:color w:val="auto"/>
        </w:rPr>
      </w:pPr>
    </w:p>
    <w:p>
      <w:pPr>
        <w:jc w:val="both"/>
        <w:ind w:firstLine="1678"/>
        <w:spacing w:after="0" w:line="271" w:lineRule="exact"/>
        <w:tabs>
          <w:tab w:leader="none" w:pos="2901" w:val="left"/>
        </w:tabs>
        <w:numPr>
          <w:ilvl w:val="1"/>
          <w:numId w:val="28"/>
        </w:numPr>
        <w:rPr>
          <w:rFonts w:ascii="Arial" w:cs="Arial" w:eastAsia="Arial" w:hAnsi="Arial"/>
          <w:sz w:val="22"/>
          <w:szCs w:val="22"/>
          <w:color w:val="auto"/>
        </w:rPr>
      </w:pPr>
      <w:r>
        <w:rPr>
          <w:rFonts w:ascii="Arial" w:cs="Arial" w:eastAsia="Arial" w:hAnsi="Arial"/>
          <w:sz w:val="22"/>
          <w:szCs w:val="22"/>
          <w:color w:val="auto"/>
        </w:rPr>
        <w:t>All beneficiary designations will be in such form and manner as the Administrator may designate from time to time. Notwithstanding Sections 15(a) and (b) above, the Company and/or the Administrator may decide not to permit such designations by Participants in non-U.S. jurisdictions to the extent permitted by U.S. Treasury Regulation Section 1.423</w:t>
      </w:r>
      <w:r>
        <w:rPr>
          <w:rFonts w:ascii="MS PGothic" w:cs="MS PGothic" w:eastAsia="MS PGothic" w:hAnsi="MS PGothic"/>
          <w:sz w:val="22"/>
          <w:szCs w:val="22"/>
          <w:color w:val="auto"/>
        </w:rPr>
        <w:t>‑</w:t>
      </w:r>
      <w:r>
        <w:rPr>
          <w:rFonts w:ascii="Arial" w:cs="Arial" w:eastAsia="Arial" w:hAnsi="Arial"/>
          <w:sz w:val="22"/>
          <w:szCs w:val="22"/>
          <w:color w:val="auto"/>
        </w:rPr>
        <w:t>2(f).</w:t>
      </w:r>
    </w:p>
    <w:p>
      <w:pPr>
        <w:spacing w:after="0" w:line="212" w:lineRule="exact"/>
        <w:rPr>
          <w:rFonts w:ascii="Arial" w:cs="Arial" w:eastAsia="Arial" w:hAnsi="Arial"/>
          <w:sz w:val="22"/>
          <w:szCs w:val="22"/>
          <w:color w:val="auto"/>
        </w:rPr>
      </w:pPr>
    </w:p>
    <w:p>
      <w:pPr>
        <w:jc w:val="both"/>
        <w:ind w:firstLine="800"/>
        <w:spacing w:after="0" w:line="311" w:lineRule="auto"/>
        <w:tabs>
          <w:tab w:leader="none" w:pos="1478" w:val="left"/>
        </w:tabs>
        <w:numPr>
          <w:ilvl w:val="0"/>
          <w:numId w:val="29"/>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Transferability</w:t>
      </w:r>
      <w:r>
        <w:rPr>
          <w:rFonts w:ascii="Arial" w:cs="Arial" w:eastAsia="Arial" w:hAnsi="Arial"/>
          <w:sz w:val="19"/>
          <w:szCs w:val="19"/>
          <w:color w:val="auto"/>
        </w:rPr>
        <w:t>. Neither Contributions credited to a Participant’s account nor any rights with regard to the exercise of an option or to receive shares of Common Stock under the Plan may be assigned, transferred, pledged or otherwise disposed of in any way (other than by will, the laws of descent and distribution or as provided in Section 15 hereof) by the Participant. Any such attempt at assignment, transfer, pledge or other disposition will be without effect, except that the Company may treat such act as an election to withdraw funds from an Offering Period in accordance with Section 10 hereof.</w:t>
      </w:r>
    </w:p>
    <w:p>
      <w:pPr>
        <w:spacing w:after="0" w:line="150" w:lineRule="exact"/>
        <w:rPr>
          <w:rFonts w:ascii="Arial" w:cs="Arial" w:eastAsia="Arial" w:hAnsi="Arial"/>
          <w:sz w:val="19"/>
          <w:szCs w:val="19"/>
          <w:u w:val="single" w:color="auto"/>
          <w:color w:val="auto"/>
        </w:rPr>
      </w:pPr>
    </w:p>
    <w:p>
      <w:pPr>
        <w:jc w:val="both"/>
        <w:ind w:firstLine="800"/>
        <w:spacing w:after="0" w:line="311" w:lineRule="auto"/>
        <w:tabs>
          <w:tab w:leader="none" w:pos="1451" w:val="left"/>
        </w:tabs>
        <w:numPr>
          <w:ilvl w:val="0"/>
          <w:numId w:val="29"/>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Use of Funds</w:t>
      </w:r>
      <w:r>
        <w:rPr>
          <w:rFonts w:ascii="Arial" w:cs="Arial" w:eastAsia="Arial" w:hAnsi="Arial"/>
          <w:sz w:val="19"/>
          <w:szCs w:val="19"/>
          <w:color w:val="auto"/>
        </w:rPr>
        <w:t>. The Company may use all Contributions received or held by it under the Plan for any corporate purpose, and the Company will not be obligated to segregate such Contributions except under Offerings or for Participants in the Non-423 Component for which Applicable Laws require that Contributions to the Plan by Participants be segregated from the Company’s general corporate funds and/or deposited with an independent third party. Until shares of Common Stock are issued, Participants will have only the rights of an unsecured creditor with respect to such shares.</w:t>
      </w:r>
    </w:p>
    <w:p>
      <w:pPr>
        <w:spacing w:after="0" w:line="150" w:lineRule="exact"/>
        <w:rPr>
          <w:rFonts w:ascii="Arial" w:cs="Arial" w:eastAsia="Arial" w:hAnsi="Arial"/>
          <w:sz w:val="19"/>
          <w:szCs w:val="19"/>
          <w:u w:val="single" w:color="auto"/>
          <w:color w:val="auto"/>
        </w:rPr>
      </w:pPr>
    </w:p>
    <w:p>
      <w:pPr>
        <w:jc w:val="both"/>
        <w:ind w:firstLine="800"/>
        <w:spacing w:after="0" w:line="327" w:lineRule="auto"/>
        <w:tabs>
          <w:tab w:leader="none" w:pos="1451" w:val="left"/>
        </w:tabs>
        <w:numPr>
          <w:ilvl w:val="0"/>
          <w:numId w:val="29"/>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Reports</w:t>
      </w:r>
      <w:r>
        <w:rPr>
          <w:rFonts w:ascii="Arial" w:cs="Arial" w:eastAsia="Arial" w:hAnsi="Arial"/>
          <w:sz w:val="19"/>
          <w:szCs w:val="19"/>
          <w:color w:val="auto"/>
        </w:rPr>
        <w:t>. Individual accounts will be maintained for each Participant in the Plan. Statements of account will be given to participating Eligible Employees at least annually, which statements will set forth the amounts of Contributions, the Purchase Price, the number of shares of Common Stock purchased and the remaining cash balance, if any.</w:t>
      </w:r>
    </w:p>
    <w:p>
      <w:pPr>
        <w:spacing w:after="0" w:line="132" w:lineRule="exact"/>
        <w:rPr>
          <w:rFonts w:ascii="Arial" w:cs="Arial" w:eastAsia="Arial" w:hAnsi="Arial"/>
          <w:sz w:val="19"/>
          <w:szCs w:val="19"/>
          <w:u w:val="single" w:color="auto"/>
          <w:color w:val="auto"/>
        </w:rPr>
      </w:pPr>
    </w:p>
    <w:p>
      <w:pPr>
        <w:ind w:left="1460" w:hanging="660"/>
        <w:spacing w:after="0"/>
        <w:tabs>
          <w:tab w:leader="none" w:pos="1460" w:val="left"/>
        </w:tabs>
        <w:numPr>
          <w:ilvl w:val="0"/>
          <w:numId w:val="29"/>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Adjustments, Dissolution, Liquidation, Merger, or Change in Control</w:t>
      </w:r>
      <w:r>
        <w:rPr>
          <w:rFonts w:ascii="Arial" w:cs="Arial" w:eastAsia="Arial" w:hAnsi="Arial"/>
          <w:sz w:val="22"/>
          <w:szCs w:val="22"/>
          <w:color w:val="auto"/>
        </w:rPr>
        <w:t>.</w:t>
      </w:r>
    </w:p>
    <w:p>
      <w:pPr>
        <w:spacing w:after="0" w:line="233" w:lineRule="exact"/>
        <w:rPr>
          <w:rFonts w:ascii="Arial" w:cs="Arial" w:eastAsia="Arial" w:hAnsi="Arial"/>
          <w:sz w:val="22"/>
          <w:szCs w:val="22"/>
          <w:u w:val="single" w:color="auto"/>
          <w:color w:val="auto"/>
        </w:rPr>
      </w:pPr>
    </w:p>
    <w:p>
      <w:pPr>
        <w:jc w:val="both"/>
        <w:ind w:firstLine="1678"/>
        <w:spacing w:after="0" w:line="257" w:lineRule="auto"/>
        <w:tabs>
          <w:tab w:leader="none" w:pos="2847" w:val="left"/>
        </w:tabs>
        <w:numPr>
          <w:ilvl w:val="1"/>
          <w:numId w:val="29"/>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Adjustments</w:t>
      </w:r>
      <w:r>
        <w:rPr>
          <w:rFonts w:ascii="Arial" w:cs="Arial" w:eastAsia="Arial" w:hAnsi="Arial"/>
          <w:sz w:val="22"/>
          <w:szCs w:val="22"/>
          <w:color w:val="auto"/>
        </w:rPr>
        <w:t>. In the event that any dividend or other distribution (whether in the form of cash, Common Stock, other securities, or other property), recapitalization, stock split, reverse stock split, reorganization, merger, consolidation, split-up, spin-off, combination, repurchase, or</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12</w:t>
      </w: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34" w:right="339" w:bottom="1440" w:gutter="0" w:footer="0" w:header="0"/>
        </w:sectPr>
      </w:pPr>
    </w:p>
    <w:bookmarkStart w:id="90" w:name="page91"/>
    <w:bookmarkEnd w:id="90"/>
    <w:p>
      <w:pPr>
        <w:jc w:val="both"/>
        <w:spacing w:after="0" w:line="311" w:lineRule="auto"/>
        <w:rPr>
          <w:sz w:val="20"/>
          <w:szCs w:val="20"/>
          <w:color w:val="auto"/>
        </w:rPr>
      </w:pPr>
      <w:r>
        <w:rPr>
          <w:rFonts w:ascii="Arial" w:cs="Arial" w:eastAsia="Arial" w:hAnsi="Arial"/>
          <w:sz w:val="19"/>
          <w:szCs w:val="19"/>
          <w:color w:val="auto"/>
        </w:rPr>
        <w:t>exchange of Common Stock or other securities of the Company, or other change in the corporate structure of the Company affecting the Common Stock occurs, the Administrator, in order to prevent dilution or enlargement of the benefits or potential benefits intended to be made available under the Plan, will, in such manner as it may deem equitable, adjust the number and class of Common Stock that may be delivered under the Plan, the Purchase Price per share and the number of shares of Common Stock covered by each option under the Plan that has not yet been exercised, and the numerical limits of Sections 7 and 13.</w:t>
      </w:r>
    </w:p>
    <w:p>
      <w:pPr>
        <w:spacing w:after="0" w:line="150" w:lineRule="exact"/>
        <w:rPr>
          <w:sz w:val="20"/>
          <w:szCs w:val="20"/>
          <w:color w:val="auto"/>
        </w:rPr>
      </w:pPr>
    </w:p>
    <w:p>
      <w:pPr>
        <w:jc w:val="both"/>
        <w:ind w:firstLine="1678"/>
        <w:spacing w:after="0" w:line="306" w:lineRule="auto"/>
        <w:tabs>
          <w:tab w:leader="none" w:pos="2888" w:val="left"/>
        </w:tabs>
        <w:numPr>
          <w:ilvl w:val="1"/>
          <w:numId w:val="30"/>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Dissolution or Liquidation</w:t>
      </w:r>
      <w:r>
        <w:rPr>
          <w:rFonts w:ascii="Arial" w:cs="Arial" w:eastAsia="Arial" w:hAnsi="Arial"/>
          <w:sz w:val="19"/>
          <w:szCs w:val="19"/>
          <w:color w:val="auto"/>
        </w:rPr>
        <w:t>. In the event of the proposed dissolution or liquidation of the Company, any Offering Period then in progress will be shortened by setting a New Exercise Date, and will terminate immediately prior to the consummation of such proposed dissolution or liquidation, unless provided otherwise by the Administrator. The New Exercise Date will be before the date of the Company’s proposed dissolution or liquidation.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10 hereof.</w:t>
      </w:r>
    </w:p>
    <w:p>
      <w:pPr>
        <w:spacing w:after="0" w:line="156" w:lineRule="exact"/>
        <w:rPr>
          <w:rFonts w:ascii="Arial" w:cs="Arial" w:eastAsia="Arial" w:hAnsi="Arial"/>
          <w:sz w:val="19"/>
          <w:szCs w:val="19"/>
          <w:u w:val="single" w:color="auto"/>
          <w:color w:val="auto"/>
        </w:rPr>
      </w:pPr>
    </w:p>
    <w:p>
      <w:pPr>
        <w:jc w:val="both"/>
        <w:ind w:firstLine="1678"/>
        <w:spacing w:after="0" w:line="305" w:lineRule="auto"/>
        <w:tabs>
          <w:tab w:leader="none" w:pos="2847" w:val="left"/>
        </w:tabs>
        <w:numPr>
          <w:ilvl w:val="1"/>
          <w:numId w:val="30"/>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Merger or Change in Control</w:t>
      </w:r>
      <w:r>
        <w:rPr>
          <w:rFonts w:ascii="Arial" w:cs="Arial" w:eastAsia="Arial" w:hAnsi="Arial"/>
          <w:sz w:val="19"/>
          <w:szCs w:val="19"/>
          <w:color w:val="auto"/>
        </w:rPr>
        <w:t>. In the event of a merger or Change in Control, each outstanding option will be assumed or an equivalent option substituted by the successor corporation or a Parent or Subsidiary of the successor corporation. In the event that the successor corporation refuses to assume or substitute for the option, the Offering Period with respect to which such option relates will be shortened by setting a New Exercise Date on which such Offering Period will end. The New Exercise Date will occur before the date of the Company’s proposed merger or Change in Control.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10 hereof.</w:t>
      </w:r>
    </w:p>
    <w:p>
      <w:pPr>
        <w:spacing w:after="0" w:line="154" w:lineRule="exact"/>
        <w:rPr>
          <w:rFonts w:ascii="Arial" w:cs="Arial" w:eastAsia="Arial" w:hAnsi="Arial"/>
          <w:sz w:val="19"/>
          <w:szCs w:val="19"/>
          <w:u w:val="single" w:color="auto"/>
          <w:color w:val="auto"/>
        </w:rPr>
      </w:pPr>
    </w:p>
    <w:p>
      <w:pPr>
        <w:ind w:left="1460" w:hanging="660"/>
        <w:spacing w:after="0"/>
        <w:tabs>
          <w:tab w:leader="none" w:pos="1460" w:val="left"/>
        </w:tabs>
        <w:numPr>
          <w:ilvl w:val="0"/>
          <w:numId w:val="31"/>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Amendment or Termination</w:t>
      </w:r>
      <w:r>
        <w:rPr>
          <w:rFonts w:ascii="Arial" w:cs="Arial" w:eastAsia="Arial" w:hAnsi="Arial"/>
          <w:sz w:val="22"/>
          <w:szCs w:val="22"/>
          <w:color w:val="auto"/>
        </w:rPr>
        <w:t>.</w:t>
      </w:r>
    </w:p>
    <w:p>
      <w:pPr>
        <w:spacing w:after="0" w:line="233" w:lineRule="exact"/>
        <w:rPr>
          <w:rFonts w:ascii="Arial" w:cs="Arial" w:eastAsia="Arial" w:hAnsi="Arial"/>
          <w:sz w:val="22"/>
          <w:szCs w:val="22"/>
          <w:u w:val="single" w:color="auto"/>
          <w:color w:val="auto"/>
        </w:rPr>
      </w:pPr>
    </w:p>
    <w:p>
      <w:pPr>
        <w:jc w:val="both"/>
        <w:ind w:firstLine="1678"/>
        <w:spacing w:after="0" w:line="305" w:lineRule="auto"/>
        <w:tabs>
          <w:tab w:leader="none" w:pos="2847" w:val="left"/>
        </w:tabs>
        <w:numPr>
          <w:ilvl w:val="1"/>
          <w:numId w:val="31"/>
        </w:numPr>
        <w:rPr>
          <w:rFonts w:ascii="Arial" w:cs="Arial" w:eastAsia="Arial" w:hAnsi="Arial"/>
          <w:sz w:val="19"/>
          <w:szCs w:val="19"/>
          <w:color w:val="auto"/>
        </w:rPr>
      </w:pPr>
      <w:r>
        <w:rPr>
          <w:rFonts w:ascii="Arial" w:cs="Arial" w:eastAsia="Arial" w:hAnsi="Arial"/>
          <w:sz w:val="19"/>
          <w:szCs w:val="19"/>
          <w:color w:val="auto"/>
        </w:rPr>
        <w:t>The Administrator, in its sole discretion, may amend, suspend, or terminate the Plan, or any part thereof, at any time and for any reason. If the Plan is terminated, the Administrator, in its discretion, may elect to terminate all outstanding Offering Periods either immediately or upon completion of the purchase of shares of Common Stock on the next Exercise Date (which may be sooner than originally scheduled, if determined by the Administrator in its discretion), or may elect to permit Offering Periods to expire in accordance with their terms (and subject to any adjustment pursuant to Section 19). If the Offering Periods are terminated prior to expiration, all amounts then credited to Participants’ accounts that have not been used to purchase shares of Common Stock will be returned to the Participants (without interest thereon, except as otherwise required under Applicable Laws, as further set forth in Section 12 hereof) as soon as administratively practicable.</w:t>
      </w:r>
    </w:p>
    <w:p>
      <w:pPr>
        <w:spacing w:after="0" w:line="154" w:lineRule="exact"/>
        <w:rPr>
          <w:rFonts w:ascii="Arial" w:cs="Arial" w:eastAsia="Arial" w:hAnsi="Arial"/>
          <w:sz w:val="19"/>
          <w:szCs w:val="19"/>
          <w:color w:val="auto"/>
        </w:rPr>
      </w:pPr>
    </w:p>
    <w:p>
      <w:pPr>
        <w:jc w:val="both"/>
        <w:ind w:firstLine="1678"/>
        <w:spacing w:after="0" w:line="257" w:lineRule="auto"/>
        <w:tabs>
          <w:tab w:leader="none" w:pos="2888" w:val="left"/>
        </w:tabs>
        <w:numPr>
          <w:ilvl w:val="1"/>
          <w:numId w:val="31"/>
        </w:numPr>
        <w:rPr>
          <w:rFonts w:ascii="Arial" w:cs="Arial" w:eastAsia="Arial" w:hAnsi="Arial"/>
          <w:sz w:val="22"/>
          <w:szCs w:val="22"/>
          <w:color w:val="auto"/>
        </w:rPr>
      </w:pPr>
      <w:r>
        <w:rPr>
          <w:rFonts w:ascii="Arial" w:cs="Arial" w:eastAsia="Arial" w:hAnsi="Arial"/>
          <w:sz w:val="22"/>
          <w:szCs w:val="22"/>
          <w:color w:val="auto"/>
        </w:rPr>
        <w:t>Without stockholder consent and without limiting Section 20(a), the Administrator will be entitled to change the Offering Periods or Purchase Periods, designate separate Offerings, limit the frequency and/or number of changes in the amount withheld during an Offering Period, establish the exchange ratio applicable to amounts withheld in a currency other than U.S.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13</w:t>
      </w: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34" w:right="339" w:bottom="1440" w:gutter="0" w:footer="0" w:header="0"/>
        </w:sectPr>
      </w:pPr>
    </w:p>
    <w:bookmarkStart w:id="91" w:name="page92"/>
    <w:bookmarkEnd w:id="91"/>
    <w:p>
      <w:pPr>
        <w:jc w:val="both"/>
        <w:spacing w:after="0" w:line="276" w:lineRule="auto"/>
        <w:rPr>
          <w:sz w:val="20"/>
          <w:szCs w:val="20"/>
          <w:color w:val="auto"/>
        </w:rPr>
      </w:pPr>
      <w:r>
        <w:rPr>
          <w:rFonts w:ascii="Arial" w:cs="Arial" w:eastAsia="Arial" w:hAnsi="Arial"/>
          <w:sz w:val="21"/>
          <w:szCs w:val="21"/>
          <w:color w:val="auto"/>
        </w:rPr>
        <w:t>dollars, permit Contributions in excess of the amount designated by a Participant in order to adjust for delays or mistakes in the Company’s processing of properly completed Contribution elections, establish reasonable waiting and adjustment periods and/or accounting and crediting procedures to ensure that amounts applied toward the purchase of Common Stock for each Participant properly correspond with Contribution amounts, and establish such other limitations or procedures as the Administrator determines in its sole discretion advisable that are consistent with the Plan.</w:t>
      </w:r>
    </w:p>
    <w:p>
      <w:pPr>
        <w:spacing w:after="0" w:line="177" w:lineRule="exact"/>
        <w:rPr>
          <w:sz w:val="20"/>
          <w:szCs w:val="20"/>
          <w:color w:val="auto"/>
        </w:rPr>
      </w:pPr>
    </w:p>
    <w:p>
      <w:pPr>
        <w:jc w:val="both"/>
        <w:ind w:firstLine="1678"/>
        <w:spacing w:after="0" w:line="327" w:lineRule="auto"/>
        <w:tabs>
          <w:tab w:leader="none" w:pos="2861" w:val="left"/>
        </w:tabs>
        <w:numPr>
          <w:ilvl w:val="0"/>
          <w:numId w:val="32"/>
        </w:numPr>
        <w:rPr>
          <w:rFonts w:ascii="Arial" w:cs="Arial" w:eastAsia="Arial" w:hAnsi="Arial"/>
          <w:sz w:val="19"/>
          <w:szCs w:val="19"/>
          <w:color w:val="auto"/>
        </w:rPr>
      </w:pPr>
      <w:r>
        <w:rPr>
          <w:rFonts w:ascii="Arial" w:cs="Arial" w:eastAsia="Arial" w:hAnsi="Arial"/>
          <w:sz w:val="19"/>
          <w:szCs w:val="19"/>
          <w:color w:val="auto"/>
        </w:rPr>
        <w:t>In the event the Administrator determines that the ongoing operation of the Plan may result in unfavorable financial accounting consequences, the Administrator may, in its discretion and, to the extent necessary or desirable, modify, amend or terminate the Plan to reduce or eliminate such accounting consequence including, but not limited to:</w:t>
      </w:r>
    </w:p>
    <w:p>
      <w:pPr>
        <w:spacing w:after="0" w:line="133" w:lineRule="exact"/>
        <w:rPr>
          <w:sz w:val="20"/>
          <w:szCs w:val="20"/>
          <w:color w:val="auto"/>
        </w:rPr>
      </w:pPr>
    </w:p>
    <w:p>
      <w:pPr>
        <w:jc w:val="both"/>
        <w:ind w:firstLine="2464"/>
        <w:spacing w:after="0" w:line="266" w:lineRule="auto"/>
        <w:rPr>
          <w:sz w:val="20"/>
          <w:szCs w:val="20"/>
          <w:color w:val="auto"/>
        </w:rPr>
      </w:pPr>
      <w:r>
        <w:rPr>
          <w:rFonts w:ascii="Arial" w:cs="Arial" w:eastAsia="Arial" w:hAnsi="Arial"/>
          <w:sz w:val="22"/>
          <w:szCs w:val="22"/>
          <w:color w:val="auto"/>
        </w:rPr>
        <w:t>(i) amending the Plan to conform with the safe harbor definition under the Financial Accounting Standards Board Accounting Standards Codification Topic 718 (or any successor thereto), including with respect to an Offering Period underway at the time;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140" w:type="dxa"/>
            <w:vAlign w:val="bottom"/>
          </w:tcPr>
          <w:p>
            <w:pPr>
              <w:jc w:val="center"/>
              <w:ind w:left="872"/>
              <w:spacing w:after="0"/>
              <w:rPr>
                <w:sz w:val="20"/>
                <w:szCs w:val="20"/>
                <w:color w:val="auto"/>
              </w:rPr>
            </w:pPr>
            <w:r>
              <w:rPr>
                <w:rFonts w:ascii="Arial" w:cs="Arial" w:eastAsia="Arial" w:hAnsi="Arial"/>
                <w:sz w:val="22"/>
                <w:szCs w:val="22"/>
                <w:color w:val="auto"/>
              </w:rPr>
              <w:t>(ii)</w:t>
            </w:r>
          </w:p>
        </w:tc>
        <w:tc>
          <w:tcPr>
            <w:tcW w:w="7100" w:type="dxa"/>
            <w:vAlign w:val="bottom"/>
          </w:tcPr>
          <w:p>
            <w:pPr>
              <w:jc w:val="right"/>
              <w:spacing w:after="0"/>
              <w:rPr>
                <w:sz w:val="20"/>
                <w:szCs w:val="20"/>
                <w:color w:val="auto"/>
              </w:rPr>
            </w:pPr>
            <w:r>
              <w:rPr>
                <w:rFonts w:ascii="Arial" w:cs="Arial" w:eastAsia="Arial" w:hAnsi="Arial"/>
                <w:sz w:val="22"/>
                <w:szCs w:val="22"/>
                <w:color w:val="auto"/>
              </w:rPr>
              <w:t>altering the Purchase Price for any Offering Period or Purchase Period</w:t>
            </w:r>
          </w:p>
        </w:tc>
      </w:tr>
      <w:tr>
        <w:trPr>
          <w:trHeight w:val="274"/>
        </w:trPr>
        <w:tc>
          <w:tcPr>
            <w:tcW w:w="11240" w:type="dxa"/>
            <w:vAlign w:val="bottom"/>
            <w:gridSpan w:val="2"/>
          </w:tcPr>
          <w:p>
            <w:pPr>
              <w:spacing w:after="0"/>
              <w:rPr>
                <w:sz w:val="20"/>
                <w:szCs w:val="20"/>
                <w:color w:val="auto"/>
              </w:rPr>
            </w:pPr>
            <w:r>
              <w:rPr>
                <w:rFonts w:ascii="Arial" w:cs="Arial" w:eastAsia="Arial" w:hAnsi="Arial"/>
                <w:sz w:val="22"/>
                <w:szCs w:val="22"/>
                <w:color w:val="auto"/>
              </w:rPr>
              <w:t>including an Offering Period or Purchase Period underway at the time of the change in Purchase Price;</w:t>
            </w:r>
          </w:p>
        </w:tc>
      </w:tr>
      <w:tr>
        <w:trPr>
          <w:trHeight w:val="482"/>
        </w:trPr>
        <w:tc>
          <w:tcPr>
            <w:tcW w:w="4140" w:type="dxa"/>
            <w:vAlign w:val="bottom"/>
          </w:tcPr>
          <w:p>
            <w:pPr>
              <w:jc w:val="center"/>
              <w:ind w:left="832"/>
              <w:spacing w:after="0"/>
              <w:rPr>
                <w:sz w:val="20"/>
                <w:szCs w:val="20"/>
                <w:color w:val="auto"/>
              </w:rPr>
            </w:pPr>
            <w:r>
              <w:rPr>
                <w:rFonts w:ascii="Arial" w:cs="Arial" w:eastAsia="Arial" w:hAnsi="Arial"/>
                <w:sz w:val="22"/>
                <w:szCs w:val="22"/>
                <w:color w:val="auto"/>
              </w:rPr>
              <w:t>(iii)</w:t>
            </w:r>
          </w:p>
        </w:tc>
        <w:tc>
          <w:tcPr>
            <w:tcW w:w="7100" w:type="dxa"/>
            <w:vAlign w:val="bottom"/>
          </w:tcPr>
          <w:p>
            <w:pPr>
              <w:jc w:val="right"/>
              <w:spacing w:after="0"/>
              <w:rPr>
                <w:sz w:val="20"/>
                <w:szCs w:val="20"/>
                <w:color w:val="auto"/>
              </w:rPr>
            </w:pPr>
            <w:r>
              <w:rPr>
                <w:rFonts w:ascii="Arial" w:cs="Arial" w:eastAsia="Arial" w:hAnsi="Arial"/>
                <w:sz w:val="22"/>
                <w:szCs w:val="22"/>
                <w:color w:val="auto"/>
              </w:rPr>
              <w:t>shortening any Offering Period or Purchase Period by setting a New</w:t>
            </w:r>
          </w:p>
        </w:tc>
      </w:tr>
      <w:tr>
        <w:trPr>
          <w:trHeight w:val="274"/>
        </w:trPr>
        <w:tc>
          <w:tcPr>
            <w:tcW w:w="11240" w:type="dxa"/>
            <w:vAlign w:val="bottom"/>
            <w:gridSpan w:val="2"/>
          </w:tcPr>
          <w:p>
            <w:pPr>
              <w:spacing w:after="0"/>
              <w:rPr>
                <w:sz w:val="20"/>
                <w:szCs w:val="20"/>
                <w:color w:val="auto"/>
              </w:rPr>
            </w:pPr>
            <w:r>
              <w:rPr>
                <w:rFonts w:ascii="Arial" w:cs="Arial" w:eastAsia="Arial" w:hAnsi="Arial"/>
                <w:sz w:val="22"/>
                <w:szCs w:val="22"/>
                <w:color w:val="auto"/>
              </w:rPr>
              <w:t>Exercise Date, including an Offering Period or Purchase Period underway at the time of the Administrator action;</w:t>
            </w:r>
          </w:p>
        </w:tc>
      </w:tr>
      <w:tr>
        <w:trPr>
          <w:trHeight w:val="482"/>
        </w:trPr>
        <w:tc>
          <w:tcPr>
            <w:tcW w:w="4140" w:type="dxa"/>
            <w:vAlign w:val="bottom"/>
          </w:tcPr>
          <w:p>
            <w:pPr>
              <w:jc w:val="center"/>
              <w:ind w:left="832"/>
              <w:spacing w:after="0"/>
              <w:rPr>
                <w:sz w:val="20"/>
                <w:szCs w:val="20"/>
                <w:color w:val="auto"/>
              </w:rPr>
            </w:pPr>
            <w:r>
              <w:rPr>
                <w:rFonts w:ascii="Arial" w:cs="Arial" w:eastAsia="Arial" w:hAnsi="Arial"/>
                <w:sz w:val="22"/>
                <w:szCs w:val="22"/>
                <w:color w:val="auto"/>
              </w:rPr>
              <w:t>(iv)</w:t>
            </w:r>
          </w:p>
        </w:tc>
        <w:tc>
          <w:tcPr>
            <w:tcW w:w="7100" w:type="dxa"/>
            <w:vAlign w:val="bottom"/>
          </w:tcPr>
          <w:p>
            <w:pPr>
              <w:jc w:val="right"/>
              <w:spacing w:after="0"/>
              <w:rPr>
                <w:sz w:val="20"/>
                <w:szCs w:val="20"/>
                <w:color w:val="auto"/>
              </w:rPr>
            </w:pPr>
            <w:r>
              <w:rPr>
                <w:rFonts w:ascii="Arial" w:cs="Arial" w:eastAsia="Arial" w:hAnsi="Arial"/>
                <w:sz w:val="22"/>
                <w:szCs w:val="22"/>
                <w:color w:val="auto"/>
              </w:rPr>
              <w:t>reducing the maximum percentage of Compensation a Participant may</w:t>
            </w:r>
          </w:p>
        </w:tc>
      </w:tr>
      <w:tr>
        <w:trPr>
          <w:trHeight w:val="274"/>
        </w:trPr>
        <w:tc>
          <w:tcPr>
            <w:tcW w:w="4140" w:type="dxa"/>
            <w:vAlign w:val="bottom"/>
          </w:tcPr>
          <w:p>
            <w:pPr>
              <w:spacing w:after="0"/>
              <w:rPr>
                <w:sz w:val="20"/>
                <w:szCs w:val="20"/>
                <w:color w:val="auto"/>
              </w:rPr>
            </w:pPr>
            <w:r>
              <w:rPr>
                <w:rFonts w:ascii="Arial" w:cs="Arial" w:eastAsia="Arial" w:hAnsi="Arial"/>
                <w:sz w:val="22"/>
                <w:szCs w:val="22"/>
                <w:color w:val="auto"/>
              </w:rPr>
              <w:t>elect to set aside as Contributions; and</w:t>
            </w:r>
          </w:p>
        </w:tc>
        <w:tc>
          <w:tcPr>
            <w:tcW w:w="7100" w:type="dxa"/>
            <w:vAlign w:val="bottom"/>
          </w:tcPr>
          <w:p>
            <w:pPr>
              <w:spacing w:after="0"/>
              <w:rPr>
                <w:sz w:val="23"/>
                <w:szCs w:val="23"/>
                <w:color w:val="auto"/>
              </w:rPr>
            </w:pPr>
          </w:p>
        </w:tc>
      </w:tr>
      <w:tr>
        <w:trPr>
          <w:trHeight w:val="486"/>
        </w:trPr>
        <w:tc>
          <w:tcPr>
            <w:tcW w:w="4140" w:type="dxa"/>
            <w:vAlign w:val="bottom"/>
          </w:tcPr>
          <w:p>
            <w:pPr>
              <w:jc w:val="center"/>
              <w:ind w:left="872"/>
              <w:spacing w:after="0"/>
              <w:rPr>
                <w:sz w:val="20"/>
                <w:szCs w:val="20"/>
                <w:color w:val="auto"/>
              </w:rPr>
            </w:pPr>
            <w:r>
              <w:rPr>
                <w:rFonts w:ascii="Arial" w:cs="Arial" w:eastAsia="Arial" w:hAnsi="Arial"/>
                <w:sz w:val="22"/>
                <w:szCs w:val="22"/>
                <w:color w:val="auto"/>
                <w:w w:val="93"/>
              </w:rPr>
              <w:t>(v)</w:t>
            </w:r>
          </w:p>
        </w:tc>
        <w:tc>
          <w:tcPr>
            <w:tcW w:w="7100" w:type="dxa"/>
            <w:vAlign w:val="bottom"/>
          </w:tcPr>
          <w:p>
            <w:pPr>
              <w:jc w:val="right"/>
              <w:spacing w:after="0"/>
              <w:rPr>
                <w:sz w:val="20"/>
                <w:szCs w:val="20"/>
                <w:color w:val="auto"/>
              </w:rPr>
            </w:pPr>
            <w:r>
              <w:rPr>
                <w:rFonts w:ascii="Arial" w:cs="Arial" w:eastAsia="Arial" w:hAnsi="Arial"/>
                <w:sz w:val="22"/>
                <w:szCs w:val="22"/>
                <w:color w:val="auto"/>
              </w:rPr>
              <w:t>reducing  the  maximum  number  of  shares  of  Common  Stock  a</w:t>
            </w:r>
          </w:p>
        </w:tc>
      </w:tr>
    </w:tbl>
    <w:p>
      <w:pPr>
        <w:spacing w:after="0"/>
        <w:rPr>
          <w:sz w:val="20"/>
          <w:szCs w:val="20"/>
          <w:color w:val="auto"/>
        </w:rPr>
      </w:pPr>
      <w:r>
        <w:rPr>
          <w:rFonts w:ascii="Arial" w:cs="Arial" w:eastAsia="Arial" w:hAnsi="Arial"/>
          <w:sz w:val="22"/>
          <w:szCs w:val="22"/>
          <w:color w:val="auto"/>
        </w:rPr>
        <w:t>Participant may purchase during any Offering Period or Purchase Period.</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Such modifications or amendments will not require stockholder approval or the consent of any Participants.</w:t>
      </w:r>
    </w:p>
    <w:p>
      <w:pPr>
        <w:spacing w:after="0" w:line="233" w:lineRule="exact"/>
        <w:rPr>
          <w:sz w:val="20"/>
          <w:szCs w:val="20"/>
          <w:color w:val="auto"/>
        </w:rPr>
      </w:pPr>
    </w:p>
    <w:p>
      <w:pPr>
        <w:jc w:val="both"/>
        <w:ind w:firstLine="800"/>
        <w:spacing w:after="0" w:line="266" w:lineRule="auto"/>
        <w:tabs>
          <w:tab w:leader="none" w:pos="1451" w:val="left"/>
        </w:tabs>
        <w:numPr>
          <w:ilvl w:val="0"/>
          <w:numId w:val="33"/>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notices or other communications by a Participant to the Company under or in connection with the Plan will be deemed to have been duly given when received in the form and manner specified by the Company at the location, or by the person, designated by the Company for the receipt thereof.</w:t>
      </w:r>
    </w:p>
    <w:p>
      <w:pPr>
        <w:spacing w:after="0" w:line="184" w:lineRule="exact"/>
        <w:rPr>
          <w:rFonts w:ascii="Arial" w:cs="Arial" w:eastAsia="Arial" w:hAnsi="Arial"/>
          <w:sz w:val="22"/>
          <w:szCs w:val="22"/>
          <w:u w:val="single" w:color="auto"/>
          <w:color w:val="auto"/>
        </w:rPr>
      </w:pPr>
    </w:p>
    <w:p>
      <w:pPr>
        <w:jc w:val="both"/>
        <w:ind w:firstLine="800"/>
        <w:spacing w:after="0" w:line="311" w:lineRule="auto"/>
        <w:tabs>
          <w:tab w:leader="none" w:pos="1464" w:val="left"/>
        </w:tabs>
        <w:numPr>
          <w:ilvl w:val="0"/>
          <w:numId w:val="33"/>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Conditions Upon Issuance of Shares</w:t>
      </w:r>
      <w:r>
        <w:rPr>
          <w:rFonts w:ascii="Arial" w:cs="Arial" w:eastAsia="Arial" w:hAnsi="Arial"/>
          <w:sz w:val="19"/>
          <w:szCs w:val="19"/>
          <w:color w:val="auto"/>
        </w:rPr>
        <w:t>. Shares of Common Stock will not be issued with respect to an option unless the exercise of such option and the issuance and delivery of such shares pursuant thereto will comply with all applicable provisions of law, domestic or foreign, including, without limitation, the U.S. Securities Act of 1933, as amended, the Exchange Act, the rules and regulations promulgated thereunder, and the requirements of any stock exchange upon which the shares may then be listed, and will be further subject to the approval of counsel for the Company with respect to such compliance.</w:t>
      </w:r>
    </w:p>
    <w:p>
      <w:pPr>
        <w:spacing w:after="0" w:line="150" w:lineRule="exact"/>
        <w:rPr>
          <w:sz w:val="20"/>
          <w:szCs w:val="20"/>
          <w:color w:val="auto"/>
        </w:rPr>
      </w:pPr>
    </w:p>
    <w:p>
      <w:pPr>
        <w:jc w:val="both"/>
        <w:ind w:right="20" w:firstLine="1497"/>
        <w:spacing w:after="0" w:line="257" w:lineRule="auto"/>
        <w:rPr>
          <w:sz w:val="20"/>
          <w:szCs w:val="20"/>
          <w:color w:val="auto"/>
        </w:rPr>
      </w:pPr>
      <w:r>
        <w:rPr>
          <w:rFonts w:ascii="Arial" w:cs="Arial" w:eastAsia="Arial" w:hAnsi="Arial"/>
          <w:sz w:val="22"/>
          <w:szCs w:val="22"/>
          <w:color w:val="auto"/>
        </w:rPr>
        <w:t>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14</w:t>
      </w: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34" w:right="339" w:bottom="1440" w:gutter="0" w:footer="0" w:header="0"/>
        </w:sectPr>
      </w:pPr>
    </w:p>
    <w:bookmarkStart w:id="92" w:name="page93"/>
    <w:bookmarkEnd w:id="92"/>
    <w:p>
      <w:pPr>
        <w:spacing w:after="0" w:line="276" w:lineRule="auto"/>
        <w:rPr>
          <w:sz w:val="20"/>
          <w:szCs w:val="20"/>
          <w:color w:val="auto"/>
        </w:rPr>
      </w:pPr>
      <w:r>
        <w:rPr>
          <w:rFonts w:ascii="Arial" w:cs="Arial" w:eastAsia="Arial" w:hAnsi="Arial"/>
          <w:sz w:val="22"/>
          <w:szCs w:val="22"/>
          <w:color w:val="auto"/>
        </w:rPr>
        <w:t>if, in the opinion of counsel for the Company, such a representation is required by any of the aforementioned applicable provisions of law.</w:t>
      </w:r>
    </w:p>
    <w:p>
      <w:pPr>
        <w:spacing w:after="0" w:line="174" w:lineRule="exact"/>
        <w:rPr>
          <w:sz w:val="20"/>
          <w:szCs w:val="20"/>
          <w:color w:val="auto"/>
        </w:rPr>
      </w:pPr>
    </w:p>
    <w:p>
      <w:pPr>
        <w:jc w:val="both"/>
        <w:ind w:firstLine="800"/>
        <w:spacing w:after="0" w:line="302" w:lineRule="auto"/>
        <w:tabs>
          <w:tab w:leader="none" w:pos="1451" w:val="left"/>
        </w:tabs>
        <w:numPr>
          <w:ilvl w:val="2"/>
          <w:numId w:val="34"/>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Code Section 409A.</w:t>
      </w:r>
      <w:r>
        <w:rPr>
          <w:rFonts w:ascii="Arial" w:cs="Arial" w:eastAsia="Arial" w:hAnsi="Arial"/>
          <w:sz w:val="19"/>
          <w:szCs w:val="19"/>
          <w:color w:val="auto"/>
        </w:rPr>
        <w:t xml:space="preserve"> The 423 Component of the Plan is exempt from the application of Code Section 409A and any ambiguities herein will be interpreted to so be exempt from Code Section 409A. In furtherance of the foregoing and notwithstanding any provision in the Plan to the contrary, if the Administrator determines that an option granted under the Plan may be subject to Code Section 409A or that any provision in the Plan would cause an option under the Plan to be subject to Code Section 409A, the Administrator may amend the terms of the Plan and/or of an outstanding option granted under the Plan, or take such other action the Administrator determines is necessary or appropriate, in each case, without the Participant’s consent, to exempt any outstanding option or future option that may be granted under the Plan from or to allow any such options to comply with Code Section 409A, but only to the extent any such amendments or action by the Administrator would not violate Code Section 409A. Notwithstanding the foregoing, the Company will have no liability to a Participant or any other party if the option to purchase Common Stock under the Plan that is intended to be exempt from or compliant with Code Section 409A is not so exempt or compliant or for any action taken by the Administrator with respect thereto. The Company makes no representation that the option to purchase Common Stock under the Plan is compliant with Code Section 409A.</w:t>
      </w:r>
    </w:p>
    <w:p>
      <w:pPr>
        <w:spacing w:after="0" w:line="156" w:lineRule="exact"/>
        <w:rPr>
          <w:rFonts w:ascii="Arial" w:cs="Arial" w:eastAsia="Arial" w:hAnsi="Arial"/>
          <w:sz w:val="19"/>
          <w:szCs w:val="19"/>
          <w:u w:val="single" w:color="auto"/>
          <w:color w:val="auto"/>
        </w:rPr>
      </w:pPr>
    </w:p>
    <w:p>
      <w:pPr>
        <w:jc w:val="both"/>
        <w:ind w:firstLine="800"/>
        <w:spacing w:after="0" w:line="266" w:lineRule="auto"/>
        <w:tabs>
          <w:tab w:leader="none" w:pos="1451" w:val="left"/>
        </w:tabs>
        <w:numPr>
          <w:ilvl w:val="2"/>
          <w:numId w:val="34"/>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Term of Plan</w:t>
      </w:r>
      <w:r>
        <w:rPr>
          <w:rFonts w:ascii="Arial" w:cs="Arial" w:eastAsia="Arial" w:hAnsi="Arial"/>
          <w:sz w:val="22"/>
          <w:szCs w:val="22"/>
          <w:color w:val="auto"/>
        </w:rPr>
        <w:t>. The Plan will become effective upon the later to occur of (i) its adoption by the Board or (ii) its approval by the stockholders of the Company. It will continue in effect for a term of twenty (20) years, unless sooner terminated under Section 20.</w:t>
      </w:r>
    </w:p>
    <w:p>
      <w:pPr>
        <w:spacing w:after="0" w:line="184" w:lineRule="exact"/>
        <w:rPr>
          <w:rFonts w:ascii="Arial" w:cs="Arial" w:eastAsia="Arial" w:hAnsi="Arial"/>
          <w:sz w:val="22"/>
          <w:szCs w:val="22"/>
          <w:u w:val="single" w:color="auto"/>
          <w:color w:val="auto"/>
        </w:rPr>
      </w:pPr>
    </w:p>
    <w:p>
      <w:pPr>
        <w:ind w:left="1460" w:hanging="660"/>
        <w:spacing w:after="0"/>
        <w:tabs>
          <w:tab w:leader="none" w:pos="1460" w:val="left"/>
        </w:tabs>
        <w:numPr>
          <w:ilvl w:val="2"/>
          <w:numId w:val="34"/>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Stockholder Approval</w:t>
      </w:r>
      <w:r>
        <w:rPr>
          <w:rFonts w:ascii="Arial" w:cs="Arial" w:eastAsia="Arial" w:hAnsi="Arial"/>
          <w:sz w:val="19"/>
          <w:szCs w:val="19"/>
          <w:color w:val="auto"/>
        </w:rPr>
        <w:t>. The Plan will be subject to approval by the stockholders of the Company within twelve</w:t>
      </w:r>
    </w:p>
    <w:p>
      <w:pPr>
        <w:spacing w:after="0" w:line="55" w:lineRule="exact"/>
        <w:rPr>
          <w:rFonts w:ascii="Arial" w:cs="Arial" w:eastAsia="Arial" w:hAnsi="Arial"/>
          <w:sz w:val="19"/>
          <w:szCs w:val="19"/>
          <w:u w:val="single" w:color="auto"/>
          <w:color w:val="auto"/>
        </w:rPr>
      </w:pPr>
    </w:p>
    <w:p>
      <w:pPr>
        <w:ind w:firstLine="8"/>
        <w:spacing w:after="0" w:line="272" w:lineRule="auto"/>
        <w:tabs>
          <w:tab w:leader="none" w:pos="417" w:val="left"/>
        </w:tabs>
        <w:numPr>
          <w:ilvl w:val="0"/>
          <w:numId w:val="35"/>
        </w:numPr>
        <w:rPr>
          <w:rFonts w:ascii="Arial" w:cs="Arial" w:eastAsia="Arial" w:hAnsi="Arial"/>
          <w:sz w:val="22"/>
          <w:szCs w:val="22"/>
          <w:color w:val="auto"/>
        </w:rPr>
      </w:pPr>
      <w:r>
        <w:rPr>
          <w:rFonts w:ascii="Arial" w:cs="Arial" w:eastAsia="Arial" w:hAnsi="Arial"/>
          <w:sz w:val="22"/>
          <w:szCs w:val="22"/>
          <w:color w:val="auto"/>
        </w:rPr>
        <w:t>months after the date the Plan is adopted by the Board. Such stockholder approval will be obtained in the manner and to the degree required under Applicable Laws.</w:t>
      </w:r>
    </w:p>
    <w:p>
      <w:pPr>
        <w:spacing w:after="0" w:line="178" w:lineRule="exact"/>
        <w:rPr>
          <w:rFonts w:ascii="Arial" w:cs="Arial" w:eastAsia="Arial" w:hAnsi="Arial"/>
          <w:sz w:val="22"/>
          <w:szCs w:val="22"/>
          <w:color w:val="auto"/>
        </w:rPr>
      </w:pPr>
    </w:p>
    <w:p>
      <w:pPr>
        <w:ind w:firstLine="800"/>
        <w:spacing w:after="0" w:line="276" w:lineRule="auto"/>
        <w:tabs>
          <w:tab w:leader="none" w:pos="1478" w:val="left"/>
        </w:tabs>
        <w:numPr>
          <w:ilvl w:val="2"/>
          <w:numId w:val="35"/>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The Plan will be governed by, and construed in accordance with, the laws of the State of Delaware (except its choice-of-law provisions).</w:t>
      </w:r>
    </w:p>
    <w:p>
      <w:pPr>
        <w:spacing w:after="0" w:line="174" w:lineRule="exact"/>
        <w:rPr>
          <w:rFonts w:ascii="Arial" w:cs="Arial" w:eastAsia="Arial" w:hAnsi="Arial"/>
          <w:sz w:val="22"/>
          <w:szCs w:val="22"/>
          <w:u w:val="single" w:color="auto"/>
          <w:color w:val="auto"/>
        </w:rPr>
      </w:pPr>
    </w:p>
    <w:p>
      <w:pPr>
        <w:jc w:val="both"/>
        <w:ind w:firstLine="800"/>
        <w:spacing w:after="0" w:line="262" w:lineRule="auto"/>
        <w:tabs>
          <w:tab w:leader="none" w:pos="1451" w:val="left"/>
        </w:tabs>
        <w:numPr>
          <w:ilvl w:val="2"/>
          <w:numId w:val="35"/>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No Right to Employment</w:t>
      </w:r>
      <w:r>
        <w:rPr>
          <w:rFonts w:ascii="Arial" w:cs="Arial" w:eastAsia="Arial" w:hAnsi="Arial"/>
          <w:sz w:val="22"/>
          <w:szCs w:val="22"/>
          <w:color w:val="auto"/>
        </w:rPr>
        <w:t>. Participation in the Plan by a Participant will not be construed as giving a Participant the right to be retained as an employee of the Company or a Subsidiary or Affiliate of the Company, as applicable. Further, the Company or a Subsidiary or Affiliate of the Company may dismiss a Participant from employment at any time, free from any liability or any claim under the Plan.</w:t>
      </w:r>
    </w:p>
    <w:p>
      <w:pPr>
        <w:spacing w:after="0" w:line="191" w:lineRule="exact"/>
        <w:rPr>
          <w:rFonts w:ascii="Arial" w:cs="Arial" w:eastAsia="Arial" w:hAnsi="Arial"/>
          <w:sz w:val="22"/>
          <w:szCs w:val="22"/>
          <w:u w:val="single" w:color="auto"/>
          <w:color w:val="auto"/>
        </w:rPr>
      </w:pPr>
    </w:p>
    <w:p>
      <w:pPr>
        <w:jc w:val="both"/>
        <w:ind w:firstLine="800"/>
        <w:spacing w:after="0" w:line="262" w:lineRule="auto"/>
        <w:tabs>
          <w:tab w:leader="none" w:pos="1451" w:val="left"/>
        </w:tabs>
        <w:numPr>
          <w:ilvl w:val="2"/>
          <w:numId w:val="35"/>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If any provision of the Plan is or becomes or is deemed to be invalid, illegal, or unenforceable for any reason in any jurisdiction or as to any Participant, such invalidity, illegality or unenforceability will not affect the remaining parts of the Plan, and the Plan will be construed and enforced as to such jurisdiction or Participant as if the invalid, illegal or unenforceable provision had not been included.</w:t>
      </w:r>
    </w:p>
    <w:p>
      <w:pPr>
        <w:spacing w:after="0" w:line="191" w:lineRule="exact"/>
        <w:rPr>
          <w:rFonts w:ascii="Arial" w:cs="Arial" w:eastAsia="Arial" w:hAnsi="Arial"/>
          <w:sz w:val="22"/>
          <w:szCs w:val="22"/>
          <w:u w:val="single" w:color="auto"/>
          <w:color w:val="auto"/>
        </w:rPr>
      </w:pPr>
    </w:p>
    <w:p>
      <w:pPr>
        <w:ind w:firstLine="757"/>
        <w:spacing w:after="0" w:line="276" w:lineRule="auto"/>
        <w:tabs>
          <w:tab w:leader="none" w:pos="1194" w:val="left"/>
        </w:tabs>
        <w:numPr>
          <w:ilvl w:val="1"/>
          <w:numId w:val="35"/>
        </w:numPr>
        <w:rPr>
          <w:rFonts w:ascii="Arial" w:cs="Arial" w:eastAsia="Arial" w:hAnsi="Arial"/>
          <w:sz w:val="22"/>
          <w:szCs w:val="22"/>
          <w:color w:val="auto"/>
        </w:rPr>
      </w:pPr>
      <w:r>
        <w:rPr>
          <w:rFonts w:ascii="Arial" w:cs="Arial" w:eastAsia="Arial" w:hAnsi="Arial"/>
          <w:sz w:val="22"/>
          <w:szCs w:val="22"/>
          <w:u w:val="single" w:color="auto"/>
          <w:color w:val="auto"/>
        </w:rPr>
        <w:t>Compliance with Applicable Laws</w:t>
      </w:r>
      <w:r>
        <w:rPr>
          <w:rFonts w:ascii="Arial" w:cs="Arial" w:eastAsia="Arial" w:hAnsi="Arial"/>
          <w:sz w:val="22"/>
          <w:szCs w:val="22"/>
          <w:color w:val="auto"/>
        </w:rPr>
        <w:t>. The terms of this Plan are intended to comply with all Applicable Laws and will be construed accordingly.</w:t>
      </w:r>
    </w:p>
    <w:p>
      <w:pPr>
        <w:spacing w:after="0" w:line="174" w:lineRule="exact"/>
        <w:rPr>
          <w:rFonts w:ascii="Arial" w:cs="Arial" w:eastAsia="Arial" w:hAnsi="Arial"/>
          <w:sz w:val="22"/>
          <w:szCs w:val="22"/>
          <w:color w:val="auto"/>
        </w:rPr>
      </w:pPr>
    </w:p>
    <w:p>
      <w:pPr>
        <w:jc w:val="both"/>
        <w:ind w:firstLine="757"/>
        <w:spacing w:after="0" w:line="257" w:lineRule="auto"/>
        <w:tabs>
          <w:tab w:leader="none" w:pos="1181" w:val="left"/>
        </w:tabs>
        <w:numPr>
          <w:ilvl w:val="1"/>
          <w:numId w:val="35"/>
        </w:numPr>
        <w:rPr>
          <w:rFonts w:ascii="Arial" w:cs="Arial" w:eastAsia="Arial" w:hAnsi="Arial"/>
          <w:sz w:val="22"/>
          <w:szCs w:val="22"/>
          <w:color w:val="auto"/>
        </w:rPr>
      </w:pPr>
      <w:r>
        <w:rPr>
          <w:rFonts w:ascii="Arial" w:cs="Arial" w:eastAsia="Arial" w:hAnsi="Arial"/>
          <w:sz w:val="22"/>
          <w:szCs w:val="22"/>
          <w:u w:val="single" w:color="auto"/>
          <w:color w:val="auto"/>
        </w:rPr>
        <w:t>Automatic Transfer to Low Price Offering Period</w:t>
      </w:r>
      <w:r>
        <w:rPr>
          <w:rFonts w:ascii="Arial" w:cs="Arial" w:eastAsia="Arial" w:hAnsi="Arial"/>
          <w:sz w:val="22"/>
          <w:szCs w:val="22"/>
          <w:color w:val="auto"/>
        </w:rPr>
        <w:t>. To the extent permitted by Applicable Laws, if the Fair Market Value on any Exercise Date in an Offering Period is lower than the Fair Market Value on the Enrollment Date of such Offering Period, then all Participants in such</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15</w:t>
      </w: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34" w:right="339" w:bottom="1440" w:gutter="0" w:footer="0" w:header="0"/>
        </w:sectPr>
      </w:pPr>
    </w:p>
    <w:bookmarkStart w:id="93" w:name="page94"/>
    <w:bookmarkEnd w:id="93"/>
    <w:p>
      <w:pPr>
        <w:spacing w:after="0" w:line="358" w:lineRule="auto"/>
        <w:rPr>
          <w:sz w:val="20"/>
          <w:szCs w:val="20"/>
          <w:color w:val="auto"/>
        </w:rPr>
      </w:pPr>
      <w:r>
        <w:rPr>
          <w:rFonts w:ascii="Arial" w:cs="Arial" w:eastAsia="Arial" w:hAnsi="Arial"/>
          <w:sz w:val="19"/>
          <w:szCs w:val="19"/>
          <w:color w:val="auto"/>
        </w:rPr>
        <w:t>Offering Period automatically will be withdrawn from such Offering Period immediately after the exercise of their option on such Exercise Date and automatically re-enrolled in the immediately following Offering Period as of the first day thereof.</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16</w:t>
      </w: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34" w:right="359" w:bottom="1440" w:gutter="0" w:footer="0" w:header="0"/>
        </w:sectPr>
      </w:pPr>
    </w:p>
    <w:bookmarkStart w:id="94" w:name="page95"/>
    <w:bookmarkEnd w:id="94"/>
    <w:p>
      <w:pPr>
        <w:jc w:val="center"/>
        <w:ind w:right="-19"/>
        <w:spacing w:after="0"/>
        <w:rPr>
          <w:sz w:val="20"/>
          <w:szCs w:val="20"/>
          <w:color w:val="auto"/>
        </w:rPr>
      </w:pPr>
      <w:r>
        <w:rPr>
          <w:rFonts w:ascii="Arial" w:cs="Arial" w:eastAsia="Arial" w:hAnsi="Arial"/>
          <w:sz w:val="22"/>
          <w:szCs w:val="22"/>
          <w:b w:val="1"/>
          <w:bCs w:val="1"/>
          <w:u w:val="single" w:color="auto"/>
          <w:color w:val="auto"/>
        </w:rPr>
        <w:t>EXHIBIT A</w:t>
      </w:r>
    </w:p>
    <w:p>
      <w:pPr>
        <w:spacing w:after="0" w:line="200" w:lineRule="exact"/>
        <w:rPr>
          <w:sz w:val="20"/>
          <w:szCs w:val="20"/>
          <w:color w:val="auto"/>
        </w:rPr>
      </w:pPr>
    </w:p>
    <w:p>
      <w:pPr>
        <w:spacing w:after="0" w:line="303" w:lineRule="exact"/>
        <w:rPr>
          <w:sz w:val="20"/>
          <w:szCs w:val="20"/>
          <w:color w:val="auto"/>
        </w:rPr>
      </w:pPr>
    </w:p>
    <w:p>
      <w:pPr>
        <w:ind w:left="3920"/>
        <w:spacing w:after="0"/>
        <w:rPr>
          <w:sz w:val="20"/>
          <w:szCs w:val="20"/>
          <w:color w:val="auto"/>
        </w:rPr>
      </w:pPr>
      <w:r>
        <w:rPr>
          <w:rFonts w:ascii="Arial" w:cs="Arial" w:eastAsia="Arial" w:hAnsi="Arial"/>
          <w:sz w:val="22"/>
          <w:szCs w:val="22"/>
          <w:b w:val="1"/>
          <w:bCs w:val="1"/>
          <w:color w:val="auto"/>
        </w:rPr>
        <w:t>ORIC PHARMACEUTICALS, INC.</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2020 EMPLOYEE STOCK PURCHASE PLAN</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SUBSCRIPTION AGREEMENT</w:t>
      </w:r>
    </w:p>
    <w:p>
      <w:pPr>
        <w:sectPr>
          <w:pgSz w:w="11900" w:h="16838" w:orient="portrait"/>
          <w:cols w:equalWidth="0" w:num="1">
            <w:col w:w="11240"/>
          </w:cols>
          <w:pgMar w:left="320" w:top="828" w:right="33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color w:val="auto"/>
        </w:rPr>
        <w:t>_____ Original Application</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_____ Change in Payroll Deduction Rate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color w:val="auto"/>
        </w:rPr>
        <w:t>Offering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832485</wp:posOffset>
            </wp:positionH>
            <wp:positionV relativeFrom="paragraph">
              <wp:posOffset>3175</wp:posOffset>
            </wp:positionV>
            <wp:extent cx="108458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6">
                      <a:extLst>
                        <a:ext uri="{28A0092B-C50C-407E-A947-70E740481C1C}"/>
                      </a:extLst>
                    </a:blip>
                    <a:srcRect/>
                    <a:stretch>
                      <a:fillRect/>
                    </a:stretch>
                  </pic:blipFill>
                  <pic:spPr bwMode="auto">
                    <a:xfrm>
                      <a:off x="0" y="0"/>
                      <a:ext cx="1084580" cy="8890"/>
                    </a:xfrm>
                    <a:prstGeom prst="rect">
                      <a:avLst/>
                    </a:prstGeom>
                    <a:noFill/>
                  </pic:spPr>
                </pic:pic>
              </a:graphicData>
            </a:graphic>
          </wp:anchor>
        </w:drawing>
      </w:r>
    </w:p>
    <w:p>
      <w:pPr>
        <w:spacing w:after="0" w:line="474" w:lineRule="exact"/>
        <w:rPr>
          <w:sz w:val="20"/>
          <w:szCs w:val="20"/>
          <w:color w:val="auto"/>
        </w:rPr>
      </w:pPr>
    </w:p>
    <w:p>
      <w:pPr>
        <w:sectPr>
          <w:pgSz w:w="11900" w:h="16838" w:orient="portrait"/>
          <w:cols w:equalWidth="0" w:num="2">
            <w:col w:w="3560" w:space="340"/>
            <w:col w:w="7340"/>
          </w:cols>
          <w:pgMar w:left="320" w:top="828" w:right="339" w:bottom="1440" w:gutter="0" w:footer="0" w:header="0"/>
          <w:type w:val="continuous"/>
        </w:sectPr>
      </w:pPr>
    </w:p>
    <w:p>
      <w:pPr>
        <w:spacing w:after="0" w:line="63" w:lineRule="exact"/>
        <w:rPr>
          <w:sz w:val="20"/>
          <w:szCs w:val="20"/>
          <w:color w:val="auto"/>
        </w:rPr>
      </w:pPr>
    </w:p>
    <w:p>
      <w:pPr>
        <w:jc w:val="both"/>
        <w:ind w:firstLine="800"/>
        <w:spacing w:after="0" w:line="279" w:lineRule="auto"/>
        <w:tabs>
          <w:tab w:leader="none" w:pos="1478" w:val="left"/>
        </w:tabs>
        <w:numPr>
          <w:ilvl w:val="1"/>
          <w:numId w:val="36"/>
        </w:numPr>
        <w:rPr>
          <w:rFonts w:ascii="Arial" w:cs="Arial" w:eastAsia="Arial" w:hAnsi="Arial"/>
          <w:sz w:val="21"/>
          <w:szCs w:val="21"/>
          <w:color w:val="auto"/>
        </w:rPr>
      </w:pPr>
      <w:r>
        <w:rPr>
          <w:rFonts w:ascii="Arial" w:cs="Arial" w:eastAsia="Arial" w:hAnsi="Arial"/>
          <w:sz w:val="21"/>
          <w:szCs w:val="21"/>
          <w:color w:val="auto"/>
        </w:rPr>
        <w:t>____________________ (“Employee”) hereby elects to participate in the ORIC Pharmaceuticals, Inc. 2020 Employee Stock Purchase Plan (the “Plan”) and subscribes to purchase shares of the Company’s Common Stock in accordance with this Subscription Agreement and the Plan. Unless otherwise defined herein, the terms defined in the 2020 Employee Stock Purchase Plan (the “Plan”) shall have the same defined meanings in this Subscription Agreement.</w:t>
      </w:r>
    </w:p>
    <w:p>
      <w:pPr>
        <w:spacing w:after="0" w:line="173" w:lineRule="exact"/>
        <w:rPr>
          <w:rFonts w:ascii="Arial" w:cs="Arial" w:eastAsia="Arial" w:hAnsi="Arial"/>
          <w:sz w:val="21"/>
          <w:szCs w:val="21"/>
          <w:color w:val="auto"/>
        </w:rPr>
      </w:pPr>
    </w:p>
    <w:p>
      <w:pPr>
        <w:jc w:val="both"/>
        <w:ind w:firstLine="800"/>
        <w:spacing w:after="0" w:line="327" w:lineRule="auto"/>
        <w:tabs>
          <w:tab w:leader="none" w:pos="1451" w:val="left"/>
        </w:tabs>
        <w:numPr>
          <w:ilvl w:val="1"/>
          <w:numId w:val="36"/>
        </w:numPr>
        <w:rPr>
          <w:rFonts w:ascii="Arial" w:cs="Arial" w:eastAsia="Arial" w:hAnsi="Arial"/>
          <w:sz w:val="19"/>
          <w:szCs w:val="19"/>
          <w:color w:val="auto"/>
        </w:rPr>
      </w:pPr>
      <w:r>
        <w:rPr>
          <w:rFonts w:ascii="Arial" w:cs="Arial" w:eastAsia="Arial" w:hAnsi="Arial"/>
          <w:sz w:val="19"/>
          <w:szCs w:val="19"/>
          <w:color w:val="auto"/>
        </w:rPr>
        <w:t>Employee hereby authorizes payroll deductions from each paycheck in the amount of ____% (from one percent (1%) to fifteen percent (15%), a decrease in rate may be to zero percent (0%)) of his or her Compensation on each payday during the Offering Period in accordance with the Plan. (Please note that no fractional percentages are permitted.)</w:t>
      </w:r>
    </w:p>
    <w:p>
      <w:pPr>
        <w:spacing w:after="0" w:line="132" w:lineRule="exact"/>
        <w:rPr>
          <w:rFonts w:ascii="Arial" w:cs="Arial" w:eastAsia="Arial" w:hAnsi="Arial"/>
          <w:sz w:val="19"/>
          <w:szCs w:val="19"/>
          <w:color w:val="auto"/>
        </w:rPr>
      </w:pPr>
    </w:p>
    <w:p>
      <w:pPr>
        <w:jc w:val="both"/>
        <w:ind w:firstLine="800"/>
        <w:spacing w:after="0" w:line="262" w:lineRule="auto"/>
        <w:tabs>
          <w:tab w:leader="none" w:pos="1464" w:val="left"/>
        </w:tabs>
        <w:numPr>
          <w:ilvl w:val="1"/>
          <w:numId w:val="36"/>
        </w:numPr>
        <w:rPr>
          <w:rFonts w:ascii="Arial" w:cs="Arial" w:eastAsia="Arial" w:hAnsi="Arial"/>
          <w:sz w:val="22"/>
          <w:szCs w:val="22"/>
          <w:color w:val="auto"/>
        </w:rPr>
      </w:pPr>
      <w:r>
        <w:rPr>
          <w:rFonts w:ascii="Arial" w:cs="Arial" w:eastAsia="Arial" w:hAnsi="Arial"/>
          <w:sz w:val="22"/>
          <w:szCs w:val="22"/>
          <w:color w:val="auto"/>
        </w:rPr>
        <w:t>Employee understands that said payroll deductions will be accumulated for the purchase of shares of Common Stock at the applicable Purchase Price determined in accordance with the Plan. Employee understands that if he or she does not withdraw from an Offering Period, any accumulated payroll deductions will be used to automatically exercise his or her option and purchase Common Stock under the Plan.</w:t>
      </w:r>
    </w:p>
    <w:p>
      <w:pPr>
        <w:spacing w:after="0" w:line="191" w:lineRule="exact"/>
        <w:rPr>
          <w:rFonts w:ascii="Arial" w:cs="Arial" w:eastAsia="Arial" w:hAnsi="Arial"/>
          <w:sz w:val="22"/>
          <w:szCs w:val="22"/>
          <w:color w:val="auto"/>
        </w:rPr>
      </w:pPr>
    </w:p>
    <w:p>
      <w:pPr>
        <w:ind w:firstLine="800"/>
        <w:spacing w:after="0" w:line="276" w:lineRule="auto"/>
        <w:tabs>
          <w:tab w:leader="none" w:pos="1464" w:val="left"/>
        </w:tabs>
        <w:numPr>
          <w:ilvl w:val="1"/>
          <w:numId w:val="36"/>
        </w:numPr>
        <w:rPr>
          <w:rFonts w:ascii="Arial" w:cs="Arial" w:eastAsia="Arial" w:hAnsi="Arial"/>
          <w:sz w:val="22"/>
          <w:szCs w:val="22"/>
          <w:color w:val="auto"/>
        </w:rPr>
      </w:pPr>
      <w:r>
        <w:rPr>
          <w:rFonts w:ascii="Arial" w:cs="Arial" w:eastAsia="Arial" w:hAnsi="Arial"/>
          <w:sz w:val="22"/>
          <w:szCs w:val="22"/>
          <w:color w:val="auto"/>
        </w:rPr>
        <w:t>Employee has received a copy of the complete Plan and its accompanying prospectus. Employee understands that his or her participation in the Plan is in all respects subject to the terms of the Plan.</w:t>
      </w:r>
    </w:p>
    <w:p>
      <w:pPr>
        <w:spacing w:after="0" w:line="174" w:lineRule="exact"/>
        <w:rPr>
          <w:rFonts w:ascii="Arial" w:cs="Arial" w:eastAsia="Arial" w:hAnsi="Arial"/>
          <w:sz w:val="22"/>
          <w:szCs w:val="22"/>
          <w:color w:val="auto"/>
        </w:rPr>
      </w:pPr>
    </w:p>
    <w:p>
      <w:pPr>
        <w:ind w:right="20" w:firstLine="800"/>
        <w:spacing w:after="0" w:line="276" w:lineRule="auto"/>
        <w:tabs>
          <w:tab w:leader="none" w:pos="1451" w:val="left"/>
        </w:tabs>
        <w:numPr>
          <w:ilvl w:val="1"/>
          <w:numId w:val="36"/>
        </w:numPr>
        <w:rPr>
          <w:rFonts w:ascii="Arial" w:cs="Arial" w:eastAsia="Arial" w:hAnsi="Arial"/>
          <w:sz w:val="22"/>
          <w:szCs w:val="22"/>
          <w:color w:val="auto"/>
        </w:rPr>
      </w:pPr>
      <w:r>
        <w:rPr>
          <w:rFonts w:ascii="Arial" w:cs="Arial" w:eastAsia="Arial" w:hAnsi="Arial"/>
          <w:sz w:val="22"/>
          <w:szCs w:val="22"/>
          <w:color w:val="auto"/>
        </w:rPr>
        <w:t>Shares of Common Stock purchased by Employee under the Plan should be issued in the name(s) of Employee unless otherwise designated by Employee to by Employee and Employee’s spouse.</w:t>
      </w:r>
    </w:p>
    <w:p>
      <w:pPr>
        <w:spacing w:after="0" w:line="174" w:lineRule="exact"/>
        <w:rPr>
          <w:rFonts w:ascii="Arial" w:cs="Arial" w:eastAsia="Arial" w:hAnsi="Arial"/>
          <w:sz w:val="22"/>
          <w:szCs w:val="22"/>
          <w:color w:val="auto"/>
        </w:rPr>
      </w:pPr>
    </w:p>
    <w:p>
      <w:pPr>
        <w:ind w:left="1460" w:hanging="660"/>
        <w:spacing w:after="0"/>
        <w:tabs>
          <w:tab w:leader="none" w:pos="1460" w:val="left"/>
        </w:tabs>
        <w:numPr>
          <w:ilvl w:val="1"/>
          <w:numId w:val="36"/>
        </w:numPr>
        <w:rPr>
          <w:rFonts w:ascii="Arial" w:cs="Arial" w:eastAsia="Arial" w:hAnsi="Arial"/>
          <w:sz w:val="19"/>
          <w:szCs w:val="19"/>
          <w:color w:val="auto"/>
        </w:rPr>
      </w:pPr>
      <w:r>
        <w:rPr>
          <w:rFonts w:ascii="Arial" w:cs="Arial" w:eastAsia="Arial" w:hAnsi="Arial"/>
          <w:sz w:val="19"/>
          <w:szCs w:val="19"/>
          <w:color w:val="auto"/>
        </w:rPr>
        <w:t>Employee understands that if he or she disposes of any shares that he or she purchased under the Plan within two</w:t>
      </w:r>
    </w:p>
    <w:p>
      <w:pPr>
        <w:spacing w:after="0" w:line="55" w:lineRule="exact"/>
        <w:rPr>
          <w:rFonts w:ascii="Arial" w:cs="Arial" w:eastAsia="Arial" w:hAnsi="Arial"/>
          <w:sz w:val="19"/>
          <w:szCs w:val="19"/>
          <w:color w:val="auto"/>
        </w:rPr>
      </w:pPr>
    </w:p>
    <w:p>
      <w:pPr>
        <w:jc w:val="both"/>
        <w:ind w:firstLine="8"/>
        <w:spacing w:after="0" w:line="296" w:lineRule="auto"/>
        <w:tabs>
          <w:tab w:leader="none" w:pos="311" w:val="left"/>
        </w:tabs>
        <w:numPr>
          <w:ilvl w:val="0"/>
          <w:numId w:val="37"/>
        </w:numPr>
        <w:rPr>
          <w:rFonts w:ascii="Arial" w:cs="Arial" w:eastAsia="Arial" w:hAnsi="Arial"/>
          <w:sz w:val="19"/>
          <w:szCs w:val="19"/>
          <w:color w:val="auto"/>
        </w:rPr>
      </w:pPr>
      <w:r>
        <w:rPr>
          <w:rFonts w:ascii="Arial" w:cs="Arial" w:eastAsia="Arial" w:hAnsi="Arial"/>
          <w:sz w:val="19"/>
          <w:szCs w:val="19"/>
          <w:color w:val="auto"/>
        </w:rPr>
        <w:t xml:space="preserve">years after the Enrollment Date (the first day of the Offering Period during which he or she purchased such shares) or one (1) year after the applicable Exercise Date, he or she will be treated for federal income tax purposes as having received ordinary income at the time of such disposition in an amount equal to the excess of the fair market value of the shares at the time such shares were purchased over the price paid for the shares. </w:t>
      </w:r>
      <w:r>
        <w:rPr>
          <w:rFonts w:ascii="Arial" w:cs="Arial" w:eastAsia="Arial" w:hAnsi="Arial"/>
          <w:sz w:val="19"/>
          <w:szCs w:val="19"/>
          <w:u w:val="single" w:color="auto"/>
          <w:color w:val="auto"/>
        </w:rPr>
        <w:t>Employee hereby agrees to notify the Company in writing within thirty</w:t>
      </w:r>
    </w:p>
    <w:p>
      <w:pPr>
        <w:spacing w:after="0" w:line="2" w:lineRule="exact"/>
        <w:rPr>
          <w:rFonts w:ascii="Arial" w:cs="Arial" w:eastAsia="Arial" w:hAnsi="Arial"/>
          <w:sz w:val="19"/>
          <w:szCs w:val="19"/>
          <w:color w:val="auto"/>
        </w:rPr>
      </w:pPr>
    </w:p>
    <w:p>
      <w:pPr>
        <w:jc w:val="both"/>
        <w:ind w:firstLine="8"/>
        <w:spacing w:after="0" w:line="296" w:lineRule="auto"/>
        <w:tabs>
          <w:tab w:leader="none" w:pos="463" w:val="left"/>
        </w:tabs>
        <w:numPr>
          <w:ilvl w:val="0"/>
          <w:numId w:val="38"/>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days after the date of any disposition of such shares and to make adequate provision for federal, state or other tax withholding obligations, if any, that arise upon the disposition of such shares</w:t>
      </w:r>
      <w:r>
        <w:rPr>
          <w:rFonts w:ascii="Arial" w:cs="Arial" w:eastAsia="Arial" w:hAnsi="Arial"/>
          <w:sz w:val="19"/>
          <w:szCs w:val="19"/>
          <w:color w:val="auto"/>
        </w:rPr>
        <w:t>. The Company may, but will not be obligated to, withhold from Employee’s compensation the amount necessary to meet any applicable withholding obligation including any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17</w:t>
      </w: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8" w:right="339" w:bottom="1440" w:gutter="0" w:footer="0" w:header="0"/>
          <w:type w:val="continuous"/>
        </w:sectPr>
      </w:pPr>
    </w:p>
    <w:bookmarkStart w:id="95" w:name="page96"/>
    <w:bookmarkEnd w:id="95"/>
    <w:p>
      <w:pPr>
        <w:jc w:val="both"/>
        <w:spacing w:after="0" w:line="271" w:lineRule="exact"/>
        <w:rPr>
          <w:sz w:val="20"/>
          <w:szCs w:val="20"/>
          <w:color w:val="auto"/>
        </w:rPr>
      </w:pPr>
      <w:r>
        <w:rPr>
          <w:rFonts w:ascii="Arial" w:cs="Arial" w:eastAsia="Arial" w:hAnsi="Arial"/>
          <w:sz w:val="19"/>
          <w:szCs w:val="19"/>
          <w:color w:val="auto"/>
        </w:rPr>
        <w:t>withholding necessary to make available to the Company any tax deductions or benefits attributable to Employee’s sale or early disposition of such shares. Employee understands that if he or she disposes of such shares at any time after the expiration of the two (2)-year and one</w:t>
      </w:r>
      <w:r>
        <w:rPr>
          <w:rFonts w:ascii="MS PGothic" w:cs="MS PGothic" w:eastAsia="MS PGothic" w:hAnsi="MS PGothic"/>
          <w:sz w:val="19"/>
          <w:szCs w:val="19"/>
          <w:color w:val="auto"/>
        </w:rPr>
        <w:t>‑</w:t>
      </w:r>
      <w:r>
        <w:rPr>
          <w:rFonts w:ascii="Arial" w:cs="Arial" w:eastAsia="Arial" w:hAnsi="Arial"/>
          <w:sz w:val="19"/>
          <w:szCs w:val="19"/>
          <w:color w:val="auto"/>
        </w:rPr>
        <w:t>(1) year holding periods, he or she will be treated for federal income tax purposes as having received income only at the time of such disposition, and that such income will be taxed as ordinary income only to the extent of an amount equal to the lesser of (i) the excess of the fair market value of the shares at the time of such disposition over the purchase price paid for the shares, or (ii) fifteen percent (15%) of the fair market value of the shares on the first day of the Offering Period. The remainder of the gain, if any, recognized on such disposition will be taxed as capital gain.</w:t>
      </w:r>
    </w:p>
    <w:p>
      <w:pPr>
        <w:spacing w:after="0" w:line="213" w:lineRule="exact"/>
        <w:rPr>
          <w:sz w:val="20"/>
          <w:szCs w:val="20"/>
          <w:color w:val="auto"/>
        </w:rPr>
      </w:pPr>
    </w:p>
    <w:p>
      <w:pPr>
        <w:ind w:right="20" w:firstLine="800"/>
        <w:spacing w:after="0" w:line="276" w:lineRule="auto"/>
        <w:tabs>
          <w:tab w:leader="none" w:pos="1451" w:val="left"/>
        </w:tabs>
        <w:numPr>
          <w:ilvl w:val="0"/>
          <w:numId w:val="39"/>
        </w:numPr>
        <w:rPr>
          <w:rFonts w:ascii="Arial" w:cs="Arial" w:eastAsia="Arial" w:hAnsi="Arial"/>
          <w:sz w:val="22"/>
          <w:szCs w:val="22"/>
          <w:color w:val="auto"/>
        </w:rPr>
      </w:pPr>
      <w:r>
        <w:rPr>
          <w:rFonts w:ascii="Arial" w:cs="Arial" w:eastAsia="Arial" w:hAnsi="Arial"/>
          <w:sz w:val="22"/>
          <w:szCs w:val="22"/>
          <w:color w:val="auto"/>
        </w:rPr>
        <w:t>Employee hereby agrees to be bound by the terms of the Plan. The effectiveness of this Subscription Agreement is dependent upon Employee’s eligibility to participate in the Plan.</w:t>
      </w:r>
    </w:p>
    <w:p>
      <w:pPr>
        <w:spacing w:after="0" w:line="200" w:lineRule="exact"/>
        <w:rPr>
          <w:sz w:val="20"/>
          <w:szCs w:val="20"/>
          <w:color w:val="auto"/>
        </w:rPr>
      </w:pPr>
    </w:p>
    <w:p>
      <w:pPr>
        <w:spacing w:after="0" w:line="24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Employee’s Social</w:t>
      </w:r>
    </w:p>
    <w:p>
      <w:pPr>
        <w:spacing w:after="0" w:line="2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Security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2400935</wp:posOffset>
            </wp:positionH>
            <wp:positionV relativeFrom="paragraph">
              <wp:posOffset>-20320</wp:posOffset>
            </wp:positionV>
            <wp:extent cx="164592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8">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9" w:lineRule="exact"/>
        <w:rPr>
          <w:sz w:val="20"/>
          <w:szCs w:val="20"/>
          <w:color w:val="auto"/>
        </w:rPr>
      </w:pPr>
    </w:p>
    <w:p>
      <w:pPr>
        <w:ind w:left="760"/>
        <w:spacing w:after="0"/>
        <w:rPr>
          <w:sz w:val="20"/>
          <w:szCs w:val="20"/>
          <w:color w:val="auto"/>
        </w:rPr>
      </w:pPr>
      <w:r>
        <w:rPr>
          <w:rFonts w:ascii="Arial" w:cs="Arial" w:eastAsia="Arial" w:hAnsi="Arial"/>
          <w:sz w:val="22"/>
          <w:szCs w:val="22"/>
          <w:color w:val="auto"/>
        </w:rPr>
        <w:t>Employee’s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2675255</wp:posOffset>
            </wp:positionH>
            <wp:positionV relativeFrom="paragraph">
              <wp:posOffset>-17780</wp:posOffset>
            </wp:positionV>
            <wp:extent cx="164592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9">
                      <a:extLst>
                        <a:ext uri="{28A0092B-C50C-407E-A947-70E740481C1C}"/>
                      </a:extLst>
                    </a:blip>
                    <a:srcRect/>
                    <a:stretch>
                      <a:fillRect/>
                    </a:stretch>
                  </pic:blipFill>
                  <pic:spPr bwMode="auto">
                    <a:xfrm>
                      <a:off x="0" y="0"/>
                      <a:ext cx="1645920" cy="8255"/>
                    </a:xfrm>
                    <a:prstGeom prst="rect">
                      <a:avLst/>
                    </a:prstGeom>
                    <a:noFill/>
                  </pic:spPr>
                </pic:pic>
              </a:graphicData>
            </a:graphic>
          </wp:anchor>
        </w:drawing>
        <w:drawing>
          <wp:anchor simplePos="0" relativeHeight="251657728" behindDoc="1" locked="0" layoutInCell="0" allowOverlap="1">
            <wp:simplePos x="0" y="0"/>
            <wp:positionH relativeFrom="column">
              <wp:posOffset>2126615</wp:posOffset>
            </wp:positionH>
            <wp:positionV relativeFrom="paragraph">
              <wp:posOffset>290195</wp:posOffset>
            </wp:positionV>
            <wp:extent cx="164592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0">
                      <a:extLst>
                        <a:ext uri="{28A0092B-C50C-407E-A947-70E740481C1C}"/>
                      </a:extLst>
                    </a:blip>
                    <a:srcRect/>
                    <a:stretch>
                      <a:fillRect/>
                    </a:stretch>
                  </pic:blipFill>
                  <pic:spPr bwMode="auto">
                    <a:xfrm>
                      <a:off x="0" y="0"/>
                      <a:ext cx="1645920" cy="8255"/>
                    </a:xfrm>
                    <a:prstGeom prst="rect">
                      <a:avLst/>
                    </a:prstGeom>
                    <a:noFill/>
                  </pic:spPr>
                </pic:pic>
              </a:graphicData>
            </a:graphic>
          </wp:anchor>
        </w:drawing>
        <w:drawing>
          <wp:anchor simplePos="0" relativeHeight="251657728" behindDoc="1" locked="0" layoutInCell="0" allowOverlap="1">
            <wp:simplePos x="0" y="0"/>
            <wp:positionH relativeFrom="column">
              <wp:posOffset>2126615</wp:posOffset>
            </wp:positionH>
            <wp:positionV relativeFrom="paragraph">
              <wp:posOffset>598805</wp:posOffset>
            </wp:positionV>
            <wp:extent cx="164592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1">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980" w:firstLine="749"/>
        <w:spacing w:after="0" w:line="301" w:lineRule="auto"/>
        <w:rPr>
          <w:sz w:val="20"/>
          <w:szCs w:val="20"/>
          <w:color w:val="auto"/>
        </w:rPr>
      </w:pPr>
      <w:r>
        <w:rPr>
          <w:rFonts w:ascii="Arial" w:cs="Arial" w:eastAsia="Arial" w:hAnsi="Arial"/>
          <w:sz w:val="21"/>
          <w:szCs w:val="21"/>
          <w:color w:val="auto"/>
        </w:rPr>
        <w:t>EMPLOYEE UNDERSTANDS THAT THIS SUBSCRIPTION AGREEMENT WILL REMAIN IN EFFECT THROUGHOUT SUCCESSIVE OFFERING PERIODS UNLESS TERMINATED BY EMPLOYEE.</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-17780</wp:posOffset>
            </wp:positionV>
            <wp:extent cx="14859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2">
                      <a:extLst>
                        <a:ext uri="{28A0092B-C50C-407E-A947-70E740481C1C}"/>
                      </a:extLst>
                    </a:blip>
                    <a:srcRect/>
                    <a:stretch>
                      <a:fillRect/>
                    </a:stretch>
                  </pic:blipFill>
                  <pic:spPr bwMode="auto">
                    <a:xfrm>
                      <a:off x="0" y="0"/>
                      <a:ext cx="14859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-17780</wp:posOffset>
            </wp:positionV>
            <wp:extent cx="54864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3">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1"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Signature of Employee</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18</w:t>
      </w: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34" w:right="339" w:bottom="1440" w:gutter="0" w:footer="0" w:header="0"/>
        </w:sectPr>
      </w:pPr>
    </w:p>
    <w:bookmarkStart w:id="96" w:name="page97"/>
    <w:bookmarkEnd w:id="96"/>
    <w:p>
      <w:pPr>
        <w:jc w:val="center"/>
        <w:spacing w:after="0"/>
        <w:rPr>
          <w:sz w:val="20"/>
          <w:szCs w:val="20"/>
          <w:color w:val="auto"/>
        </w:rPr>
      </w:pPr>
      <w:r>
        <w:rPr>
          <w:rFonts w:ascii="Arial" w:cs="Arial" w:eastAsia="Arial" w:hAnsi="Arial"/>
          <w:sz w:val="22"/>
          <w:szCs w:val="22"/>
          <w:b w:val="1"/>
          <w:bCs w:val="1"/>
          <w:u w:val="single" w:color="auto"/>
          <w:color w:val="auto"/>
        </w:rPr>
        <w:t>EXHIBIT B</w:t>
      </w:r>
    </w:p>
    <w:p>
      <w:pPr>
        <w:spacing w:after="0" w:line="233" w:lineRule="exact"/>
        <w:rPr>
          <w:sz w:val="20"/>
          <w:szCs w:val="20"/>
          <w:color w:val="auto"/>
        </w:rPr>
      </w:pPr>
    </w:p>
    <w:p>
      <w:pPr>
        <w:ind w:left="3920"/>
        <w:spacing w:after="0"/>
        <w:rPr>
          <w:sz w:val="20"/>
          <w:szCs w:val="20"/>
          <w:color w:val="auto"/>
        </w:rPr>
      </w:pPr>
      <w:r>
        <w:rPr>
          <w:rFonts w:ascii="Arial" w:cs="Arial" w:eastAsia="Arial" w:hAnsi="Arial"/>
          <w:sz w:val="22"/>
          <w:szCs w:val="22"/>
          <w:b w:val="1"/>
          <w:bCs w:val="1"/>
          <w:color w:val="auto"/>
        </w:rPr>
        <w:t>ORIC PHARMACEUTICALS, INC.</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2020 EMPLOYEE STOCK PURCHASE PLAN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WITHDRAWAL</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0" w:firstLine="749"/>
        <w:spacing w:after="0" w:line="276" w:lineRule="auto"/>
        <w:rPr>
          <w:sz w:val="20"/>
          <w:szCs w:val="20"/>
          <w:color w:val="auto"/>
        </w:rPr>
      </w:pPr>
      <w:r>
        <w:rPr>
          <w:rFonts w:ascii="Arial" w:cs="Arial" w:eastAsia="Arial" w:hAnsi="Arial"/>
          <w:sz w:val="22"/>
          <w:szCs w:val="22"/>
          <w:color w:val="auto"/>
        </w:rPr>
        <w:t>Unless otherwise defined herein, the terms defined in the 2020 Employee Stock Purchase Plan (the “Plan”) shall have the same defined meanings in this Notice of Withdrawal.</w:t>
      </w:r>
    </w:p>
    <w:p>
      <w:pPr>
        <w:spacing w:after="0" w:line="174" w:lineRule="exact"/>
        <w:rPr>
          <w:sz w:val="20"/>
          <w:szCs w:val="20"/>
          <w:color w:val="auto"/>
        </w:rPr>
      </w:pPr>
    </w:p>
    <w:p>
      <w:pPr>
        <w:jc w:val="both"/>
        <w:ind w:firstLine="749"/>
        <w:spacing w:after="0" w:line="299" w:lineRule="auto"/>
        <w:rPr>
          <w:sz w:val="20"/>
          <w:szCs w:val="20"/>
          <w:color w:val="auto"/>
        </w:rPr>
      </w:pPr>
      <w:r>
        <w:rPr>
          <w:rFonts w:ascii="Arial" w:cs="Arial" w:eastAsia="Arial" w:hAnsi="Arial"/>
          <w:sz w:val="19"/>
          <w:szCs w:val="19"/>
          <w:color w:val="auto"/>
        </w:rPr>
        <w:t>The undersigned Participant in the Offering Period of the ORIC Pharmaceuticals, Inc. 2020 Employee Stock Purchase Plan that began on ____________, ______ (the “Offering Date”) hereby notifies the Company that he or she hereby withdraws</w:t>
      </w:r>
    </w:p>
    <w:p>
      <w:pPr>
        <w:jc w:val="both"/>
        <w:spacing w:after="0" w:line="310" w:lineRule="auto"/>
        <w:rPr>
          <w:sz w:val="20"/>
          <w:szCs w:val="20"/>
          <w:color w:val="auto"/>
        </w:rPr>
      </w:pPr>
      <w:r>
        <w:rPr>
          <w:rFonts w:ascii="Arial" w:cs="Arial" w:eastAsia="Arial" w:hAnsi="Arial"/>
          <w:sz w:val="19"/>
          <w:szCs w:val="19"/>
          <w:color w:val="auto"/>
        </w:rPr>
        <w:t>from the Offering Period. He or she hereby directs the Company to pay to the undersigned as promptly as practicable all the payroll deductions credited to his or her account with respect to such Offering Period. The undersigned understands and agrees that his or her option for such Offering Period will be terminated automatically. The undersigned understands further that no further payroll deductions will be made for the purchase of shares in the current Offering Period and the undersigned will be eligible to participate in succeeding Offering Periods only by delivering to the Company a new Subscription Agreement.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Name and Address of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3333750</wp:posOffset>
            </wp:positionH>
            <wp:positionV relativeFrom="paragraph">
              <wp:posOffset>290195</wp:posOffset>
            </wp:positionV>
            <wp:extent cx="54864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5">
                      <a:extLst>
                        <a:ext uri="{28A0092B-C50C-407E-A947-70E740481C1C}"/>
                      </a:extLst>
                    </a:blip>
                    <a:srcRect/>
                    <a:stretch>
                      <a:fillRect/>
                    </a:stretch>
                  </pic:blipFill>
                  <pic:spPr bwMode="auto">
                    <a:xfrm>
                      <a:off x="0" y="0"/>
                      <a:ext cx="548640" cy="8255"/>
                    </a:xfrm>
                    <a:prstGeom prst="rect">
                      <a:avLst/>
                    </a:prstGeom>
                    <a:noFill/>
                  </pic:spPr>
                </pic:pic>
              </a:graphicData>
            </a:graphic>
          </wp:anchor>
        </w:drawing>
        <w:drawing>
          <wp:anchor simplePos="0" relativeHeight="251657728" behindDoc="1" locked="0" layoutInCell="0" allowOverlap="1">
            <wp:simplePos x="0" y="0"/>
            <wp:positionH relativeFrom="column">
              <wp:posOffset>3333750</wp:posOffset>
            </wp:positionH>
            <wp:positionV relativeFrom="paragraph">
              <wp:posOffset>598805</wp:posOffset>
            </wp:positionV>
            <wp:extent cx="54864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6">
                      <a:extLst>
                        <a:ext uri="{28A0092B-C50C-407E-A947-70E740481C1C}"/>
                      </a:extLst>
                    </a:blip>
                    <a:srcRect/>
                    <a:stretch>
                      <a:fillRect/>
                    </a:stretch>
                  </pic:blipFill>
                  <pic:spPr bwMode="auto">
                    <a:xfrm>
                      <a:off x="0" y="0"/>
                      <a:ext cx="548640" cy="8890"/>
                    </a:xfrm>
                    <a:prstGeom prst="rect">
                      <a:avLst/>
                    </a:prstGeom>
                    <a:noFill/>
                  </pic:spPr>
                </pic:pic>
              </a:graphicData>
            </a:graphic>
          </wp:anchor>
        </w:drawing>
        <w:drawing>
          <wp:anchor simplePos="0" relativeHeight="251657728" behindDoc="1" locked="0" layoutInCell="0" allowOverlap="1">
            <wp:simplePos x="0" y="0"/>
            <wp:positionH relativeFrom="column">
              <wp:posOffset>3333750</wp:posOffset>
            </wp:positionH>
            <wp:positionV relativeFrom="paragraph">
              <wp:posOffset>907415</wp:posOffset>
            </wp:positionV>
            <wp:extent cx="54864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7">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3333750</wp:posOffset>
            </wp:positionH>
            <wp:positionV relativeFrom="paragraph">
              <wp:posOffset>290195</wp:posOffset>
            </wp:positionV>
            <wp:extent cx="54864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8">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8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-17780</wp:posOffset>
            </wp:positionV>
            <wp:extent cx="21717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9">
                      <a:extLst>
                        <a:ext uri="{28A0092B-C50C-407E-A947-70E740481C1C}"/>
                      </a:extLst>
                    </a:blip>
                    <a:srcRect/>
                    <a:stretch>
                      <a:fillRect/>
                    </a:stretch>
                  </pic:blipFill>
                  <pic:spPr bwMode="auto">
                    <a:xfrm>
                      <a:off x="0" y="0"/>
                      <a:ext cx="2171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19</w:t>
      </w: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8"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31.1</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Jacob M. Chacko, certify that:</w:t>
      </w:r>
    </w:p>
    <w:p>
      <w:pPr>
        <w:spacing w:after="0" w:line="239" w:lineRule="exact"/>
        <w:rPr>
          <w:sz w:val="20"/>
          <w:szCs w:val="20"/>
          <w:color w:val="auto"/>
        </w:rPr>
      </w:pPr>
    </w:p>
    <w:p>
      <w:pPr>
        <w:ind w:left="440" w:hanging="432"/>
        <w:spacing w:after="0"/>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ORIC Pharmaceuticals, Inc.;</w:t>
      </w:r>
    </w:p>
    <w:p>
      <w:pPr>
        <w:spacing w:after="0" w:line="238" w:lineRule="exact"/>
        <w:rPr>
          <w:rFonts w:ascii="Arial" w:cs="Arial" w:eastAsia="Arial" w:hAnsi="Arial"/>
          <w:sz w:val="18"/>
          <w:szCs w:val="18"/>
          <w:color w:val="auto"/>
        </w:rPr>
      </w:pPr>
    </w:p>
    <w:p>
      <w:pPr>
        <w:jc w:val="both"/>
        <w:ind w:left="440" w:right="320" w:hanging="432"/>
        <w:spacing w:after="0" w:line="279" w:lineRule="auto"/>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440" w:right="280" w:hanging="432"/>
        <w:spacing w:after="0" w:line="324" w:lineRule="auto"/>
        <w:tabs>
          <w:tab w:leader="none" w:pos="4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ind w:left="440" w:right="320" w:hanging="432"/>
        <w:spacing w:after="0" w:line="279" w:lineRule="auto"/>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Arial" w:cs="Arial" w:eastAsia="Arial" w:hAnsi="Arial"/>
          <w:sz w:val="18"/>
          <w:szCs w:val="18"/>
          <w:color w:val="auto"/>
        </w:rPr>
      </w:pPr>
    </w:p>
    <w:p>
      <w:pPr>
        <w:ind w:left="1020" w:right="80" w:hanging="479"/>
        <w:spacing w:after="0" w:line="279" w:lineRule="auto"/>
        <w:tabs>
          <w:tab w:leader="none" w:pos="895"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ind w:left="1020" w:right="480" w:hanging="479"/>
        <w:spacing w:after="0" w:line="359" w:lineRule="auto"/>
        <w:tabs>
          <w:tab w:leader="none" w:pos="895"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right="160" w:hanging="479"/>
        <w:spacing w:after="0" w:line="279" w:lineRule="auto"/>
        <w:tabs>
          <w:tab w:leader="none" w:pos="895"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440" w:right="220" w:hanging="432"/>
        <w:spacing w:after="0" w:line="324" w:lineRule="auto"/>
        <w:tabs>
          <w:tab w:leader="none" w:pos="4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1020" w:right="40" w:hanging="479"/>
        <w:spacing w:after="0" w:line="324" w:lineRule="auto"/>
        <w:tabs>
          <w:tab w:leader="none" w:pos="895" w:val="left"/>
        </w:tabs>
        <w:numPr>
          <w:ilvl w:val="1"/>
          <w:numId w:val="4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7"/>
          <w:szCs w:val="17"/>
          <w:color w:val="auto"/>
        </w:rPr>
      </w:pPr>
    </w:p>
    <w:p>
      <w:pPr>
        <w:ind w:left="1020" w:hanging="479"/>
        <w:spacing w:after="0" w:line="293" w:lineRule="auto"/>
        <w:tabs>
          <w:tab w:leader="none" w:pos="895"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Date: November 8, 2021</w:t>
            </w:r>
          </w:p>
        </w:tc>
        <w:tc>
          <w:tcPr>
            <w:tcW w:w="2260" w:type="dxa"/>
            <w:vAlign w:val="bottom"/>
          </w:tcPr>
          <w:p>
            <w:pPr>
              <w:ind w:left="194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Jacob M. Chacko</w:t>
            </w:r>
          </w:p>
        </w:tc>
      </w:tr>
      <w:tr>
        <w:trPr>
          <w:trHeight w:val="224"/>
        </w:trPr>
        <w:tc>
          <w:tcPr>
            <w:tcW w:w="37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1"/>
              </w:rPr>
              <w:t>Jacob M. Chacko, M.D.</w:t>
            </w:r>
          </w:p>
        </w:tc>
      </w:tr>
      <w:tr>
        <w:trPr>
          <w:trHeight w:val="242"/>
        </w:trPr>
        <w:tc>
          <w:tcPr>
            <w:tcW w:w="376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0"/>
              </w:rPr>
              <w:t>President and Chief Executive Officer</w:t>
            </w:r>
          </w:p>
        </w:tc>
      </w:tr>
      <w:tr>
        <w:trPr>
          <w:trHeight w:val="1033"/>
        </w:trPr>
        <w:tc>
          <w:tcPr>
            <w:tcW w:w="376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31.2</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Dominic Piscitelli, certify that:</w:t>
      </w:r>
    </w:p>
    <w:p>
      <w:pPr>
        <w:spacing w:after="0" w:line="239" w:lineRule="exact"/>
        <w:rPr>
          <w:sz w:val="20"/>
          <w:szCs w:val="20"/>
          <w:color w:val="auto"/>
        </w:rPr>
      </w:pPr>
    </w:p>
    <w:p>
      <w:pPr>
        <w:ind w:left="440" w:hanging="432"/>
        <w:spacing w:after="0"/>
        <w:tabs>
          <w:tab w:leader="none" w:pos="4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ORIC Pharmaceuticals, Inc.;</w:t>
      </w:r>
    </w:p>
    <w:p>
      <w:pPr>
        <w:spacing w:after="0" w:line="238" w:lineRule="exact"/>
        <w:rPr>
          <w:rFonts w:ascii="Arial" w:cs="Arial" w:eastAsia="Arial" w:hAnsi="Arial"/>
          <w:sz w:val="18"/>
          <w:szCs w:val="18"/>
          <w:color w:val="auto"/>
        </w:rPr>
      </w:pPr>
    </w:p>
    <w:p>
      <w:pPr>
        <w:jc w:val="both"/>
        <w:ind w:left="440" w:right="320" w:hanging="432"/>
        <w:spacing w:after="0" w:line="279" w:lineRule="auto"/>
        <w:tabs>
          <w:tab w:leader="none" w:pos="4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440" w:right="280" w:hanging="432"/>
        <w:spacing w:after="0" w:line="324" w:lineRule="auto"/>
        <w:tabs>
          <w:tab w:leader="none" w:pos="4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ind w:left="440" w:right="320" w:hanging="432"/>
        <w:spacing w:after="0" w:line="279" w:lineRule="auto"/>
        <w:tabs>
          <w:tab w:leader="none" w:pos="4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Arial" w:cs="Arial" w:eastAsia="Arial" w:hAnsi="Arial"/>
          <w:sz w:val="18"/>
          <w:szCs w:val="18"/>
          <w:color w:val="auto"/>
        </w:rPr>
      </w:pPr>
    </w:p>
    <w:p>
      <w:pPr>
        <w:ind w:left="1020" w:right="80" w:hanging="479"/>
        <w:spacing w:after="0" w:line="279" w:lineRule="auto"/>
        <w:tabs>
          <w:tab w:leader="none" w:pos="895"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sz w:val="20"/>
          <w:szCs w:val="20"/>
          <w:color w:val="auto"/>
        </w:rPr>
      </w:pPr>
    </w:p>
    <w:p>
      <w:pPr>
        <w:ind w:left="1020" w:right="480" w:hanging="434"/>
        <w:spacing w:after="0" w:line="359" w:lineRule="auto"/>
        <w:tabs>
          <w:tab w:leader="none" w:pos="895" w:val="left"/>
        </w:tabs>
        <w:numPr>
          <w:ilvl w:val="2"/>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right="160" w:hanging="479"/>
        <w:spacing w:after="0" w:line="279" w:lineRule="auto"/>
        <w:tabs>
          <w:tab w:leader="none" w:pos="895"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440" w:right="220" w:hanging="432"/>
        <w:spacing w:after="0" w:line="324" w:lineRule="auto"/>
        <w:tabs>
          <w:tab w:leader="none" w:pos="4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1020" w:right="40" w:hanging="479"/>
        <w:spacing w:after="0" w:line="324" w:lineRule="auto"/>
        <w:tabs>
          <w:tab w:leader="none" w:pos="895" w:val="left"/>
        </w:tabs>
        <w:numPr>
          <w:ilvl w:val="1"/>
          <w:numId w:val="4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7"/>
          <w:szCs w:val="17"/>
          <w:color w:val="auto"/>
        </w:rPr>
      </w:pPr>
    </w:p>
    <w:p>
      <w:pPr>
        <w:ind w:left="1020" w:hanging="479"/>
        <w:spacing w:after="0" w:line="293" w:lineRule="auto"/>
        <w:tabs>
          <w:tab w:leader="none" w:pos="895"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20"/>
        <w:spacing w:after="0"/>
        <w:tabs>
          <w:tab w:leader="none" w:pos="5680" w:val="left"/>
          <w:tab w:leader="none" w:pos="7860" w:val="left"/>
        </w:tabs>
        <w:rPr>
          <w:sz w:val="20"/>
          <w:szCs w:val="20"/>
          <w:color w:val="auto"/>
        </w:rPr>
      </w:pPr>
      <w:r>
        <w:rPr>
          <w:rFonts w:ascii="Arial" w:cs="Arial" w:eastAsia="Arial" w:hAnsi="Arial"/>
          <w:sz w:val="18"/>
          <w:szCs w:val="18"/>
          <w:color w:val="auto"/>
        </w:rPr>
        <w:t>Date: November 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Dominic Piscitelli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3">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Dominic Piscitelli</w:t>
      </w:r>
    </w:p>
    <w:p>
      <w:pPr>
        <w:spacing w:after="0" w:line="36"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518795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32.1</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3"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ind w:right="40" w:firstLine="509"/>
        <w:spacing w:after="0" w:line="279" w:lineRule="auto"/>
        <w:rPr>
          <w:sz w:val="20"/>
          <w:szCs w:val="20"/>
          <w:color w:val="auto"/>
        </w:rPr>
      </w:pPr>
      <w:r>
        <w:rPr>
          <w:rFonts w:ascii="Arial" w:cs="Arial" w:eastAsia="Arial" w:hAnsi="Arial"/>
          <w:sz w:val="18"/>
          <w:szCs w:val="18"/>
          <w:color w:val="auto"/>
        </w:rPr>
        <w:t>In connection with the Quarterly Report of ORIC Pharmaceuticals, Inc. (the “Company”) on Form 10-Q for the period ended September 30, 2021 as filed with the Securities and Exchange Commission on the date hereof (the “Report”), I certify, pursuant to 18 U.S.C. § 1350, as adopted pursuant to § 906 of the Sarbanes-Oxley Act of 2002, that:</w:t>
      </w:r>
    </w:p>
    <w:p>
      <w:pPr>
        <w:spacing w:after="0" w:line="183" w:lineRule="exact"/>
        <w:rPr>
          <w:sz w:val="20"/>
          <w:szCs w:val="20"/>
          <w:color w:val="auto"/>
        </w:rPr>
      </w:pPr>
    </w:p>
    <w:p>
      <w:pPr>
        <w:ind w:left="900" w:hanging="359"/>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8" w:lineRule="exact"/>
        <w:rPr>
          <w:rFonts w:ascii="Arial" w:cs="Arial" w:eastAsia="Arial" w:hAnsi="Arial"/>
          <w:sz w:val="18"/>
          <w:szCs w:val="18"/>
          <w:color w:val="auto"/>
        </w:rPr>
      </w:pPr>
    </w:p>
    <w:p>
      <w:pPr>
        <w:ind w:left="1020" w:right="680" w:hanging="479"/>
        <w:spacing w:after="0" w:line="293" w:lineRule="auto"/>
        <w:tabs>
          <w:tab w:leader="none" w:pos="89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4" w:lineRule="exact"/>
        <w:rPr>
          <w:sz w:val="20"/>
          <w:szCs w:val="20"/>
          <w:color w:val="auto"/>
        </w:rPr>
      </w:pPr>
    </w:p>
    <w:p>
      <w:pPr>
        <w:ind w:left="20"/>
        <w:spacing w:after="0"/>
        <w:tabs>
          <w:tab w:leader="none" w:pos="5680" w:val="left"/>
          <w:tab w:leader="none" w:pos="7880" w:val="left"/>
        </w:tabs>
        <w:rPr>
          <w:sz w:val="20"/>
          <w:szCs w:val="20"/>
          <w:color w:val="auto"/>
        </w:rPr>
      </w:pPr>
      <w:r>
        <w:rPr>
          <w:rFonts w:ascii="Arial" w:cs="Arial" w:eastAsia="Arial" w:hAnsi="Arial"/>
          <w:sz w:val="18"/>
          <w:szCs w:val="18"/>
          <w:color w:val="auto"/>
        </w:rPr>
        <w:t>Date: November 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Jacob M. Chacko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Jacob M. Chacko, M.D.</w:t>
      </w:r>
    </w:p>
    <w:p>
      <w:pPr>
        <w:spacing w:after="0" w:line="36"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518795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32.2</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3"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ind w:right="40" w:firstLine="509"/>
        <w:spacing w:after="0" w:line="279" w:lineRule="auto"/>
        <w:rPr>
          <w:sz w:val="20"/>
          <w:szCs w:val="20"/>
          <w:color w:val="auto"/>
        </w:rPr>
      </w:pPr>
      <w:r>
        <w:rPr>
          <w:rFonts w:ascii="Arial" w:cs="Arial" w:eastAsia="Arial" w:hAnsi="Arial"/>
          <w:sz w:val="18"/>
          <w:szCs w:val="18"/>
          <w:color w:val="auto"/>
        </w:rPr>
        <w:t>In connection with the Quarterly Report of ORIC Pharmaceuticals, Inc. (the “Company”) on Form 10-Q for the period ended September 30, 2021 as filed with the Securities and Exchange Commission on the date hereof (the “Report”), I certify, pursuant to 18 U.S.C. § 1350, as adopted pursuant to § 906 of the Sarbanes-Oxley Act of 2002, that:</w:t>
      </w:r>
    </w:p>
    <w:p>
      <w:pPr>
        <w:spacing w:after="0" w:line="183" w:lineRule="exact"/>
        <w:rPr>
          <w:sz w:val="20"/>
          <w:szCs w:val="20"/>
          <w:color w:val="auto"/>
        </w:rPr>
      </w:pPr>
    </w:p>
    <w:p>
      <w:pPr>
        <w:ind w:left="900" w:hanging="359"/>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8" w:lineRule="exact"/>
        <w:rPr>
          <w:rFonts w:ascii="Arial" w:cs="Arial" w:eastAsia="Arial" w:hAnsi="Arial"/>
          <w:sz w:val="18"/>
          <w:szCs w:val="18"/>
          <w:color w:val="auto"/>
        </w:rPr>
      </w:pPr>
    </w:p>
    <w:p>
      <w:pPr>
        <w:ind w:left="1020" w:right="680" w:hanging="479"/>
        <w:spacing w:after="0" w:line="293" w:lineRule="auto"/>
        <w:tabs>
          <w:tab w:leader="none" w:pos="89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4" w:lineRule="exact"/>
        <w:rPr>
          <w:sz w:val="20"/>
          <w:szCs w:val="20"/>
          <w:color w:val="auto"/>
        </w:rPr>
      </w:pPr>
    </w:p>
    <w:p>
      <w:pPr>
        <w:ind w:left="20"/>
        <w:spacing w:after="0"/>
        <w:tabs>
          <w:tab w:leader="none" w:pos="5680" w:val="left"/>
          <w:tab w:leader="none" w:pos="7860" w:val="left"/>
        </w:tabs>
        <w:rPr>
          <w:sz w:val="20"/>
          <w:szCs w:val="20"/>
          <w:color w:val="auto"/>
        </w:rPr>
      </w:pPr>
      <w:r>
        <w:rPr>
          <w:rFonts w:ascii="Arial" w:cs="Arial" w:eastAsia="Arial" w:hAnsi="Arial"/>
          <w:sz w:val="18"/>
          <w:szCs w:val="18"/>
          <w:color w:val="auto"/>
        </w:rPr>
        <w:t>Date: November 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Dominic Piscitelli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7">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Dominic Piscitelli</w:t>
      </w:r>
    </w:p>
    <w:p>
      <w:pPr>
        <w:spacing w:after="0" w:line="36"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518795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1" w:name="page102"/>
    <w:bookmarkEnd w:id="10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1."/>
      <w:numFmt w:val="decimal"/>
      <w:start w:val="1"/>
    </w:lvl>
  </w:abstractNum>
  <w:abstractNum w:abstractNumId="3">
    <w:nsid w:val="79838CB2"/>
    <w:multiLevelType w:val="hybridMultilevel"/>
    <w:lvl w:ilvl="0">
      <w:lvlJc w:val="left"/>
      <w:lvlText w:val="%1."/>
      <w:numFmt w:val="decimal"/>
      <w:start w:val="2"/>
    </w:lvl>
  </w:abstractNum>
  <w:abstractNum w:abstractNumId="4">
    <w:nsid w:val="4353D0CD"/>
    <w:multiLevelType w:val="hybridMultilevel"/>
    <w:lvl w:ilvl="0">
      <w:lvlJc w:val="left"/>
      <w:lvlText w:val="%1."/>
      <w:numFmt w:val="decimal"/>
      <w:start w:val="3"/>
    </w:lvl>
  </w:abstractNum>
  <w:abstractNum w:abstractNumId="5">
    <w:nsid w:val="B03E0C6"/>
    <w:multiLevelType w:val="hybridMultilevel"/>
    <w:lvl w:ilvl="0">
      <w:lvlJc w:val="left"/>
      <w:lvlText w:val="%1."/>
      <w:numFmt w:val="decimal"/>
      <w:start w:val="6"/>
    </w:lvl>
  </w:abstractNum>
  <w:abstractNum w:abstractNumId="6">
    <w:nsid w:val="189A769B"/>
    <w:multiLevelType w:val="hybridMultilevel"/>
    <w:lvl w:ilvl="0">
      <w:lvlJc w:val="left"/>
      <w:lvlText w:val="%1."/>
      <w:numFmt w:val="decimal"/>
      <w:start w:val="7"/>
    </w:lvl>
  </w:abstractNum>
  <w:abstractNum w:abstractNumId="7">
    <w:nsid w:val="54E49EB4"/>
    <w:multiLevelType w:val="hybridMultilevel"/>
    <w:lvl w:ilvl="0">
      <w:lvlJc w:val="left"/>
      <w:lvlText w:val="%1."/>
      <w:numFmt w:val="decimal"/>
      <w:start w:val="8"/>
    </w:lvl>
  </w:abstractNum>
  <w:abstractNum w:abstractNumId="8">
    <w:nsid w:val="71F32454"/>
    <w:multiLevelType w:val="hybridMultilevel"/>
    <w:lvl w:ilvl="0">
      <w:lvlJc w:val="left"/>
      <w:lvlText w:val="%1."/>
      <w:numFmt w:val="decimal"/>
      <w:start w:val="9"/>
    </w:lvl>
  </w:abstractNum>
  <w:abstractNum w:abstractNumId="9">
    <w:nsid w:val="2CA88611"/>
    <w:multiLevelType w:val="hybridMultilevel"/>
    <w:lvl w:ilvl="0">
      <w:lvlJc w:val="left"/>
      <w:lvlText w:val="%1"/>
      <w:numFmt w:val="decimal"/>
      <w:start w:val="104"/>
    </w:lvl>
  </w:abstractNum>
  <w:abstractNum w:abstractNumId="10">
    <w:nsid w:val="836C40E"/>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1">
    <w:nsid w:val="2901D82"/>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12">
    <w:nsid w:val="3A95F874"/>
    <w:multiLevelType w:val="hybridMultilevel"/>
    <w:lvl w:ilvl="0">
      <w:lvlJc w:val="left"/>
      <w:lvlText w:val="(%1)"/>
      <w:numFmt w:val="lowerLetter"/>
      <w:start w:val="6"/>
    </w:lvl>
  </w:abstractNum>
  <w:abstractNum w:abstractNumId="13">
    <w:nsid w:val="8138641"/>
    <w:multiLevelType w:val="hybridMultilevel"/>
    <w:lvl w:ilvl="0">
      <w:lvlJc w:val="left"/>
      <w:lvlText w:val="(%1)"/>
      <w:numFmt w:val="lowerLetter"/>
      <w:start w:val="15"/>
    </w:lvl>
  </w:abstractNum>
  <w:abstractNum w:abstractNumId="14">
    <w:nsid w:val="1E7FF521"/>
    <w:multiLevelType w:val="hybridMultilevel"/>
    <w:lvl w:ilvl="0">
      <w:lvlJc w:val="left"/>
      <w:lvlText w:val="(%1)"/>
      <w:numFmt w:val="lowerLetter"/>
      <w:start w:val="20"/>
    </w:lvl>
  </w:abstractNum>
  <w:abstractNum w:abstractNumId="15">
    <w:nsid w:val="7C3DBD3D"/>
    <w:multiLevelType w:val="hybridMultilevel"/>
    <w:lvl w:ilvl="0">
      <w:lvlJc w:val="left"/>
      <w:lvlText w:val="(%1)"/>
      <w:numFmt w:val="lowerLetter"/>
      <w:start w:val="23"/>
    </w:lvl>
  </w:abstractNum>
  <w:abstractNum w:abstractNumId="16">
    <w:nsid w:val="737B8DDC"/>
    <w:multiLevelType w:val="hybridMultilevel"/>
    <w:lvl w:ilvl="0">
      <w:lvlJc w:val="left"/>
      <w:lvlText w:val="(%1)"/>
      <w:numFmt w:val="lowerLetter"/>
      <w:start w:val="27"/>
    </w:lvl>
  </w:abstractNum>
  <w:abstractNum w:abstractNumId="17">
    <w:nsid w:val="6CEAF087"/>
    <w:multiLevelType w:val="hybridMultilevel"/>
    <w:lvl w:ilvl="0">
      <w:lvlJc w:val="left"/>
      <w:lvlText w:val="%1."/>
      <w:numFmt w:val="decimal"/>
      <w:start w:val="3"/>
    </w:lvl>
    <w:lvl w:ilvl="1">
      <w:lvlJc w:val="left"/>
      <w:lvlText w:val="%2."/>
      <w:numFmt w:val="decimal"/>
      <w:start w:val="3"/>
    </w:lvl>
    <w:lvl w:ilvl="2">
      <w:lvlJc w:val="left"/>
      <w:lvlText w:val="(%3)"/>
      <w:numFmt w:val="lowerLetter"/>
      <w:start w:val="1"/>
    </w:lvl>
  </w:abstractNum>
  <w:abstractNum w:abstractNumId="18">
    <w:nsid w:val="22221A70"/>
    <w:multiLevelType w:val="hybridMultilevel"/>
    <w:lvl w:ilvl="0">
      <w:lvlJc w:val="left"/>
      <w:lvlText w:val="%1."/>
      <w:numFmt w:val="decimal"/>
      <w:start w:val="5"/>
    </w:lvl>
  </w:abstractNum>
  <w:abstractNum w:abstractNumId="19">
    <w:nsid w:val="4516DDE9"/>
    <w:multiLevelType w:val="hybridMultilevel"/>
    <w:lvl w:ilvl="0">
      <w:lvlJc w:val="left"/>
      <w:lvlText w:val="%1."/>
      <w:numFmt w:val="decimal"/>
      <w:start w:val="6"/>
    </w:lvl>
    <w:lvl w:ilvl="1">
      <w:lvlJc w:val="left"/>
      <w:lvlText w:val="(%2)"/>
      <w:numFmt w:val="lowerLetter"/>
      <w:start w:val="1"/>
    </w:lvl>
  </w:abstractNum>
  <w:abstractNum w:abstractNumId="20">
    <w:nsid w:val="3006C83E"/>
    <w:multiLevelType w:val="hybridMultilevel"/>
    <w:lvl w:ilvl="0">
      <w:lvlJc w:val="left"/>
      <w:lvlText w:val="(%1)"/>
      <w:numFmt w:val="lowerLetter"/>
      <w:start w:val="2"/>
    </w:lvl>
  </w:abstractNum>
  <w:abstractNum w:abstractNumId="21">
    <w:nsid w:val="614FD4A1"/>
    <w:multiLevelType w:val="hybridMultilevel"/>
    <w:lvl w:ilvl="0">
      <w:lvlJc w:val="left"/>
      <w:lvlText w:val="%1."/>
      <w:numFmt w:val="decimal"/>
      <w:start w:val="7"/>
    </w:lvl>
  </w:abstractNum>
  <w:abstractNum w:abstractNumId="22">
    <w:nsid w:val="419AC241"/>
    <w:multiLevelType w:val="hybridMultilevel"/>
    <w:lvl w:ilvl="0">
      <w:lvlJc w:val="left"/>
      <w:lvlText w:val="%1"/>
      <w:numFmt w:val="decimal"/>
      <w:start w:val="1"/>
    </w:lvl>
    <w:lvl w:ilvl="1">
      <w:lvlJc w:val="left"/>
      <w:lvlText w:val="%2."/>
      <w:numFmt w:val="decimal"/>
      <w:start w:val="8"/>
    </w:lvl>
    <w:lvl w:ilvl="2">
      <w:lvlJc w:val="left"/>
      <w:lvlText w:val="(%3)"/>
      <w:numFmt w:val="lowerLetter"/>
      <w:start w:val="1"/>
    </w:lvl>
  </w:abstractNum>
  <w:abstractNum w:abstractNumId="23">
    <w:nsid w:val="5577F8E1"/>
    <w:multiLevelType w:val="hybridMultilevel"/>
    <w:lvl w:ilvl="0">
      <w:lvlJc w:val="left"/>
      <w:lvlText w:val="%1."/>
      <w:numFmt w:val="decimal"/>
      <w:start w:val="9"/>
    </w:lvl>
    <w:lvl w:ilvl="1">
      <w:lvlJc w:val="left"/>
      <w:lvlText w:val="%2"/>
      <w:numFmt w:val="decimal"/>
      <w:start w:val="1"/>
    </w:lvl>
    <w:lvl w:ilvl="2">
      <w:lvlJc w:val="left"/>
      <w:lvlText w:val="%3"/>
      <w:numFmt w:val="lowerLetter"/>
      <w:start w:val="1"/>
    </w:lvl>
  </w:abstractNum>
  <w:abstractNum w:abstractNumId="24">
    <w:nsid w:val="440BADFC"/>
    <w:multiLevelType w:val="hybridMultilevel"/>
    <w:lvl w:ilvl="0">
      <w:lvlJc w:val="left"/>
      <w:lvlText w:val="%1."/>
      <w:numFmt w:val="decimal"/>
      <w:start w:val="10"/>
    </w:lvl>
    <w:lvl w:ilvl="1">
      <w:lvlJc w:val="left"/>
      <w:lvlText w:val="(%2)"/>
      <w:numFmt w:val="lowerLetter"/>
      <w:start w:val="1"/>
    </w:lvl>
  </w:abstractNum>
  <w:abstractNum w:abstractNumId="25">
    <w:nsid w:val="5072367"/>
    <w:multiLevelType w:val="hybridMultilevel"/>
    <w:lvl w:ilvl="0">
      <w:lvlJc w:val="left"/>
      <w:lvlText w:val="%1"/>
      <w:numFmt w:val="decimal"/>
      <w:start w:val="1"/>
    </w:lvl>
    <w:lvl w:ilvl="1">
      <w:lvlJc w:val="left"/>
      <w:lvlText w:val="(%2)"/>
      <w:numFmt w:val="lowerLetter"/>
      <w:start w:val="2"/>
    </w:lvl>
  </w:abstractNum>
  <w:abstractNum w:abstractNumId="26">
    <w:nsid w:val="3804823E"/>
    <w:multiLevelType w:val="hybridMultilevel"/>
    <w:lvl w:ilvl="0">
      <w:lvlJc w:val="left"/>
      <w:lvlText w:val="%1."/>
      <w:numFmt w:val="decimal"/>
      <w:start w:val="14"/>
    </w:lvl>
    <w:lvl w:ilvl="1">
      <w:lvlJc w:val="left"/>
      <w:lvlText w:val="(%2)"/>
      <w:numFmt w:val="lowerLetter"/>
      <w:start w:val="1"/>
    </w:lvl>
  </w:abstractNum>
  <w:abstractNum w:abstractNumId="27">
    <w:nsid w:val="77465F01"/>
    <w:multiLevelType w:val="hybridMultilevel"/>
    <w:lvl w:ilvl="0">
      <w:lvlJc w:val="left"/>
      <w:lvlText w:val="%1"/>
      <w:numFmt w:val="decimal"/>
      <w:start w:val="1"/>
    </w:lvl>
    <w:lvl w:ilvl="1">
      <w:lvlJc w:val="left"/>
      <w:lvlText w:val="(%2)"/>
      <w:numFmt w:val="lowerLetter"/>
      <w:start w:val="2"/>
    </w:lvl>
  </w:abstractNum>
  <w:abstractNum w:abstractNumId="28">
    <w:nsid w:val="7724C67E"/>
    <w:multiLevelType w:val="hybridMultilevel"/>
    <w:lvl w:ilvl="0">
      <w:lvlJc w:val="left"/>
      <w:lvlText w:val="%1."/>
      <w:numFmt w:val="decimal"/>
      <w:start w:val="16"/>
    </w:lvl>
    <w:lvl w:ilvl="1">
      <w:lvlJc w:val="left"/>
      <w:lvlText w:val="(%2)"/>
      <w:numFmt w:val="lowerLetter"/>
      <w:start w:val="1"/>
    </w:lvl>
  </w:abstractNum>
  <w:abstractNum w:abstractNumId="29">
    <w:nsid w:val="5C482A97"/>
    <w:multiLevelType w:val="hybridMultilevel"/>
    <w:lvl w:ilvl="0">
      <w:lvlJc w:val="left"/>
      <w:lvlText w:val="%1"/>
      <w:numFmt w:val="decimal"/>
      <w:start w:val="1"/>
    </w:lvl>
    <w:lvl w:ilvl="1">
      <w:lvlJc w:val="left"/>
      <w:lvlText w:val="(%2)"/>
      <w:numFmt w:val="lowerLetter"/>
      <w:start w:val="2"/>
    </w:lvl>
  </w:abstractNum>
  <w:abstractNum w:abstractNumId="30">
    <w:nsid w:val="2463B9EA"/>
    <w:multiLevelType w:val="hybridMultilevel"/>
    <w:lvl w:ilvl="0">
      <w:lvlJc w:val="left"/>
      <w:lvlText w:val="%1."/>
      <w:numFmt w:val="decimal"/>
      <w:start w:val="20"/>
    </w:lvl>
    <w:lvl w:ilvl="1">
      <w:lvlJc w:val="left"/>
      <w:lvlText w:val="(%2)"/>
      <w:numFmt w:val="lowerLetter"/>
      <w:start w:val="1"/>
    </w:lvl>
  </w:abstractNum>
  <w:abstractNum w:abstractNumId="31">
    <w:nsid w:val="5E884ADC"/>
    <w:multiLevelType w:val="hybridMultilevel"/>
    <w:lvl w:ilvl="0">
      <w:lvlJc w:val="left"/>
      <w:lvlText w:val="(%1)"/>
      <w:numFmt w:val="lowerLetter"/>
      <w:start w:val="3"/>
    </w:lvl>
  </w:abstractNum>
  <w:abstractNum w:abstractNumId="32">
    <w:nsid w:val="51EAD36B"/>
    <w:multiLevelType w:val="hybridMultilevel"/>
    <w:lvl w:ilvl="0">
      <w:lvlJc w:val="left"/>
      <w:lvlText w:val="%1."/>
      <w:numFmt w:val="decimal"/>
      <w:start w:val="21"/>
    </w:lvl>
  </w:abstractNum>
  <w:abstractNum w:abstractNumId="33">
    <w:nsid w:val="2D517796"/>
    <w:multiLevelType w:val="hybridMultilevel"/>
    <w:lvl w:ilvl="0">
      <w:lvlJc w:val="left"/>
      <w:lvlText w:val="%1"/>
      <w:numFmt w:val="decimal"/>
      <w:start w:val="1"/>
    </w:lvl>
    <w:lvl w:ilvl="1">
      <w:lvlJc w:val="left"/>
      <w:lvlText w:val="%2"/>
      <w:numFmt w:val="decimal"/>
      <w:start w:val="1"/>
    </w:lvl>
    <w:lvl w:ilvl="2">
      <w:lvlJc w:val="left"/>
      <w:lvlText w:val="%3."/>
      <w:numFmt w:val="decimal"/>
      <w:start w:val="23"/>
    </w:lvl>
  </w:abstractNum>
  <w:abstractNum w:abstractNumId="34">
    <w:nsid w:val="580BD78F"/>
    <w:multiLevelType w:val="hybridMultilevel"/>
    <w:lvl w:ilvl="0">
      <w:lvlJc w:val="left"/>
      <w:lvlText w:val="(%1)"/>
      <w:numFmt w:val="decimal"/>
      <w:start w:val="12"/>
    </w:lvl>
    <w:lvl w:ilvl="1">
      <w:lvlJc w:val="left"/>
      <w:lvlText w:val="%2."/>
      <w:numFmt w:val="decimal"/>
      <w:start w:val="28"/>
    </w:lvl>
    <w:lvl w:ilvl="2">
      <w:lvlJc w:val="left"/>
      <w:lvlText w:val="%3."/>
      <w:numFmt w:val="decimal"/>
      <w:start w:val="26"/>
    </w:lvl>
  </w:abstractNum>
  <w:abstractNum w:abstractNumId="35">
    <w:nsid w:val="153EA438"/>
    <w:multiLevelType w:val="hybridMultilevel"/>
    <w:lvl w:ilvl="0">
      <w:lvlJc w:val="left"/>
      <w:lvlText w:val="%1"/>
      <w:numFmt w:val="decimal"/>
      <w:start w:val="1"/>
    </w:lvl>
    <w:lvl w:ilvl="1">
      <w:lvlJc w:val="left"/>
      <w:lvlText w:val="%2."/>
      <w:numFmt w:val="decimal"/>
      <w:start w:val="1"/>
    </w:lvl>
  </w:abstractNum>
  <w:abstractNum w:abstractNumId="36">
    <w:nsid w:val="3855585C"/>
    <w:multiLevelType w:val="hybridMultilevel"/>
    <w:lvl w:ilvl="0">
      <w:lvlJc w:val="left"/>
      <w:lvlText w:val="(%1)"/>
      <w:numFmt w:val="decimal"/>
      <w:start w:val="2"/>
    </w:lvl>
    <w:lvl w:ilvl="1">
      <w:lvlJc w:val="left"/>
      <w:lvlText w:val="%2"/>
      <w:numFmt w:val="decimal"/>
      <w:start w:val="1"/>
    </w:lvl>
  </w:abstractNum>
  <w:abstractNum w:abstractNumId="37">
    <w:nsid w:val="70A64E2A"/>
    <w:multiLevelType w:val="hybridMultilevel"/>
    <w:lvl w:ilvl="0">
      <w:lvlJc w:val="left"/>
      <w:lvlText w:val="(%1)"/>
      <w:numFmt w:val="decimal"/>
      <w:start w:val="30"/>
    </w:lvl>
    <w:lvl w:ilvl="1">
      <w:lvlJc w:val="left"/>
      <w:lvlText w:val="%2"/>
      <w:numFmt w:val="decimal"/>
      <w:start w:val="1"/>
    </w:lvl>
  </w:abstractNum>
  <w:abstractNum w:abstractNumId="38">
    <w:nsid w:val="6A2342EC"/>
    <w:multiLevelType w:val="hybridMultilevel"/>
    <w:lvl w:ilvl="0">
      <w:lvlJc w:val="left"/>
      <w:lvlText w:val="%1."/>
      <w:numFmt w:val="decimal"/>
      <w:start w:val="7"/>
    </w:lvl>
  </w:abstractNum>
  <w:abstractNum w:abstractNumId="39">
    <w:nsid w:val="2A487CB0"/>
    <w:multiLevelType w:val="hybridMultilevel"/>
    <w:lvl w:ilvl="0">
      <w:lvlJc w:val="left"/>
      <w:lvlText w:val="%1."/>
      <w:numFmt w:val="decimal"/>
      <w:start w:val="1"/>
    </w:lvl>
    <w:lvl w:ilvl="1">
      <w:lvlJc w:val="left"/>
      <w:lvlText w:val="(%2)"/>
      <w:numFmt w:val="lowerLetter"/>
      <w:start w:val="1"/>
    </w:lvl>
  </w:abstractNum>
  <w:abstractNum w:abstractNumId="40">
    <w:nsid w:val="1D4ED43B"/>
    <w:multiLevelType w:val="hybridMultilevel"/>
    <w:lvl w:ilvl="0">
      <w:lvlJc w:val="left"/>
      <w:lvlText w:val="%1."/>
      <w:numFmt w:val="decimal"/>
      <w:start w:val="1"/>
    </w:lvl>
    <w:lvl w:ilvl="1">
      <w:lvlJc w:val="left"/>
      <w:lvlText w:val="(%2)"/>
      <w:numFmt w:val="lowerLetter"/>
      <w:start w:val="1"/>
    </w:lvl>
  </w:abstractNum>
  <w:abstractNum w:abstractNumId="41">
    <w:nsid w:val="725A06F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42">
    <w:nsid w:val="2CD89A32"/>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43">
    <w:nsid w:val="57E4CCAF"/>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png"/><Relationship Id="rId297" Type="http://schemas.openxmlformats.org/officeDocument/2006/relationships/image" Target="media/image289.png"/><Relationship Id="rId298" Type="http://schemas.openxmlformats.org/officeDocument/2006/relationships/image" Target="media/image290.png"/><Relationship Id="rId299" Type="http://schemas.openxmlformats.org/officeDocument/2006/relationships/image" Target="media/image291.png"/><Relationship Id="rId300" Type="http://schemas.openxmlformats.org/officeDocument/2006/relationships/image" Target="media/image292.png"/><Relationship Id="rId301" Type="http://schemas.openxmlformats.org/officeDocument/2006/relationships/image" Target="media/image293.png"/><Relationship Id="rId302" Type="http://schemas.openxmlformats.org/officeDocument/2006/relationships/image" Target="media/image294.png"/><Relationship Id="rId303" Type="http://schemas.openxmlformats.org/officeDocument/2006/relationships/image" Target="media/image295.png"/><Relationship Id="rId304" Type="http://schemas.openxmlformats.org/officeDocument/2006/relationships/image" Target="media/image296.png"/><Relationship Id="rId305" Type="http://schemas.openxmlformats.org/officeDocument/2006/relationships/image" Target="media/image297.png"/><Relationship Id="rId306" Type="http://schemas.openxmlformats.org/officeDocument/2006/relationships/image" Target="media/image298.png"/><Relationship Id="rId307" Type="http://schemas.openxmlformats.org/officeDocument/2006/relationships/image" Target="media/image299.png"/><Relationship Id="rId308" Type="http://schemas.openxmlformats.org/officeDocument/2006/relationships/image" Target="media/image300.png"/><Relationship Id="rId309" Type="http://schemas.openxmlformats.org/officeDocument/2006/relationships/image" Target="media/image301.png"/><Relationship Id="rId310" Type="http://schemas.openxmlformats.org/officeDocument/2006/relationships/image" Target="media/image302.png"/><Relationship Id="rId311" Type="http://schemas.openxmlformats.org/officeDocument/2006/relationships/image" Target="media/image303.png"/><Relationship Id="rId312" Type="http://schemas.openxmlformats.org/officeDocument/2006/relationships/image" Target="media/image304.png"/><Relationship Id="rId313" Type="http://schemas.openxmlformats.org/officeDocument/2006/relationships/image" Target="media/image305.png"/><Relationship Id="rId314" Type="http://schemas.openxmlformats.org/officeDocument/2006/relationships/image" Target="media/image306.png"/><Relationship Id="rId315" Type="http://schemas.openxmlformats.org/officeDocument/2006/relationships/image" Target="media/image307.png"/><Relationship Id="rId316" Type="http://schemas.openxmlformats.org/officeDocument/2006/relationships/image" Target="media/image308.png"/><Relationship Id="rId317" Type="http://schemas.openxmlformats.org/officeDocument/2006/relationships/image" Target="media/image309.png"/><Relationship Id="rId318" Type="http://schemas.openxmlformats.org/officeDocument/2006/relationships/image" Target="media/image310.png"/><Relationship Id="rId319" Type="http://schemas.openxmlformats.org/officeDocument/2006/relationships/image" Target="media/image311.png"/><Relationship Id="rId320" Type="http://schemas.openxmlformats.org/officeDocument/2006/relationships/image" Target="media/image312.png"/><Relationship Id="rId321" Type="http://schemas.openxmlformats.org/officeDocument/2006/relationships/image" Target="media/image313.png"/><Relationship Id="rId322" Type="http://schemas.openxmlformats.org/officeDocument/2006/relationships/image" Target="media/image314.png"/><Relationship Id="rId323" Type="http://schemas.openxmlformats.org/officeDocument/2006/relationships/image" Target="media/image315.png"/><Relationship Id="rId324" Type="http://schemas.openxmlformats.org/officeDocument/2006/relationships/image" Target="media/image316.png"/><Relationship Id="rId325" Type="http://schemas.openxmlformats.org/officeDocument/2006/relationships/image" Target="media/image317.png"/><Relationship Id="rId326" Type="http://schemas.openxmlformats.org/officeDocument/2006/relationships/image" Target="media/image318.png"/><Relationship Id="rId327" Type="http://schemas.openxmlformats.org/officeDocument/2006/relationships/image" Target="media/image319.png"/><Relationship Id="rId328" Type="http://schemas.openxmlformats.org/officeDocument/2006/relationships/image" Target="media/image320.png"/><Relationship Id="rId329" Type="http://schemas.openxmlformats.org/officeDocument/2006/relationships/image" Target="media/image321.png"/><Relationship Id="rId330" Type="http://schemas.openxmlformats.org/officeDocument/2006/relationships/image" Target="media/image322.png"/><Relationship Id="rId331" Type="http://schemas.openxmlformats.org/officeDocument/2006/relationships/image" Target="media/image323.png"/><Relationship Id="rId332" Type="http://schemas.openxmlformats.org/officeDocument/2006/relationships/image" Target="media/image324.png"/><Relationship Id="rId333" Type="http://schemas.openxmlformats.org/officeDocument/2006/relationships/image" Target="media/image325.png"/><Relationship Id="rId334" Type="http://schemas.openxmlformats.org/officeDocument/2006/relationships/image" Target="media/image326.png"/><Relationship Id="rId335" Type="http://schemas.openxmlformats.org/officeDocument/2006/relationships/image" Target="media/image327.png"/><Relationship Id="rId336" Type="http://schemas.openxmlformats.org/officeDocument/2006/relationships/image" Target="media/image328.png"/><Relationship Id="rId337" Type="http://schemas.openxmlformats.org/officeDocument/2006/relationships/image" Target="media/image329.png"/><Relationship Id="rId338" Type="http://schemas.openxmlformats.org/officeDocument/2006/relationships/image" Target="media/image330.png"/><Relationship Id="rId294" Type="http://schemas.openxmlformats.org/officeDocument/2006/relationships/hyperlink" Target="https://www.sec.gov/Archives/edgar/data/1796280/000119312521247855/d127312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2021-11-08T15:36:21Z</dcterms:created>
  <dcterms:modified xsi:type="dcterms:W3CDTF">2021-11-08T15:36:21Z</dcterms:modified>
</cp:coreProperties>
</file>