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oric-20230331.htm"/>
      <w:bookmarkStart w:id="1" w:name="ksoric20230331"/>
      <w:bookmarkEnd w:id="0"/>
      <w:bookmarkEnd w:id="1"/>
      <w:r>
        <w:rPr/>
        <w:t> </w:t>
      </w:r>
    </w:p>
    <w:p>
      <w:pPr>
        <w:pStyle w:val="TextBody"/>
        <w:pBdr>
          <w:top w:val="double" w:sz="6" w:space="1" w:color="000000"/>
        </w:pBdr>
        <w:spacing w:before="0" w:after="0"/>
        <w:jc w:val="left"/>
        <w:rPr/>
      </w:pPr>
      <w:r>
        <w:rPr/>
        <w:t> </w:t>
      </w:r>
    </w:p>
    <w:p>
      <w:pPr>
        <w:pStyle w:val="TextBody"/>
        <w:spacing w:before="0" w:after="0"/>
        <w:jc w:val="center"/>
        <w:rPr>
          <w:rFonts w:ascii="Times New Roman;serif" w:hAnsi="Times New Roman;serif"/>
          <w:b/>
          <w:sz w:val="36"/>
        </w:rPr>
      </w:pPr>
      <w:r>
        <w:rPr>
          <w:rFonts w:ascii="Times New Roman;serif" w:hAnsi="Times New Roman;serif"/>
          <w:b/>
          <w:sz w:val="36"/>
        </w:rPr>
        <w:t>UNITED STATES</w:t>
      </w:r>
    </w:p>
    <w:p>
      <w:pPr>
        <w:pStyle w:val="TextBody"/>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spacing w:before="0" w:after="120"/>
        <w:jc w:val="center"/>
        <w:rPr/>
      </w:pPr>
      <w:r>
        <w:rPr/>
        <w:t> </w:t>
      </w:r>
    </w:p>
    <w:p>
      <w:pPr>
        <w:pStyle w:val="TextBody"/>
        <w:spacing w:before="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spacing w:before="0" w:after="120"/>
        <w:jc w:val="center"/>
        <w:rPr/>
      </w:pPr>
      <w:r>
        <w:rPr/>
        <w:t> </w:t>
      </w:r>
    </w:p>
    <w:p>
      <w:pPr>
        <w:pStyle w:val="TextBody"/>
        <w:spacing w:before="90" w:after="0"/>
        <w:jc w:val="left"/>
        <w:rPr>
          <w:rFonts w:ascii="Times New Roman;serif" w:hAnsi="Times New Roman;serif"/>
          <w:b/>
          <w:sz w:val="16"/>
        </w:rPr>
      </w:pPr>
      <w:r>
        <w:rPr>
          <w:rFonts w:ascii="Times New Roman;serif" w:hAnsi="Times New Roman;serif"/>
          <w:b/>
          <w:sz w:val="16"/>
        </w:rPr>
        <w:t>(Mark One)</w:t>
      </w:r>
    </w:p>
    <w:tbl>
      <w:tblPr>
        <w:tblW w:w="10337" w:type="dxa"/>
        <w:jc w:val="left"/>
        <w:tblInd w:w="0" w:type="dxa"/>
        <w:tblCellMar>
          <w:top w:w="28" w:type="dxa"/>
          <w:left w:w="28" w:type="dxa"/>
          <w:bottom w:w="28" w:type="dxa"/>
          <w:right w:w="28" w:type="dxa"/>
        </w:tblCellMar>
      </w:tblPr>
      <w:tblGrid>
        <w:gridCol w:w="331"/>
        <w:gridCol w:w="10006"/>
      </w:tblGrid>
      <w:tr>
        <w:trPr/>
        <w:tc>
          <w:tcPr>
            <w:tcW w:w="331" w:type="dxa"/>
            <w:tcBorders/>
            <w:shd w:fill="auto" w:val="clear"/>
            <w:vAlign w:val="center"/>
          </w:tcPr>
          <w:p>
            <w:pPr>
              <w:pStyle w:val="TableContents"/>
              <w:spacing w:before="0" w:after="283"/>
              <w:rPr>
                <w:sz w:val="4"/>
                <w:szCs w:val="4"/>
              </w:rPr>
            </w:pPr>
            <w:r>
              <w:rPr>
                <w:sz w:val="4"/>
                <w:szCs w:val="4"/>
              </w:rPr>
            </w:r>
          </w:p>
        </w:tc>
        <w:tc>
          <w:tcPr>
            <w:tcW w:w="10006"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00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spacing w:before="120" w:after="0"/>
        <w:jc w:val="center"/>
        <w:rPr>
          <w:rFonts w:ascii="Times New Roman;serif" w:hAnsi="Times New Roman;serif"/>
          <w:b/>
          <w:sz w:val="20"/>
        </w:rPr>
      </w:pPr>
      <w:r>
        <w:rPr>
          <w:rFonts w:ascii="Times New Roman;serif" w:hAnsi="Times New Roman;serif"/>
          <w:b/>
          <w:sz w:val="20"/>
        </w:rPr>
        <w:t>For the quarterly period ended March 31, 2023</w:t>
      </w:r>
    </w:p>
    <w:p>
      <w:pPr>
        <w:pStyle w:val="TextBody"/>
        <w:spacing w:before="120" w:after="0"/>
        <w:jc w:val="center"/>
        <w:rPr>
          <w:rFonts w:ascii="Times New Roman;serif" w:hAnsi="Times New Roman;serif"/>
          <w:b/>
          <w:sz w:val="20"/>
        </w:rPr>
      </w:pPr>
      <w:r>
        <w:rPr>
          <w:rFonts w:ascii="Times New Roman;serif" w:hAnsi="Times New Roman;serif"/>
          <w:b/>
          <w:sz w:val="20"/>
        </w:rPr>
        <w:t>OR</w:t>
      </w:r>
    </w:p>
    <w:tbl>
      <w:tblPr>
        <w:tblW w:w="10322" w:type="dxa"/>
        <w:jc w:val="left"/>
        <w:tblInd w:w="0" w:type="dxa"/>
        <w:tblCellMar>
          <w:top w:w="28" w:type="dxa"/>
          <w:left w:w="28" w:type="dxa"/>
          <w:bottom w:w="28" w:type="dxa"/>
          <w:right w:w="28" w:type="dxa"/>
        </w:tblCellMar>
      </w:tblPr>
      <w:tblGrid>
        <w:gridCol w:w="331"/>
        <w:gridCol w:w="9991"/>
      </w:tblGrid>
      <w:tr>
        <w:trPr/>
        <w:tc>
          <w:tcPr>
            <w:tcW w:w="331" w:type="dxa"/>
            <w:tcBorders/>
            <w:shd w:fill="auto" w:val="clear"/>
            <w:vAlign w:val="center"/>
          </w:tcPr>
          <w:p>
            <w:pPr>
              <w:pStyle w:val="TableContents"/>
              <w:spacing w:before="0" w:after="283"/>
              <w:rPr>
                <w:sz w:val="4"/>
                <w:szCs w:val="4"/>
              </w:rPr>
            </w:pPr>
            <w:r>
              <w:rPr>
                <w:sz w:val="4"/>
                <w:szCs w:val="4"/>
              </w:rPr>
            </w:r>
          </w:p>
        </w:tc>
        <w:tc>
          <w:tcPr>
            <w:tcW w:w="999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120" w:after="0"/>
              <w:ind w:left="0" w:right="0" w:hanging="0"/>
              <w:jc w:val="left"/>
              <w:rPr/>
            </w:pPr>
            <w:r>
              <w:rPr/>
              <w:t>☐</w:t>
            </w:r>
          </w:p>
        </w:tc>
        <w:tc>
          <w:tcPr>
            <w:tcW w:w="9991" w:type="dxa"/>
            <w:tcBorders/>
            <w:shd w:fill="auto" w:val="clear"/>
            <w:tcMar>
              <w:top w:w="0" w:type="dxa"/>
              <w:left w:w="0" w:type="dxa"/>
              <w:bottom w:w="0" w:type="dxa"/>
              <w:right w:w="0" w:type="dxa"/>
            </w:tcMar>
            <w:vAlign w:val="center"/>
          </w:tcPr>
          <w:p>
            <w:pPr>
              <w:pStyle w:val="TableContents"/>
              <w:spacing w:before="120" w:after="0"/>
              <w:ind w:left="0" w:right="0" w:hanging="0"/>
              <w:jc w:val="left"/>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bl>
    <w:p>
      <w:pPr>
        <w:pStyle w:val="TextBody"/>
        <w:spacing w:before="120" w:after="0"/>
        <w:jc w:val="center"/>
        <w:rPr>
          <w:rFonts w:ascii="Times New Roman;serif" w:hAnsi="Times New Roman;serif"/>
          <w:b/>
          <w:sz w:val="20"/>
        </w:rPr>
      </w:pPr>
      <w:r>
        <w:rPr>
          <w:rFonts w:ascii="Times New Roman;serif" w:hAnsi="Times New Roman;serif"/>
          <w:b/>
          <w:sz w:val="20"/>
        </w:rPr>
        <w:t>For the transition period from _________ to _________</w:t>
      </w:r>
    </w:p>
    <w:p>
      <w:pPr>
        <w:pStyle w:val="TextBody"/>
        <w:spacing w:before="120" w:after="0"/>
        <w:jc w:val="center"/>
        <w:rPr>
          <w:rFonts w:ascii="Times New Roman;serif" w:hAnsi="Times New Roman;serif"/>
          <w:b/>
          <w:sz w:val="20"/>
        </w:rPr>
      </w:pPr>
      <w:r>
        <w:rPr>
          <w:rFonts w:ascii="Times New Roman;serif" w:hAnsi="Times New Roman;serif"/>
          <w:b/>
          <w:sz w:val="20"/>
        </w:rPr>
        <w:t>Commission File Number: 001-39269</w:t>
      </w:r>
    </w:p>
    <w:p>
      <w:pPr>
        <w:pStyle w:val="TextBody"/>
        <w:pBdr>
          <w:bottom w:val="single" w:sz="4" w:space="1" w:color="000000"/>
        </w:pBdr>
        <w:spacing w:before="60" w:after="120"/>
        <w:jc w:val="center"/>
        <w:rPr/>
      </w:pPr>
      <w:r>
        <w:rPr/>
        <w:t> </w:t>
      </w:r>
    </w:p>
    <w:p>
      <w:pPr>
        <w:pStyle w:val="TextBody"/>
        <w:spacing w:before="0" w:after="0"/>
        <w:jc w:val="center"/>
        <w:rPr>
          <w:rFonts w:ascii="Times New Roman;serif" w:hAnsi="Times New Roman;serif"/>
          <w:b/>
          <w:sz w:val="36"/>
        </w:rPr>
      </w:pPr>
      <w:r>
        <w:rPr>
          <w:rFonts w:ascii="Times New Roman;serif" w:hAnsi="Times New Roman;serif"/>
          <w:b/>
          <w:sz w:val="36"/>
        </w:rPr>
        <w:t>ORIC PHARMACEUTICALS, INC.</w:t>
      </w:r>
    </w:p>
    <w:p>
      <w:pPr>
        <w:pStyle w:val="TextBody"/>
        <w:spacing w:before="0" w:after="0"/>
        <w:jc w:val="center"/>
        <w:rPr>
          <w:rFonts w:ascii="Times New Roman;serif" w:hAnsi="Times New Roman;serif"/>
          <w:b/>
          <w:sz w:val="18"/>
        </w:rPr>
      </w:pPr>
      <w:r>
        <w:rPr>
          <w:rFonts w:ascii="Times New Roman;serif" w:hAnsi="Times New Roman;serif"/>
          <w:b/>
          <w:sz w:val="18"/>
        </w:rPr>
        <w:t>(Exact Name of Registrant as Specified in its Charter)</w:t>
      </w:r>
    </w:p>
    <w:p>
      <w:pPr>
        <w:pStyle w:val="TextBody"/>
        <w:pBdr>
          <w:bottom w:val="single" w:sz="4" w:space="1" w:color="000000"/>
        </w:pBdr>
        <w:spacing w:before="60" w:after="0"/>
        <w:jc w:val="center"/>
        <w:rPr/>
      </w:pPr>
      <w:r>
        <w:rPr/>
        <w:t> </w:t>
      </w:r>
    </w:p>
    <w:p>
      <w:pPr>
        <w:pStyle w:val="TextBody"/>
        <w:spacing w:before="0" w:after="0"/>
        <w:jc w:val="left"/>
        <w:rPr/>
      </w:pPr>
      <w:r>
        <w:rPr/>
        <w:t> </w:t>
      </w:r>
    </w:p>
    <w:tbl>
      <w:tblPr>
        <w:tblW w:w="6002" w:type="dxa"/>
        <w:jc w:val="left"/>
        <w:tblInd w:w="0" w:type="dxa"/>
        <w:tblCellMar>
          <w:top w:w="28" w:type="dxa"/>
          <w:left w:w="28" w:type="dxa"/>
          <w:bottom w:w="28" w:type="dxa"/>
          <w:right w:w="28" w:type="dxa"/>
        </w:tblCellMar>
      </w:tblPr>
      <w:tblGrid>
        <w:gridCol w:w="3751"/>
        <w:gridCol w:w="2251"/>
      </w:tblGrid>
      <w:tr>
        <w:trPr/>
        <w:tc>
          <w:tcPr>
            <w:tcW w:w="3751" w:type="dxa"/>
            <w:tcBorders/>
            <w:shd w:fill="auto" w:val="clear"/>
            <w:vAlign w:val="center"/>
          </w:tcPr>
          <w:p>
            <w:pPr>
              <w:pStyle w:val="TableContents"/>
              <w:spacing w:before="0" w:after="283"/>
              <w:rPr>
                <w:sz w:val="4"/>
                <w:szCs w:val="4"/>
              </w:rPr>
            </w:pPr>
            <w:r>
              <w:rPr>
                <w:sz w:val="4"/>
                <w:szCs w:val="4"/>
              </w:rPr>
            </w:r>
          </w:p>
        </w:tc>
        <w:tc>
          <w:tcPr>
            <w:tcW w:w="2251" w:type="dxa"/>
            <w:tcBorders/>
            <w:shd w:fill="auto" w:val="clear"/>
            <w:vAlign w:val="center"/>
          </w:tcPr>
          <w:p>
            <w:pPr>
              <w:pStyle w:val="TableContents"/>
              <w:spacing w:before="0" w:after="283"/>
              <w:rPr>
                <w:sz w:val="4"/>
                <w:szCs w:val="4"/>
              </w:rPr>
            </w:pPr>
            <w:r>
              <w:rPr>
                <w:sz w:val="4"/>
                <w:szCs w:val="4"/>
              </w:rPr>
            </w:r>
          </w:p>
        </w:tc>
      </w:tr>
      <w:tr>
        <w:trPr/>
        <w:tc>
          <w:tcPr>
            <w:tcW w:w="375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Delaware</w:t>
            </w:r>
          </w:p>
        </w:tc>
        <w:tc>
          <w:tcPr>
            <w:tcW w:w="225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47-1787157</w:t>
            </w:r>
          </w:p>
        </w:tc>
      </w:tr>
      <w:tr>
        <w:trPr/>
        <w:tc>
          <w:tcPr>
            <w:tcW w:w="375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(State or other jurisdiction of incorporation or organization)</w:t>
            </w:r>
          </w:p>
        </w:tc>
        <w:tc>
          <w:tcPr>
            <w:tcW w:w="225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(I.R.S. Employer Identification No.)</w:t>
            </w:r>
          </w:p>
        </w:tc>
      </w:tr>
      <w:tr>
        <w:trPr/>
        <w:tc>
          <w:tcPr>
            <w:tcW w:w="3751"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 w:hAnsi="Times New Roman"/>
                <w:sz w:val="14"/>
              </w:rPr>
            </w:pPr>
            <w:r>
              <w:rPr>
                <w:rFonts w:ascii="Times New Roman;serif" w:hAnsi="Times New Roman;serif"/>
                <w:b/>
                <w:sz w:val="16"/>
              </w:rPr>
              <w:t>240 E. Grand Ave, 2</w:t>
            </w:r>
            <w:r>
              <w:rPr>
                <w:rFonts w:ascii="Times New Roman;serif" w:hAnsi="Times New Roman;serif"/>
                <w:b/>
                <w:sz w:val="9"/>
              </w:rPr>
              <w:t>nd</w:t>
            </w:r>
            <w:r>
              <w:rPr>
                <w:rFonts w:ascii="Times New Roman;serif" w:hAnsi="Times New Roman;serif"/>
                <w:sz w:val="16"/>
              </w:rPr>
              <w:t xml:space="preserve"> </w:t>
            </w:r>
            <w:r>
              <w:rPr>
                <w:rFonts w:ascii="Times New Roman;serif" w:hAnsi="Times New Roman;serif"/>
                <w:b/>
                <w:sz w:val="16"/>
              </w:rPr>
              <w:t>Floor</w:t>
            </w:r>
            <w:r>
              <w:rPr>
                <w:rFonts w:ascii="Times New Roman" w:hAnsi="Times New Roman"/>
                <w:sz w:val="14"/>
              </w:rPr>
              <w:t xml:space="preserve"> </w:t>
            </w:r>
          </w:p>
          <w:p>
            <w:pPr>
              <w:pStyle w:val="TableContents"/>
              <w:spacing w:before="0" w:after="0"/>
              <w:ind w:left="0" w:right="0" w:hanging="0"/>
              <w:jc w:val="center"/>
              <w:rPr>
                <w:rFonts w:ascii="Times New Roman" w:hAnsi="Times New Roman"/>
                <w:sz w:val="20"/>
              </w:rPr>
            </w:pPr>
            <w:r>
              <w:rPr>
                <w:rFonts w:ascii="Times New Roman;serif" w:hAnsi="Times New Roman;serif"/>
                <w:b/>
                <w:sz w:val="16"/>
              </w:rPr>
              <w:t>South San Francisco, CA</w:t>
            </w:r>
            <w:r>
              <w:rPr>
                <w:rFonts w:ascii="Times New Roman" w:hAnsi="Times New Roman"/>
                <w:sz w:val="20"/>
              </w:rPr>
              <w:t xml:space="preserve"> </w:t>
            </w:r>
          </w:p>
        </w:tc>
        <w:tc>
          <w:tcPr>
            <w:tcW w:w="225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94080</w:t>
            </w:r>
          </w:p>
        </w:tc>
      </w:tr>
      <w:tr>
        <w:trPr/>
        <w:tc>
          <w:tcPr>
            <w:tcW w:w="375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(Address of principal executive offices)</w:t>
            </w:r>
          </w:p>
        </w:tc>
        <w:tc>
          <w:tcPr>
            <w:tcW w:w="225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(Zip Code)</w:t>
            </w:r>
          </w:p>
        </w:tc>
      </w:tr>
    </w:tbl>
    <w:p>
      <w:pPr>
        <w:pStyle w:val="TextBody"/>
        <w:spacing w:before="80" w:after="0"/>
        <w:jc w:val="center"/>
        <w:rPr>
          <w:rFonts w:ascii="Times New Roman;serif" w:hAnsi="Times New Roman;serif"/>
          <w:b/>
          <w:sz w:val="20"/>
        </w:rPr>
      </w:pPr>
      <w:r>
        <w:rPr>
          <w:rFonts w:ascii="Times New Roman;serif" w:hAnsi="Times New Roman;serif"/>
          <w:b/>
          <w:sz w:val="20"/>
        </w:rPr>
        <w:t>Registrant’s telephone number, including area code: (650) 388-5600</w:t>
      </w:r>
    </w:p>
    <w:p>
      <w:pPr>
        <w:pStyle w:val="TextBody"/>
        <w:pBdr>
          <w:bottom w:val="single" w:sz="4" w:space="1" w:color="000000"/>
        </w:pBdr>
        <w:spacing w:before="60" w:after="0"/>
        <w:jc w:val="center"/>
        <w:rPr/>
      </w:pPr>
      <w:r>
        <w:rPr/>
        <w:t> </w:t>
      </w:r>
    </w:p>
    <w:p>
      <w:pPr>
        <w:pStyle w:val="TextBody"/>
        <w:spacing w:before="0" w:after="0"/>
        <w:jc w:val="center"/>
        <w:rPr>
          <w:rFonts w:ascii="Times New Roman;serif" w:hAnsi="Times New Roman;serif"/>
          <w:b/>
          <w:sz w:val="18"/>
        </w:rPr>
      </w:pPr>
      <w:r>
        <w:rPr>
          <w:rFonts w:ascii="Times New Roman;serif" w:hAnsi="Times New Roman;serif"/>
          <w:b/>
          <w:sz w:val="18"/>
        </w:rPr>
        <w:t>Not applicable</w:t>
      </w:r>
    </w:p>
    <w:p>
      <w:pPr>
        <w:pStyle w:val="TextBody"/>
        <w:spacing w:before="80" w:after="0"/>
        <w:jc w:val="center"/>
        <w:rPr>
          <w:rFonts w:ascii="Times New Roman" w:hAnsi="Times New Roman"/>
          <w:sz w:val="20"/>
        </w:rPr>
      </w:pPr>
      <w:bookmarkStart w:id="2" w:name="t0"/>
      <w:bookmarkEnd w:id="2"/>
      <w:r>
        <w:rPr>
          <w:rFonts w:ascii="Times New Roman;serif" w:hAnsi="Times New Roman;serif"/>
          <w:b w:val="false"/>
          <w:sz w:val="18"/>
        </w:rPr>
        <w:t>(Former name,</w:t>
      </w:r>
      <w:r>
        <w:rPr>
          <w:rFonts w:ascii="Times New Roman" w:hAnsi="Times New Roman"/>
          <w:sz w:val="20"/>
        </w:rPr>
        <w:t xml:space="preserve"> </w:t>
      </w:r>
      <w:r>
        <w:rPr>
          <w:rFonts w:ascii="Times New Roman;serif" w:hAnsi="Times New Roman;serif"/>
          <w:b w:val="false"/>
          <w:sz w:val="18"/>
        </w:rPr>
        <w:t>former address, and former fiscal year, if changed since last report)</w:t>
      </w:r>
    </w:p>
    <w:p>
      <w:pPr>
        <w:pStyle w:val="TextBody"/>
        <w:spacing w:before="80" w:after="0"/>
        <w:jc w:val="left"/>
        <w:rPr>
          <w:rFonts w:ascii="Times New Roman" w:hAnsi="Times New Roman"/>
          <w:sz w:val="20"/>
        </w:rPr>
      </w:pPr>
      <w:r>
        <w:rPr>
          <w:rFonts w:ascii="Times New Roman;serif" w:hAnsi="Times New Roman;serif"/>
          <w:b w:val="false"/>
          <w:sz w:val="18"/>
        </w:rPr>
        <w:t>Securities registered pursuant to Section 12(b) of the Act:</w:t>
      </w:r>
      <w:r>
        <w:rPr>
          <w:rFonts w:ascii="Times New Roman" w:hAnsi="Times New Roman"/>
          <w:sz w:val="20"/>
        </w:rPr>
        <w:t xml:space="preserve"> </w:t>
      </w:r>
    </w:p>
    <w:p>
      <w:pPr>
        <w:pStyle w:val="TextBody"/>
        <w:spacing w:before="0" w:after="0"/>
        <w:jc w:val="left"/>
        <w:rPr/>
      </w:pPr>
      <w:r>
        <w:rPr/>
        <w:t> </w:t>
      </w:r>
    </w:p>
    <w:tbl>
      <w:tblPr>
        <w:tblW w:w="7795" w:type="dxa"/>
        <w:jc w:val="left"/>
        <w:tblInd w:w="0" w:type="dxa"/>
        <w:tblCellMar>
          <w:top w:w="28" w:type="dxa"/>
          <w:left w:w="28" w:type="dxa"/>
          <w:bottom w:w="28" w:type="dxa"/>
          <w:right w:w="28" w:type="dxa"/>
        </w:tblCellMar>
      </w:tblPr>
      <w:tblGrid>
        <w:gridCol w:w="3361"/>
        <w:gridCol w:w="146"/>
        <w:gridCol w:w="826"/>
        <w:gridCol w:w="146"/>
        <w:gridCol w:w="3316"/>
      </w:tblGrid>
      <w:tr>
        <w:trPr/>
        <w:tc>
          <w:tcPr>
            <w:tcW w:w="33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6" w:type="dxa"/>
            <w:tcBorders/>
            <w:shd w:fill="auto" w:val="clear"/>
            <w:vAlign w:val="center"/>
          </w:tcPr>
          <w:p>
            <w:pPr>
              <w:pStyle w:val="TableContents"/>
              <w:spacing w:before="0" w:after="283"/>
              <w:rPr>
                <w:sz w:val="4"/>
                <w:szCs w:val="4"/>
              </w:rPr>
            </w:pPr>
            <w:r>
              <w:rPr>
                <w:sz w:val="4"/>
                <w:szCs w:val="4"/>
              </w:rPr>
            </w:r>
          </w:p>
        </w:tc>
      </w:tr>
      <w:tr>
        <w:trPr/>
        <w:tc>
          <w:tcPr>
            <w:tcW w:w="33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36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Stock, $0.0001 par value per share</w:t>
            </w:r>
          </w:p>
        </w:tc>
        <w:tc>
          <w:tcPr>
            <w:tcW w:w="146" w:type="dxa"/>
            <w:tcBorders/>
            <w:shd w:fill="auto" w:val="clear"/>
            <w:vAlign w:val="center"/>
          </w:tcPr>
          <w:p>
            <w:pPr>
              <w:pStyle w:val="TableContents"/>
              <w:spacing w:before="0" w:after="0"/>
              <w:ind w:left="0" w:right="0" w:hanging="0"/>
              <w:jc w:val="center"/>
              <w:rPr/>
            </w:pPr>
            <w:r>
              <w:rPr/>
              <w:t> </w:t>
            </w:r>
          </w:p>
        </w:tc>
        <w:tc>
          <w:tcPr>
            <w:tcW w:w="82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ORIC</w:t>
            </w:r>
          </w:p>
        </w:tc>
        <w:tc>
          <w:tcPr>
            <w:tcW w:w="146" w:type="dxa"/>
            <w:tcBorders/>
            <w:shd w:fill="auto" w:val="clear"/>
            <w:vAlign w:val="center"/>
          </w:tcPr>
          <w:p>
            <w:pPr>
              <w:pStyle w:val="TableContents"/>
              <w:spacing w:before="0" w:after="0"/>
              <w:ind w:left="0" w:right="0" w:hanging="0"/>
              <w:jc w:val="center"/>
              <w:rPr/>
            </w:pPr>
            <w:r>
              <w:rPr/>
              <w:t> </w:t>
            </w:r>
          </w:p>
        </w:tc>
        <w:tc>
          <w:tcPr>
            <w:tcW w:w="331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The Nasdaq Global Select Market</w:t>
            </w:r>
          </w:p>
        </w:tc>
      </w:tr>
    </w:tbl>
    <w:p>
      <w:pPr>
        <w:pStyle w:val="TextBody"/>
        <w:spacing w:before="12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No ☐</w:t>
      </w:r>
    </w:p>
    <w:p>
      <w:pPr>
        <w:pStyle w:val="TextBody"/>
        <w:spacing w:before="8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No ☐</w:t>
      </w:r>
    </w:p>
    <w:p>
      <w:pPr>
        <w:pStyle w:val="TextBody"/>
        <w:spacing w:before="80" w:after="0"/>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jc w:val="left"/>
        <w:rPr/>
      </w:pPr>
      <w:r>
        <w:rPr/>
        <w:t> </w:t>
      </w:r>
    </w:p>
    <w:tbl>
      <w:tblPr>
        <w:tblW w:w="5197" w:type="dxa"/>
        <w:jc w:val="left"/>
        <w:tblInd w:w="0" w:type="dxa"/>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6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7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07"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spacing w:before="8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18"/>
        </w:rPr>
        <w:t>No ☒</w:t>
      </w:r>
    </w:p>
    <w:p>
      <w:pPr>
        <w:pStyle w:val="TextBody"/>
        <w:spacing w:before="80" w:after="0"/>
        <w:jc w:val="left"/>
        <w:rPr>
          <w:rFonts w:ascii="Times New Roman" w:hAnsi="Times New Roman"/>
          <w:sz w:val="20"/>
        </w:rPr>
      </w:pPr>
      <w:r>
        <w:rPr>
          <w:rFonts w:ascii="Times New Roman;serif" w:hAnsi="Times New Roman;serif"/>
          <w:b w:val="false"/>
          <w:sz w:val="18"/>
        </w:rPr>
        <w:t>As of May 2, 2023, the registrant had 45,093,183</w:t>
      </w:r>
      <w:r>
        <w:rPr>
          <w:rFonts w:ascii="Times New Roman" w:hAnsi="Times New Roman"/>
          <w:sz w:val="20"/>
        </w:rPr>
        <w:t xml:space="preserve"> </w:t>
      </w:r>
      <w:r>
        <w:rPr>
          <w:rFonts w:ascii="Times New Roman;serif" w:hAnsi="Times New Roman;serif"/>
          <w:b w:val="false"/>
          <w:sz w:val="18"/>
        </w:rPr>
        <w:t>shares of common stock, $0.0001 par value per share, outstanding.</w:t>
      </w:r>
    </w:p>
    <w:p>
      <w:pPr>
        <w:pStyle w:val="TextBody"/>
        <w:pBdr>
          <w:bottom w:val="double" w:sz="6" w:space="1" w:color="000000"/>
        </w:pBdr>
        <w:spacing w:before="0" w:after="0"/>
        <w:jc w:val="center"/>
        <w:rPr/>
      </w:pPr>
      <w:r>
        <w:rPr/>
        <w:t> </w:t>
      </w:r>
    </w:p>
    <w:p>
      <w:pPr>
        <w:pStyle w:val="TextBody"/>
        <w:spacing w:before="0" w:after="0"/>
        <w:jc w:val="left"/>
        <w:rPr/>
      </w:pPr>
      <w:r>
        <w:rPr/>
        <w:t> </w:t>
      </w:r>
    </w:p>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Table of Contents</w:t>
      </w:r>
      <w:r>
        <w:rPr>
          <w:rFonts w:ascii="Times New Roman" w:hAnsi="Times New Roman"/>
          <w:sz w:val="20"/>
        </w:rPr>
        <w:t xml:space="preserve"> </w:t>
      </w:r>
    </w:p>
    <w:p>
      <w:pPr>
        <w:pStyle w:val="TextBody"/>
        <w:spacing w:before="0" w:after="0"/>
        <w:jc w:val="left"/>
        <w:rPr/>
      </w:pPr>
      <w:r>
        <w:rPr/>
        <w:t> </w:t>
      </w:r>
    </w:p>
    <w:tbl>
      <w:tblPr>
        <w:tblW w:w="8763" w:type="dxa"/>
        <w:jc w:val="left"/>
        <w:tblInd w:w="0" w:type="dxa"/>
        <w:tblCellMar>
          <w:top w:w="28" w:type="dxa"/>
          <w:left w:w="28" w:type="dxa"/>
          <w:bottom w:w="28" w:type="dxa"/>
          <w:right w:w="28" w:type="dxa"/>
        </w:tblCellMar>
      </w:tblPr>
      <w:tblGrid>
        <w:gridCol w:w="886"/>
        <w:gridCol w:w="7366"/>
        <w:gridCol w:w="511"/>
      </w:tblGrid>
      <w:tr>
        <w:trPr/>
        <w:tc>
          <w:tcPr>
            <w:tcW w:w="886" w:type="dxa"/>
            <w:tcBorders/>
            <w:shd w:fill="auto" w:val="clear"/>
            <w:vAlign w:val="center"/>
          </w:tcPr>
          <w:p>
            <w:pPr>
              <w:pStyle w:val="TableContents"/>
              <w:spacing w:before="0" w:after="283"/>
              <w:rPr>
                <w:sz w:val="4"/>
                <w:szCs w:val="4"/>
              </w:rPr>
            </w:pPr>
            <w:r>
              <w:rPr>
                <w:sz w:val="4"/>
                <w:szCs w:val="4"/>
              </w:rPr>
            </w:r>
          </w:p>
        </w:tc>
        <w:tc>
          <w:tcPr>
            <w:tcW w:w="736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ind w:left="0" w:right="0" w:firstLine="137"/>
              <w:rPr>
                <w:sz w:val="4"/>
                <w:szCs w:val="4"/>
              </w:rPr>
            </w:pPr>
            <w:r>
              <w:rPr>
                <w:sz w:val="4"/>
                <w:szCs w:val="4"/>
              </w:rPr>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1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_financial_information">
              <w:r>
                <w:rPr>
                  <w:rStyle w:val="InternetLink"/>
                  <w:rFonts w:ascii="Times New Roman;serif" w:hAnsi="Times New Roman;serif"/>
                  <w:b w:val="false"/>
                  <w:sz w:val="20"/>
                  <w:u w:val="single"/>
                </w:rPr>
                <w:t>FINANCIAL INFORMATION</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_financial_statements">
              <w:r>
                <w:rPr>
                  <w:rStyle w:val="InternetLink"/>
                  <w:rFonts w:ascii="Times New Roman;serif" w:hAnsi="Times New Roman;serif"/>
                  <w:b w:val="false"/>
                  <w:sz w:val="20"/>
                  <w:u w:val="single"/>
                </w:rPr>
                <w:t>Financial Statements (Unaudited)</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3</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balance_sheets">
              <w:r>
                <w:rPr>
                  <w:rStyle w:val="InternetLink"/>
                  <w:rFonts w:ascii="Times New Roman;serif" w:hAnsi="Times New Roman;serif"/>
                  <w:b w:val="false"/>
                  <w:sz w:val="20"/>
                  <w:u w:val="single"/>
                </w:rPr>
                <w:t>Balance Sheets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3</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tatements_operations_comprehensive_loss">
              <w:r>
                <w:rPr>
                  <w:rStyle w:val="InternetLink"/>
                  <w:rFonts w:ascii="Times New Roman;serif" w:hAnsi="Times New Roman;serif"/>
                  <w:b w:val="false"/>
                  <w:sz w:val="20"/>
                  <w:u w:val="single"/>
                </w:rPr>
                <w:t>Statements of Operations and Comprehensive Loss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4</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tatements_convertible_preferred_stock_s">
              <w:r>
                <w:rPr>
                  <w:rStyle w:val="InternetLink"/>
                  <w:rFonts w:ascii="Times New Roman;serif" w:hAnsi="Times New Roman;serif"/>
                  <w:b w:val="false"/>
                  <w:sz w:val="20"/>
                  <w:u w:val="single"/>
                </w:rPr>
                <w:t>Statements of Stockholders’ Equity</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5</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tatements_cash_flows">
              <w:r>
                <w:rPr>
                  <w:rStyle w:val="InternetLink"/>
                  <w:rFonts w:ascii="Times New Roman;serif" w:hAnsi="Times New Roman;serif"/>
                  <w:b w:val="false"/>
                  <w:sz w:val="20"/>
                  <w:u w:val="single"/>
                </w:rPr>
                <w:t>Statements of Cash Flows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6</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notes_to_unaudited_financial_statements">
              <w:r>
                <w:rPr>
                  <w:rStyle w:val="InternetLink"/>
                  <w:rFonts w:ascii="Times New Roman;serif" w:hAnsi="Times New Roman;serif"/>
                  <w:b w:val="false"/>
                  <w:sz w:val="20"/>
                  <w:u w:val="single"/>
                </w:rPr>
                <w:t>Notes to Unaudited Financial Statements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7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7a_quantitative_qualitative_disclos">
              <w:r>
                <w:rPr>
                  <w:rStyle w:val="InternetLink"/>
                  <w:rFonts w:ascii="Times New Roman;serif" w:hAnsi="Times New Roman;serif"/>
                  <w:b w:val="false"/>
                  <w:sz w:val="20"/>
                  <w:u w:val="single"/>
                </w:rPr>
                <w:t>Quantitative and Qualitative Disclosures About Market Risk</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9a_controls_procedures">
              <w:r>
                <w:rPr>
                  <w:rStyle w:val="InternetLink"/>
                  <w:rFonts w:ascii="Times New Roman;serif" w:hAnsi="Times New Roman;serif"/>
                  <w:b w:val="false"/>
                  <w:sz w:val="20"/>
                  <w:u w:val="single"/>
                </w:rPr>
                <w:t>Controls and Procedures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i_other_information">
              <w:r>
                <w:rPr>
                  <w:rStyle w:val="InternetLink"/>
                  <w:rFonts w:ascii="Times New Roman;serif" w:hAnsi="Times New Roman;serif"/>
                  <w:b w:val="false"/>
                  <w:sz w:val="20"/>
                  <w:u w:val="single"/>
                </w:rPr>
                <w:t>OTHER INFORMATION</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_unregistered_sale_equity_securiti">
              <w:r>
                <w:rPr>
                  <w:rStyle w:val="InternetLink"/>
                  <w:rFonts w:ascii="Times New Roman;serif" w:hAnsi="Times New Roman;serif"/>
                  <w:b w:val="false"/>
                  <w:sz w:val="20"/>
                  <w:u w:val="single"/>
                </w:rPr>
                <w:t>Unregistered Sales of Equity Securities and Use of Proceeds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5_or_information">
              <w:r>
                <w:rPr>
                  <w:rStyle w:val="InternetLink"/>
                  <w:rFonts w:ascii="Times New Roman;serif" w:hAnsi="Times New Roman;serif"/>
                  <w:b w:val="false"/>
                  <w:sz w:val="20"/>
                  <w:u w:val="single"/>
                </w:rPr>
                <w:t>Other Information</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r>
      <w:tr>
        <w:trPr/>
        <w:tc>
          <w:tcPr>
            <w:tcW w:w="825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r>
    </w:tbl>
    <w:p>
      <w:pPr>
        <w:pStyle w:val="TextBody"/>
        <w:spacing w:before="0" w:after="0"/>
        <w:jc w:val="center"/>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3" w:name="part_i"/>
      <w:bookmarkEnd w:id="3"/>
      <w:r>
        <w:rPr>
          <w:rFonts w:ascii="Times New Roman;serif" w:hAnsi="Times New Roman;serif"/>
          <w:b/>
          <w:sz w:val="20"/>
        </w:rPr>
        <w:t>SPECIAL NOTE REGARDING FO</w:t>
      </w:r>
      <w:bookmarkStart w:id="4" w:name="special_note_regarding_forwardlooking_st"/>
      <w:bookmarkEnd w:id="4"/>
      <w:r>
        <w:rPr>
          <w:rFonts w:ascii="Times New Roman;serif" w:hAnsi="Times New Roman;serif"/>
          <w:b/>
          <w:sz w:val="20"/>
        </w:rPr>
        <w:t>RWARD-LOOKING STATEMENTS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This quarterly report on Form 10-Q contains forward-looking statements. All statements other than statements of historical facts contained in this quarterly report on Form10-Q,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quarterly report on Form 10-Q include, but are not limited to, statements about: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ability of our clinical trials to demonstrate safety and efficacy of our product candidates, and other positive results;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timing, progress and results of preclinical studies and clinical trials for ORIC-533, ORIC-114, ORIC-944 and other product candidates we may develop, including statements regarding the timing of initiation and completion of studies or trials and related preparatory work, the period during which the results of the trials will become available, and our research and development programs;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timing, scope and likelihood of regulatory filings and approvals, including timing of Investigational New Drug, or IND, or Clinical Trial Application, or CTA, applications and final Food and Drug Administration, or FDA, approval of ORIC-533, ORIC-114, ORIC-944 and any other future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potential benefits of and activity under the company’s collaboration, licenses and other third-party agreements;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timing, scope or likelihood of foreign regulatory filings and approvals;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develop and advance our current product candidates and programs into, and successfully complete, clinical studies;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manufacturing, commercialization, and marketing capabilities and strategy;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plans relating to commercializing our product candidates, if approved, including the geographic areas of focus and sales strategy;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need to hire additional personnel and our ability to attract and retain such personnel;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expectations regarding the impact of the COVID-19 pandemic on our business;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size of the market opportunity for our product candidates, including our estimates of the number of patients who suffer from the diseases we are targeting;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expectations regarding the approval and use of our product candidates in combination with other drugs;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competitive position and the success of competing therapies that are or may become available;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estimates of the number of patients that we will enroll in our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beneficial characteristics, safety, efficacy and therapeutic effects of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obtain and maintain regulatory approval of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plans relating to the further development of our product candidates, including additional indications we may pursue;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existing regulations and regulatory developments in the United States, Europe and other jurisdictions;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intellectual property position, including the scope of protection we are able to establish and maintain for intellectual property rights covering ORIC-533, ORIC-114, ORIC-944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continued reliance on third parties to conduct additional clinical trials of our product candidates, and for the manufacture of our product candidates for preclinical studies and clinical trials;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our ability to obtain, and negotiate favorable terms of, any collaboration, licensing or other arrangements that may be necessary or desirable to develop, manufacture or commercialize our product candidates;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pricing and reimbursement of ORIC-533, ORIC-114, ORIC-944 and other product candidates we may develop, if approved;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rate and degree of market acceptance and clinical utility of ORIC-533, ORIC-114, ORIC-944 and other product candidates we may develop;</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estimates regarding expenses, future revenue, capital requirements and needs for additional financing;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financial performance;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period over which we estimate our existing cash, cash equivalents and investments will be sufficient to fund our operating plan;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impact of laws and regulations;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expectations regarding the period during which we will qualify as an emerging growth company under the Jumpstart Our Business Startups Act of 2012 (JOBS Act);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our anticipated use of our existing resources.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spacing w:before="36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5" w:name="part_i_financial_information"/>
      <w:bookmarkEnd w:id="5"/>
      <w:r>
        <w:rPr>
          <w:rFonts w:ascii="Times New Roman;serif" w:hAnsi="Times New Roman;serif"/>
          <w:b/>
          <w:sz w:val="20"/>
        </w:rPr>
        <w:t>Part I – FINANCIAL INFORMATION</w:t>
      </w:r>
    </w:p>
    <w:p>
      <w:pPr>
        <w:pStyle w:val="TextBody"/>
        <w:spacing w:before="0" w:after="0"/>
        <w:jc w:val="center"/>
        <w:rPr/>
      </w:pPr>
      <w:r>
        <w:rPr/>
        <w:t> </w:t>
      </w:r>
    </w:p>
    <w:p>
      <w:pPr>
        <w:pStyle w:val="TextBody"/>
        <w:spacing w:before="0" w:after="0"/>
        <w:jc w:val="left"/>
        <w:rPr>
          <w:rFonts w:ascii="Times New Roman;serif" w:hAnsi="Times New Roman;serif"/>
          <w:b/>
          <w:sz w:val="20"/>
        </w:rPr>
      </w:pPr>
      <w:bookmarkStart w:id="6" w:name="item_1_financial_statements"/>
      <w:bookmarkEnd w:id="6"/>
      <w:r>
        <w:rPr>
          <w:rFonts w:ascii="Times New Roman;serif" w:hAnsi="Times New Roman;serif"/>
          <w:b/>
          <w:sz w:val="20"/>
        </w:rPr>
        <w:t>Item 1. Financial Statements.</w:t>
      </w:r>
    </w:p>
    <w:p>
      <w:pPr>
        <w:pStyle w:val="TextBody"/>
        <w:spacing w:before="0" w:after="0"/>
        <w:jc w:val="center"/>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ORIC PHARMACEUTICALS, INC.</w:t>
      </w:r>
    </w:p>
    <w:p>
      <w:pPr>
        <w:pStyle w:val="TextBody"/>
        <w:spacing w:before="0" w:after="0"/>
        <w:jc w:val="center"/>
        <w:rPr>
          <w:rFonts w:ascii="Times New Roman;serif" w:hAnsi="Times New Roman;serif"/>
          <w:b/>
          <w:sz w:val="20"/>
        </w:rPr>
      </w:pPr>
      <w:bookmarkStart w:id="7" w:name="balance_sheets"/>
      <w:bookmarkEnd w:id="7"/>
      <w:r>
        <w:rPr>
          <w:rFonts w:ascii="Times New Roman;serif" w:hAnsi="Times New Roman;serif"/>
          <w:b/>
          <w:sz w:val="20"/>
        </w:rPr>
        <w:t>BALANCE SHEETS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(in thousands, except share and per share amounts)</w:t>
      </w:r>
    </w:p>
    <w:tbl>
      <w:tblPr>
        <w:tblW w:w="10539" w:type="dxa"/>
        <w:jc w:val="left"/>
        <w:tblInd w:w="0" w:type="dxa"/>
        <w:tblCellMar>
          <w:top w:w="28" w:type="dxa"/>
          <w:left w:w="28" w:type="dxa"/>
          <w:bottom w:w="28" w:type="dxa"/>
          <w:right w:w="28" w:type="dxa"/>
        </w:tblCellMar>
      </w:tblPr>
      <w:tblGrid>
        <w:gridCol w:w="7052"/>
        <w:gridCol w:w="146"/>
        <w:gridCol w:w="230"/>
        <w:gridCol w:w="920"/>
        <w:gridCol w:w="166"/>
        <w:gridCol w:w="146"/>
        <w:gridCol w:w="254"/>
        <w:gridCol w:w="1012"/>
        <w:gridCol w:w="613"/>
      </w:tblGrid>
      <w:tr>
        <w:trPr/>
        <w:tc>
          <w:tcPr>
            <w:tcW w:w="70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r>
      <w:tr>
        <w:trPr/>
        <w:tc>
          <w:tcPr>
            <w:tcW w:w="705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28" w:type="dxa"/>
            <w:gridSpan w:val="6"/>
            <w:tcBorders/>
            <w:shd w:fill="auto" w:val="clear"/>
            <w:vAlign w:val="center"/>
          </w:tcPr>
          <w:p>
            <w:pPr>
              <w:pStyle w:val="TableContents"/>
              <w:spacing w:before="0" w:after="0"/>
              <w:ind w:left="0" w:right="0" w:hanging="0"/>
              <w:jc w:val="center"/>
              <w:rPr/>
            </w:pPr>
            <w:r>
              <w:rPr/>
              <w:t> </w:t>
            </w:r>
          </w:p>
        </w:tc>
        <w:tc>
          <w:tcPr>
            <w:tcW w:w="613" w:type="dxa"/>
            <w:tcBorders/>
            <w:shd w:fill="auto" w:val="clear"/>
            <w:vAlign w:val="center"/>
          </w:tcPr>
          <w:p>
            <w:pPr>
              <w:pStyle w:val="TableContents"/>
              <w:spacing w:before="0" w:after="0"/>
              <w:ind w:left="0" w:right="0" w:hanging="0"/>
              <w:jc w:val="center"/>
              <w:rPr/>
            </w:pPr>
            <w:r>
              <w:rPr/>
              <w:t> </w:t>
            </w:r>
          </w:p>
        </w:tc>
      </w:tr>
      <w:tr>
        <w:trPr/>
        <w:tc>
          <w:tcPr>
            <w:tcW w:w="705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0" w:type="dxa"/>
            <w:gridSpan w:val="2"/>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6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6" w:type="dxa"/>
            <w:gridSpan w:val="2"/>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613"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05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0"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(unaudited)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6" w:type="dxa"/>
            <w:gridSpan w:val="2"/>
            <w:tcBorders/>
            <w:shd w:fill="auto" w:val="clear"/>
            <w:vAlign w:val="center"/>
          </w:tcPr>
          <w:p>
            <w:pPr>
              <w:pStyle w:val="TableContents"/>
              <w:spacing w:before="0" w:after="0"/>
              <w:ind w:left="0" w:right="0" w:hanging="0"/>
              <w:jc w:val="center"/>
              <w:rPr/>
            </w:pPr>
            <w:r>
              <w:rPr/>
              <w:t> </w:t>
            </w:r>
          </w:p>
        </w:tc>
        <w:tc>
          <w:tcPr>
            <w:tcW w:w="613" w:type="dxa"/>
            <w:tcBorders/>
            <w:shd w:fill="auto" w:val="clear"/>
            <w:vAlign w:val="center"/>
          </w:tcPr>
          <w:p>
            <w:pPr>
              <w:pStyle w:val="TableContents"/>
              <w:spacing w:before="0" w:after="0"/>
              <w:ind w:left="0" w:right="0" w:hanging="0"/>
              <w:jc w:val="center"/>
              <w:rPr/>
            </w:pPr>
            <w:r>
              <w:rPr/>
              <w:t> </w:t>
            </w:r>
          </w:p>
        </w:tc>
      </w:tr>
      <w:tr>
        <w:trPr/>
        <w:tc>
          <w:tcPr>
            <w:tcW w:w="9926" w:type="dxa"/>
            <w:gridSpan w:val="8"/>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Assets</w:t>
            </w:r>
          </w:p>
        </w:tc>
        <w:tc>
          <w:tcPr>
            <w:tcW w:w="613" w:type="dxa"/>
            <w:tcBorders/>
            <w:shd w:fill="auto" w:val="clear"/>
            <w:vAlign w:val="center"/>
          </w:tcPr>
          <w:p>
            <w:pPr>
              <w:pStyle w:val="TableContents"/>
              <w:spacing w:before="0" w:after="0"/>
              <w:ind w:left="0" w:right="0" w:hanging="0"/>
              <w:jc w:val="center"/>
              <w:rPr/>
            </w:pPr>
            <w:r>
              <w:rPr/>
              <w:t> </w:t>
            </w:r>
          </w:p>
        </w:tc>
      </w:tr>
      <w:tr>
        <w:trPr/>
        <w:tc>
          <w:tcPr>
            <w:tcW w:w="705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115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6" w:type="dxa"/>
            <w:gridSpan w:val="2"/>
            <w:tcBorders/>
            <w:shd w:fill="auto" w:val="clear"/>
            <w:vAlign w:val="center"/>
          </w:tcPr>
          <w:p>
            <w:pPr>
              <w:pStyle w:val="TableContents"/>
              <w:spacing w:before="0" w:after="0"/>
              <w:ind w:left="0" w:right="0" w:hanging="0"/>
              <w:jc w:val="left"/>
              <w:rPr/>
            </w:pPr>
            <w:r>
              <w:rPr/>
              <w:t> </w:t>
            </w:r>
          </w:p>
        </w:tc>
        <w:tc>
          <w:tcPr>
            <w:tcW w:w="613" w:type="dxa"/>
            <w:tcBorders/>
            <w:shd w:fill="auto" w:val="clear"/>
            <w:vAlign w:val="center"/>
          </w:tcPr>
          <w:p>
            <w:pPr>
              <w:pStyle w:val="TableContents"/>
              <w:spacing w:before="0" w:after="0"/>
              <w:ind w:left="0" w:right="0" w:firstLine="200"/>
              <w:jc w:val="left"/>
              <w:rPr/>
            </w:pPr>
            <w:r>
              <w:rPr/>
              <w:t> </w:t>
            </w:r>
          </w:p>
        </w:tc>
      </w:tr>
      <w:tr>
        <w:trPr/>
        <w:tc>
          <w:tcPr>
            <w:tcW w:w="7052"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58,990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66,840</w:t>
            </w:r>
          </w:p>
        </w:tc>
        <w:tc>
          <w:tcPr>
            <w:tcW w:w="613" w:type="dxa"/>
            <w:tcBorders/>
            <w:shd w:fill="auto" w:val="clear"/>
            <w:vAlign w:val="center"/>
          </w:tcPr>
          <w:p>
            <w:pPr>
              <w:pStyle w:val="TableContents"/>
              <w:spacing w:before="0" w:after="0"/>
              <w:ind w:left="0" w:right="0" w:firstLine="200"/>
              <w:jc w:val="left"/>
              <w:rPr/>
            </w:pPr>
            <w:r>
              <w:rPr/>
              <w:t> </w:t>
            </w:r>
          </w:p>
        </w:tc>
      </w:tr>
      <w:tr>
        <w:trPr/>
        <w:tc>
          <w:tcPr>
            <w:tcW w:w="7052"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Short-term investments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130,639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139,432</w:t>
            </w:r>
          </w:p>
        </w:tc>
        <w:tc>
          <w:tcPr>
            <w:tcW w:w="613" w:type="dxa"/>
            <w:tcBorders/>
            <w:shd w:fill="auto" w:val="clear"/>
            <w:vAlign w:val="center"/>
          </w:tcPr>
          <w:p>
            <w:pPr>
              <w:pStyle w:val="TableContents"/>
              <w:spacing w:before="0" w:after="0"/>
              <w:ind w:left="0" w:right="0" w:firstLine="200"/>
              <w:jc w:val="left"/>
              <w:rPr/>
            </w:pPr>
            <w:r>
              <w:rPr/>
              <w:t> </w:t>
            </w:r>
          </w:p>
        </w:tc>
      </w:tr>
      <w:tr>
        <w:trPr/>
        <w:tc>
          <w:tcPr>
            <w:tcW w:w="7052"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3,535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4,185</w:t>
            </w:r>
          </w:p>
        </w:tc>
        <w:tc>
          <w:tcPr>
            <w:tcW w:w="6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052"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193,164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210,457</w:t>
            </w:r>
          </w:p>
        </w:tc>
        <w:tc>
          <w:tcPr>
            <w:tcW w:w="613" w:type="dxa"/>
            <w:tcBorders/>
            <w:shd w:fill="auto" w:val="clear"/>
            <w:vAlign w:val="center"/>
          </w:tcPr>
          <w:p>
            <w:pPr>
              <w:pStyle w:val="TableContents"/>
              <w:spacing w:before="0" w:after="0"/>
              <w:ind w:left="0" w:right="0" w:hanging="0"/>
              <w:jc w:val="left"/>
              <w:rPr/>
            </w:pPr>
            <w:r>
              <w:rPr/>
              <w:t> </w:t>
            </w:r>
          </w:p>
        </w:tc>
      </w:tr>
      <w:tr>
        <w:trPr/>
        <w:tc>
          <w:tcPr>
            <w:tcW w:w="705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5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6" w:type="dxa"/>
            <w:gridSpan w:val="2"/>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firstLine="200"/>
              <w:jc w:val="right"/>
              <w:rPr/>
            </w:pPr>
            <w:r>
              <w:rPr/>
              <w:t> </w:t>
            </w:r>
          </w:p>
        </w:tc>
      </w:tr>
      <w:tr>
        <w:trPr/>
        <w:tc>
          <w:tcPr>
            <w:tcW w:w="7052"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Long-term investments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19,309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21,951</w:t>
            </w:r>
          </w:p>
        </w:tc>
        <w:tc>
          <w:tcPr>
            <w:tcW w:w="613" w:type="dxa"/>
            <w:tcBorders/>
            <w:shd w:fill="auto" w:val="clear"/>
            <w:vAlign w:val="center"/>
          </w:tcPr>
          <w:p>
            <w:pPr>
              <w:pStyle w:val="TableContents"/>
              <w:spacing w:before="0" w:after="0"/>
              <w:ind w:left="0" w:right="0" w:firstLine="200"/>
              <w:jc w:val="left"/>
              <w:rPr/>
            </w:pPr>
            <w:r>
              <w:rPr/>
              <w:t> </w:t>
            </w:r>
          </w:p>
        </w:tc>
      </w:tr>
      <w:tr>
        <w:trPr/>
        <w:tc>
          <w:tcPr>
            <w:tcW w:w="7052"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3,253</w:t>
            </w:r>
          </w:p>
        </w:tc>
        <w:tc>
          <w:tcPr>
            <w:tcW w:w="613" w:type="dxa"/>
            <w:tcBorders/>
            <w:shd w:fill="auto" w:val="clear"/>
            <w:vAlign w:val="center"/>
          </w:tcPr>
          <w:p>
            <w:pPr>
              <w:pStyle w:val="TableContents"/>
              <w:spacing w:before="0" w:after="0"/>
              <w:ind w:left="0" w:right="0" w:firstLine="200"/>
              <w:jc w:val="left"/>
              <w:rPr/>
            </w:pPr>
            <w:r>
              <w:rPr/>
              <w:t> </w:t>
            </w:r>
          </w:p>
        </w:tc>
      </w:tr>
      <w:tr>
        <w:trPr/>
        <w:tc>
          <w:tcPr>
            <w:tcW w:w="7052"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assets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11,063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11,517</w:t>
            </w:r>
          </w:p>
        </w:tc>
        <w:tc>
          <w:tcPr>
            <w:tcW w:w="6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052"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assets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226,648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247,178</w:t>
            </w:r>
          </w:p>
        </w:tc>
        <w:tc>
          <w:tcPr>
            <w:tcW w:w="6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05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5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6" w:type="dxa"/>
            <w:gridSpan w:val="2"/>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pPr>
            <w:r>
              <w:rPr/>
              <w:t> </w:t>
            </w:r>
          </w:p>
        </w:tc>
      </w:tr>
      <w:tr>
        <w:trPr/>
        <w:tc>
          <w:tcPr>
            <w:tcW w:w="9926" w:type="dxa"/>
            <w:gridSpan w:val="8"/>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Liabilities and Stockholders' Equity</w:t>
            </w:r>
          </w:p>
        </w:tc>
        <w:tc>
          <w:tcPr>
            <w:tcW w:w="613" w:type="dxa"/>
            <w:tcBorders/>
            <w:shd w:fill="auto" w:val="clear"/>
            <w:vAlign w:val="center"/>
          </w:tcPr>
          <w:p>
            <w:pPr>
              <w:pStyle w:val="TableContents"/>
              <w:spacing w:before="0" w:after="0"/>
              <w:ind w:left="0" w:right="0" w:hanging="0"/>
              <w:jc w:val="center"/>
              <w:rPr/>
            </w:pPr>
            <w:r>
              <w:rPr/>
              <w:t> </w:t>
            </w:r>
          </w:p>
        </w:tc>
      </w:tr>
      <w:tr>
        <w:trPr/>
        <w:tc>
          <w:tcPr>
            <w:tcW w:w="705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5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6" w:type="dxa"/>
            <w:gridSpan w:val="2"/>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pPr>
            <w:r>
              <w:rPr/>
              <w:t> </w:t>
            </w:r>
          </w:p>
        </w:tc>
      </w:tr>
      <w:tr>
        <w:trPr/>
        <w:tc>
          <w:tcPr>
            <w:tcW w:w="705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115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6" w:type="dxa"/>
            <w:gridSpan w:val="2"/>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firstLine="200"/>
              <w:jc w:val="right"/>
              <w:rPr/>
            </w:pPr>
            <w:r>
              <w:rPr/>
              <w:t> </w:t>
            </w:r>
          </w:p>
        </w:tc>
      </w:tr>
      <w:tr>
        <w:trPr/>
        <w:tc>
          <w:tcPr>
            <w:tcW w:w="7052"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1,320</w:t>
            </w:r>
          </w:p>
        </w:tc>
        <w:tc>
          <w:tcPr>
            <w:tcW w:w="613" w:type="dxa"/>
            <w:tcBorders/>
            <w:shd w:fill="auto" w:val="clear"/>
            <w:vAlign w:val="center"/>
          </w:tcPr>
          <w:p>
            <w:pPr>
              <w:pStyle w:val="TableContents"/>
              <w:spacing w:before="0" w:after="0"/>
              <w:ind w:left="0" w:right="0" w:firstLine="200"/>
              <w:jc w:val="left"/>
              <w:rPr/>
            </w:pPr>
            <w:r>
              <w:rPr/>
              <w:t> </w:t>
            </w:r>
          </w:p>
        </w:tc>
      </w:tr>
      <w:tr>
        <w:trPr/>
        <w:tc>
          <w:tcPr>
            <w:tcW w:w="7052"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Accrued liabilities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12,937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14,068</w:t>
            </w:r>
          </w:p>
        </w:tc>
        <w:tc>
          <w:tcPr>
            <w:tcW w:w="6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052"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15,388</w:t>
            </w:r>
          </w:p>
        </w:tc>
        <w:tc>
          <w:tcPr>
            <w:tcW w:w="613" w:type="dxa"/>
            <w:tcBorders/>
            <w:shd w:fill="auto" w:val="clear"/>
            <w:vAlign w:val="center"/>
          </w:tcPr>
          <w:p>
            <w:pPr>
              <w:pStyle w:val="TableContents"/>
              <w:spacing w:before="0" w:after="0"/>
              <w:ind w:left="0" w:right="0" w:hanging="0"/>
              <w:jc w:val="left"/>
              <w:rPr/>
            </w:pPr>
            <w:r>
              <w:rPr/>
              <w:t> </w:t>
            </w:r>
          </w:p>
        </w:tc>
      </w:tr>
      <w:tr>
        <w:trPr/>
        <w:tc>
          <w:tcPr>
            <w:tcW w:w="705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5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6" w:type="dxa"/>
            <w:gridSpan w:val="2"/>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firstLine="200"/>
              <w:jc w:val="right"/>
              <w:rPr/>
            </w:pPr>
            <w:r>
              <w:rPr/>
              <w:t> </w:t>
            </w:r>
          </w:p>
        </w:tc>
      </w:tr>
      <w:tr>
        <w:trPr/>
        <w:tc>
          <w:tcPr>
            <w:tcW w:w="7052"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long-term liabilities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8,969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9,439</w:t>
            </w:r>
          </w:p>
        </w:tc>
        <w:tc>
          <w:tcPr>
            <w:tcW w:w="6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052"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23,836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24,827</w:t>
            </w:r>
          </w:p>
        </w:tc>
        <w:tc>
          <w:tcPr>
            <w:tcW w:w="613" w:type="dxa"/>
            <w:tcBorders/>
            <w:shd w:fill="auto" w:val="clear"/>
            <w:vAlign w:val="center"/>
          </w:tcPr>
          <w:p>
            <w:pPr>
              <w:pStyle w:val="TableContents"/>
              <w:spacing w:before="0" w:after="0"/>
              <w:ind w:left="0" w:right="0" w:hanging="0"/>
              <w:jc w:val="left"/>
              <w:rPr/>
            </w:pPr>
            <w:r>
              <w:rPr/>
              <w:t> </w:t>
            </w:r>
          </w:p>
        </w:tc>
      </w:tr>
      <w:tr>
        <w:trPr/>
        <w:tc>
          <w:tcPr>
            <w:tcW w:w="705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5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6" w:type="dxa"/>
            <w:gridSpan w:val="2"/>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pPr>
            <w:r>
              <w:rPr/>
              <w:t> </w:t>
            </w:r>
          </w:p>
        </w:tc>
      </w:tr>
      <w:tr>
        <w:trPr/>
        <w:tc>
          <w:tcPr>
            <w:tcW w:w="705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Commitments and contingencies</w:t>
            </w:r>
          </w:p>
        </w:tc>
        <w:tc>
          <w:tcPr>
            <w:tcW w:w="146" w:type="dxa"/>
            <w:tcBorders/>
            <w:shd w:fill="auto" w:val="clear"/>
            <w:vAlign w:val="center"/>
          </w:tcPr>
          <w:p>
            <w:pPr>
              <w:pStyle w:val="TableContents"/>
              <w:spacing w:before="0" w:after="0"/>
              <w:ind w:left="0" w:right="0" w:hanging="0"/>
              <w:jc w:val="left"/>
              <w:rPr/>
            </w:pPr>
            <w:r>
              <w:rPr/>
              <w:t> </w:t>
            </w:r>
          </w:p>
        </w:tc>
        <w:tc>
          <w:tcPr>
            <w:tcW w:w="115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6" w:type="dxa"/>
            <w:gridSpan w:val="2"/>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pPr>
            <w:r>
              <w:rPr/>
              <w:t> </w:t>
            </w:r>
          </w:p>
        </w:tc>
      </w:tr>
      <w:tr>
        <w:trPr/>
        <w:tc>
          <w:tcPr>
            <w:tcW w:w="705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Stockholders' equity:</w:t>
            </w:r>
          </w:p>
        </w:tc>
        <w:tc>
          <w:tcPr>
            <w:tcW w:w="146" w:type="dxa"/>
            <w:tcBorders/>
            <w:shd w:fill="auto" w:val="clear"/>
            <w:vAlign w:val="center"/>
          </w:tcPr>
          <w:p>
            <w:pPr>
              <w:pStyle w:val="TableContents"/>
              <w:spacing w:before="0" w:after="0"/>
              <w:ind w:left="0" w:right="0" w:hanging="0"/>
              <w:jc w:val="left"/>
              <w:rPr/>
            </w:pPr>
            <w:r>
              <w:rPr/>
              <w:t> </w:t>
            </w:r>
          </w:p>
        </w:tc>
        <w:tc>
          <w:tcPr>
            <w:tcW w:w="115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6" w:type="dxa"/>
            <w:gridSpan w:val="2"/>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firstLine="200"/>
              <w:jc w:val="right"/>
              <w:rPr/>
            </w:pPr>
            <w:r>
              <w:rPr/>
              <w:t> </w:t>
            </w:r>
          </w:p>
        </w:tc>
      </w:tr>
      <w:tr>
        <w:trPr/>
        <w:tc>
          <w:tcPr>
            <w:tcW w:w="7052"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18"/>
              </w:rPr>
              <w:t>Preferred stock, $0.0001</w:t>
            </w:r>
            <w:r>
              <w:rPr>
                <w:rFonts w:ascii="Times New Roman" w:hAnsi="Times New Roman"/>
                <w:sz w:val="20"/>
              </w:rPr>
              <w:t> </w:t>
            </w:r>
            <w:r>
              <w:rPr>
                <w:rFonts w:ascii="Times New Roman;serif" w:hAnsi="Times New Roman;serif"/>
                <w:b w:val="false"/>
                <w:sz w:val="18"/>
              </w:rPr>
              <w:t>par value; 200,000,000</w:t>
            </w:r>
            <w:r>
              <w:rPr>
                <w:rFonts w:ascii="Times New Roman" w:hAnsi="Times New Roman"/>
                <w:sz w:val="20"/>
              </w:rPr>
              <w:t> </w:t>
            </w:r>
            <w:r>
              <w:rPr>
                <w:rFonts w:ascii="Times New Roman;serif" w:hAnsi="Times New Roman;serif"/>
                <w:b w:val="false"/>
                <w:sz w:val="18"/>
              </w:rPr>
              <w:t>shares authorized; no</w:t>
            </w:r>
            <w:r>
              <w:rPr>
                <w:rFonts w:ascii="Times New Roman" w:hAnsi="Times New Roman"/>
                <w:sz w:val="20"/>
              </w:rPr>
              <w:t> </w:t>
            </w:r>
            <w:r>
              <w:rPr>
                <w:rFonts w:ascii="Times New Roman;serif" w:hAnsi="Times New Roman;serif"/>
                <w:b w:val="false"/>
                <w:sz w:val="18"/>
              </w:rPr>
              <w:t>shares issued and outstanding at March 31, 2023 and December 31, 2022</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pPr>
            <w:r>
              <w:rPr/>
              <w:t>—</w:t>
            </w:r>
          </w:p>
        </w:tc>
        <w:tc>
          <w:tcPr>
            <w:tcW w:w="613" w:type="dxa"/>
            <w:tcBorders/>
            <w:shd w:fill="auto" w:val="clear"/>
            <w:vAlign w:val="center"/>
          </w:tcPr>
          <w:p>
            <w:pPr>
              <w:pStyle w:val="TableContents"/>
              <w:spacing w:before="0" w:after="0"/>
              <w:ind w:left="0" w:right="0" w:firstLine="200"/>
              <w:jc w:val="left"/>
              <w:rPr/>
            </w:pPr>
            <w:r>
              <w:rPr/>
              <w:t> </w:t>
            </w:r>
          </w:p>
        </w:tc>
      </w:tr>
      <w:tr>
        <w:trPr/>
        <w:tc>
          <w:tcPr>
            <w:tcW w:w="7052"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18"/>
              </w:rPr>
              <w:t>Common stock, $0.0001</w:t>
            </w:r>
            <w:r>
              <w:rPr>
                <w:rFonts w:ascii="Times New Roman" w:hAnsi="Times New Roman"/>
                <w:sz w:val="20"/>
              </w:rPr>
              <w:t> </w:t>
            </w:r>
            <w:r>
              <w:rPr>
                <w:rFonts w:ascii="Times New Roman;serif" w:hAnsi="Times New Roman;serif"/>
                <w:b w:val="false"/>
                <w:sz w:val="18"/>
              </w:rPr>
              <w:t>par value; 1,000,000,000</w:t>
            </w:r>
            <w:r>
              <w:rPr>
                <w:rFonts w:ascii="Times New Roman" w:hAnsi="Times New Roman"/>
                <w:sz w:val="20"/>
              </w:rPr>
              <w:t> </w:t>
            </w:r>
            <w:r>
              <w:rPr>
                <w:rFonts w:ascii="Times New Roman;serif" w:hAnsi="Times New Roman;serif"/>
                <w:b w:val="false"/>
                <w:sz w:val="18"/>
              </w:rPr>
              <w:t>shares authorized; 45,091,215</w:t>
            </w:r>
            <w:r>
              <w:rPr>
                <w:rFonts w:ascii="Times New Roman" w:hAnsi="Times New Roman"/>
                <w:sz w:val="20"/>
              </w:rPr>
              <w:t> </w:t>
            </w:r>
            <w:r>
              <w:rPr>
                <w:rFonts w:ascii="Times New Roman;serif" w:hAnsi="Times New Roman;serif"/>
                <w:b w:val="false"/>
                <w:sz w:val="18"/>
              </w:rPr>
              <w:t>and 45,089,537</w:t>
            </w:r>
            <w:r>
              <w:rPr>
                <w:rFonts w:ascii="Times New Roman" w:hAnsi="Times New Roman"/>
                <w:sz w:val="20"/>
              </w:rPr>
              <w:t> </w:t>
            </w:r>
            <w:r>
              <w:rPr>
                <w:rFonts w:ascii="Times New Roman;serif" w:hAnsi="Times New Roman;serif"/>
                <w:b w:val="false"/>
                <w:sz w:val="18"/>
              </w:rPr>
              <w:t>shares issued and outstanding at March 31, 2023 and December 31, 2022, respectively</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613" w:type="dxa"/>
            <w:tcBorders/>
            <w:shd w:fill="auto" w:val="clear"/>
            <w:vAlign w:val="center"/>
          </w:tcPr>
          <w:p>
            <w:pPr>
              <w:pStyle w:val="TableContents"/>
              <w:spacing w:before="0" w:after="0"/>
              <w:ind w:left="0" w:right="0" w:firstLine="200"/>
              <w:jc w:val="left"/>
              <w:rPr/>
            </w:pPr>
            <w:r>
              <w:rPr/>
              <w:t> </w:t>
            </w:r>
          </w:p>
        </w:tc>
      </w:tr>
      <w:tr>
        <w:trPr/>
        <w:tc>
          <w:tcPr>
            <w:tcW w:w="7052"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Additional paid-in capital</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561,481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557,867</w:t>
            </w:r>
          </w:p>
        </w:tc>
        <w:tc>
          <w:tcPr>
            <w:tcW w:w="613" w:type="dxa"/>
            <w:tcBorders/>
            <w:shd w:fill="auto" w:val="clear"/>
            <w:vAlign w:val="center"/>
          </w:tcPr>
          <w:p>
            <w:pPr>
              <w:pStyle w:val="TableContents"/>
              <w:spacing w:before="0" w:after="0"/>
              <w:ind w:left="0" w:right="0" w:firstLine="200"/>
              <w:jc w:val="left"/>
              <w:rPr/>
            </w:pPr>
            <w:r>
              <w:rPr/>
              <w:t> </w:t>
            </w:r>
          </w:p>
        </w:tc>
      </w:tr>
      <w:tr>
        <w:trPr/>
        <w:tc>
          <w:tcPr>
            <w:tcW w:w="7052"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Accumulated deficit</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(358,175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(334,230</w:t>
            </w:r>
          </w:p>
        </w:tc>
        <w:tc>
          <w:tcPr>
            <w:tcW w:w="613"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052"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Accumulated 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(1,291</w:t>
            </w:r>
          </w:p>
        </w:tc>
        <w:tc>
          <w:tcPr>
            <w:tcW w:w="6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7052"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stockholders' equity</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202,812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222,351</w:t>
            </w:r>
          </w:p>
        </w:tc>
        <w:tc>
          <w:tcPr>
            <w:tcW w:w="6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052"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226,648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247,178</w:t>
            </w:r>
          </w:p>
        </w:tc>
        <w:tc>
          <w:tcPr>
            <w:tcW w:w="6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See accompanying notes to unaudited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ORIC PHARMACEUTICALS, INC.</w:t>
      </w:r>
    </w:p>
    <w:p>
      <w:pPr>
        <w:pStyle w:val="TextBody"/>
        <w:spacing w:before="0" w:after="0"/>
        <w:jc w:val="center"/>
        <w:rPr>
          <w:rFonts w:ascii="Times New Roman;serif" w:hAnsi="Times New Roman;serif"/>
          <w:b/>
          <w:sz w:val="20"/>
        </w:rPr>
      </w:pPr>
      <w:bookmarkStart w:id="8" w:name="statements_operations_comprehensive_loss"/>
      <w:bookmarkEnd w:id="8"/>
      <w:r>
        <w:rPr>
          <w:rFonts w:ascii="Times New Roman;serif" w:hAnsi="Times New Roman;serif"/>
          <w:b/>
          <w:sz w:val="20"/>
        </w:rPr>
        <w:t>STATEMENTS OF OPERATIONS AND COMPREHENSIVE LOSS</w:t>
      </w:r>
    </w:p>
    <w:p>
      <w:pPr>
        <w:pStyle w:val="TextBody"/>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(in thousands, except share and per share amounts)</w:t>
      </w:r>
    </w:p>
    <w:p>
      <w:pPr>
        <w:pStyle w:val="TextBody"/>
        <w:spacing w:before="0" w:after="0"/>
        <w:jc w:val="left"/>
        <w:rPr/>
      </w:pPr>
      <w:r>
        <w:rPr/>
        <w:t> </w:t>
      </w:r>
    </w:p>
    <w:tbl>
      <w:tblPr>
        <w:tblW w:w="8048" w:type="dxa"/>
        <w:jc w:val="left"/>
        <w:tblInd w:w="0" w:type="dxa"/>
        <w:tblCellMar>
          <w:top w:w="28" w:type="dxa"/>
          <w:left w:w="28" w:type="dxa"/>
          <w:bottom w:w="28" w:type="dxa"/>
          <w:right w:w="28" w:type="dxa"/>
        </w:tblCellMar>
      </w:tblPr>
      <w:tblGrid>
        <w:gridCol w:w="4651"/>
        <w:gridCol w:w="211"/>
        <w:gridCol w:w="1036"/>
        <w:gridCol w:w="166"/>
        <w:gridCol w:w="146"/>
        <w:gridCol w:w="211"/>
        <w:gridCol w:w="1036"/>
        <w:gridCol w:w="591"/>
      </w:tblGrid>
      <w:tr>
        <w:trPr/>
        <w:tc>
          <w:tcPr>
            <w:tcW w:w="46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4651" w:type="dxa"/>
            <w:tcBorders/>
            <w:shd w:fill="auto" w:val="clear"/>
            <w:vAlign w:val="center"/>
          </w:tcPr>
          <w:p>
            <w:pPr>
              <w:pStyle w:val="TableContents"/>
              <w:spacing w:before="0" w:after="0"/>
              <w:ind w:left="0" w:right="0" w:hanging="0"/>
              <w:jc w:val="center"/>
              <w:rPr/>
            </w:pPr>
            <w:r>
              <w:rPr/>
              <w:t> </w:t>
            </w:r>
          </w:p>
        </w:tc>
        <w:tc>
          <w:tcPr>
            <w:tcW w:w="2806" w:type="dxa"/>
            <w:gridSpan w:val="6"/>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March 31,</w:t>
            </w:r>
          </w:p>
        </w:tc>
        <w:tc>
          <w:tcPr>
            <w:tcW w:w="591"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651" w:type="dxa"/>
            <w:tcBorders/>
            <w:shd w:fill="auto" w:val="clear"/>
            <w:vAlign w:val="center"/>
          </w:tcPr>
          <w:p>
            <w:pPr>
              <w:pStyle w:val="TableContents"/>
              <w:spacing w:before="0" w:after="0"/>
              <w:ind w:left="0" w:right="0" w:hanging="0"/>
              <w:jc w:val="center"/>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6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46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19,516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16,828</w:t>
            </w:r>
          </w:p>
        </w:tc>
        <w:tc>
          <w:tcPr>
            <w:tcW w:w="591" w:type="dxa"/>
            <w:tcBorders/>
            <w:shd w:fill="auto" w:val="clear"/>
            <w:vAlign w:val="center"/>
          </w:tcPr>
          <w:p>
            <w:pPr>
              <w:pStyle w:val="TableContents"/>
              <w:spacing w:before="0" w:after="0"/>
              <w:ind w:left="0" w:right="0" w:firstLine="200"/>
              <w:jc w:val="left"/>
              <w:rPr/>
            </w:pPr>
            <w:r>
              <w:rPr/>
              <w:t> </w:t>
            </w:r>
          </w:p>
        </w:tc>
      </w:tr>
      <w:tr>
        <w:trPr/>
        <w:tc>
          <w:tcPr>
            <w:tcW w:w="46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6,162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6,430</w:t>
            </w:r>
          </w:p>
        </w:tc>
        <w:tc>
          <w:tcPr>
            <w:tcW w:w="591" w:type="dxa"/>
            <w:tcBorders/>
            <w:shd w:fill="auto" w:val="clear"/>
            <w:vAlign w:val="center"/>
          </w:tcPr>
          <w:p>
            <w:pPr>
              <w:pStyle w:val="TableContents"/>
              <w:spacing w:before="0" w:after="0"/>
              <w:ind w:left="0" w:right="0" w:firstLine="400"/>
              <w:jc w:val="left"/>
              <w:rPr/>
            </w:pPr>
            <w:r>
              <w:rPr/>
              <w:t> </w:t>
            </w:r>
          </w:p>
        </w:tc>
      </w:tr>
      <w:tr>
        <w:trPr/>
        <w:tc>
          <w:tcPr>
            <w:tcW w:w="465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03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25,678</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03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23,258</w:t>
            </w:r>
          </w:p>
        </w:tc>
        <w:tc>
          <w:tcPr>
            <w:tcW w:w="59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r>
      <w:tr>
        <w:trPr/>
        <w:tc>
          <w:tcPr>
            <w:tcW w:w="46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(25,678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(23,258</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shd w:fill="auto" w:val="clear"/>
            <w:vAlign w:val="center"/>
          </w:tcPr>
          <w:p>
            <w:pPr>
              <w:pStyle w:val="TableContents"/>
              <w:spacing w:before="0" w:after="283"/>
              <w:ind w:left="0" w:right="0" w:hanging="0"/>
              <w:rPr>
                <w:sz w:val="4"/>
                <w:szCs w:val="4"/>
              </w:rPr>
            </w:pPr>
            <w:r>
              <w:rPr>
                <w:sz w:val="4"/>
                <w:szCs w:val="4"/>
              </w:rPr>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46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46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 net</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c>
          <w:tcPr>
            <w:tcW w:w="591" w:type="dxa"/>
            <w:tcBorders/>
            <w:shd w:fill="auto" w:val="clear"/>
            <w:vAlign w:val="center"/>
          </w:tcPr>
          <w:p>
            <w:pPr>
              <w:pStyle w:val="TableContents"/>
              <w:spacing w:before="0" w:after="0"/>
              <w:ind w:left="0" w:right="0" w:firstLine="400"/>
              <w:jc w:val="left"/>
              <w:rPr/>
            </w:pPr>
            <w:r>
              <w:rPr/>
              <w:t> </w:t>
            </w:r>
          </w:p>
        </w:tc>
      </w:tr>
      <w:tr>
        <w:trPr/>
        <w:tc>
          <w:tcPr>
            <w:tcW w:w="465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income</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03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1,733</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03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c>
          <w:tcPr>
            <w:tcW w:w="59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r>
      <w:tr>
        <w:trPr/>
        <w:tc>
          <w:tcPr>
            <w:tcW w:w="46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(23,945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(23,159</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(loss):</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4651" w:type="dxa"/>
            <w:tcBorders/>
            <w:shd w:fill="auto" w:val="clear"/>
            <w:vAlign w:val="center"/>
          </w:tcPr>
          <w:p>
            <w:pPr>
              <w:pStyle w:val="TableContents"/>
              <w:spacing w:before="0" w:after="0"/>
              <w:ind w:left="200" w:right="0" w:hanging="0"/>
              <w:jc w:val="left"/>
              <w:rPr/>
            </w:pPr>
            <w:r>
              <w:rPr/>
              <w:t> </w:t>
            </w:r>
            <w:r>
              <w:rPr>
                <w:rFonts w:ascii="Times New Roman;serif" w:hAnsi="Times New Roman;serif"/>
                <w:b w:val="false"/>
                <w:sz w:val="20"/>
              </w:rPr>
              <w:t>Unrealized gain (loss) on investments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(699</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(23,153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(23,858</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(0.59</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shares outstanding, basic and diluted</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45,090,166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39,431,722</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651"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center"/>
        <w:rPr>
          <w:rFonts w:ascii="Times New Roman;serif" w:hAnsi="Times New Roman;serif"/>
          <w:b w:val="false"/>
          <w:sz w:val="20"/>
        </w:rPr>
      </w:pPr>
      <w:r>
        <w:rPr>
          <w:rFonts w:ascii="Times New Roman;serif" w:hAnsi="Times New Roman;serif"/>
          <w:b w:val="false"/>
          <w:sz w:val="20"/>
        </w:rPr>
        <w:t>See accompanying notes to unaudited financial statements.</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ORIC PHARMACEUTICALS, INC.</w:t>
      </w:r>
    </w:p>
    <w:p>
      <w:pPr>
        <w:pStyle w:val="TextBody"/>
        <w:spacing w:before="0" w:after="0"/>
        <w:jc w:val="center"/>
        <w:rPr>
          <w:rFonts w:ascii="Times New Roman" w:hAnsi="Times New Roman"/>
          <w:sz w:val="20"/>
        </w:rPr>
      </w:pPr>
      <w:bookmarkStart w:id="9" w:name="statements_convertible_preferred_stock_s"/>
      <w:bookmarkEnd w:id="9"/>
      <w:r>
        <w:rPr>
          <w:rFonts w:ascii="Times New Roman;serif" w:hAnsi="Times New Roman;serif"/>
          <w:b/>
          <w:sz w:val="20"/>
        </w:rPr>
        <w:t>STATEMENTS OF</w:t>
      </w:r>
      <w:r>
        <w:rPr>
          <w:rFonts w:ascii="Times New Roman" w:hAnsi="Times New Roman"/>
          <w:sz w:val="20"/>
        </w:rPr>
        <w:t xml:space="preserve"> </w:t>
      </w:r>
      <w:r>
        <w:rPr>
          <w:rFonts w:ascii="Times New Roman;serif" w:hAnsi="Times New Roman;serif"/>
          <w:b/>
          <w:sz w:val="20"/>
        </w:rPr>
        <w:t>STOCKHOLDERS’ EQUITY</w:t>
      </w:r>
    </w:p>
    <w:p>
      <w:pPr>
        <w:pStyle w:val="TextBody"/>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(in thousands, except share amounts)</w:t>
      </w:r>
    </w:p>
    <w:p>
      <w:pPr>
        <w:pStyle w:val="TextBody"/>
        <w:spacing w:before="0" w:after="0"/>
        <w:jc w:val="center"/>
        <w:rPr/>
      </w:pPr>
      <w:r>
        <w:rPr/>
        <w:t> </w:t>
      </w:r>
    </w:p>
    <w:tbl>
      <w:tblPr>
        <w:tblW w:w="10539" w:type="dxa"/>
        <w:jc w:val="left"/>
        <w:tblInd w:w="0" w:type="dxa"/>
        <w:tblCellMar>
          <w:top w:w="28" w:type="dxa"/>
          <w:left w:w="28" w:type="dxa"/>
          <w:bottom w:w="28" w:type="dxa"/>
          <w:right w:w="28" w:type="dxa"/>
        </w:tblCellMar>
      </w:tblPr>
      <w:tblGrid>
        <w:gridCol w:w="1994"/>
        <w:gridCol w:w="146"/>
        <w:gridCol w:w="146"/>
        <w:gridCol w:w="916"/>
        <w:gridCol w:w="146"/>
        <w:gridCol w:w="146"/>
        <w:gridCol w:w="249"/>
        <w:gridCol w:w="442"/>
        <w:gridCol w:w="146"/>
        <w:gridCol w:w="146"/>
        <w:gridCol w:w="196"/>
        <w:gridCol w:w="691"/>
        <w:gridCol w:w="146"/>
        <w:gridCol w:w="146"/>
        <w:gridCol w:w="217"/>
        <w:gridCol w:w="834"/>
        <w:gridCol w:w="166"/>
        <w:gridCol w:w="146"/>
        <w:gridCol w:w="449"/>
        <w:gridCol w:w="1314"/>
        <w:gridCol w:w="166"/>
        <w:gridCol w:w="146"/>
        <w:gridCol w:w="231"/>
        <w:gridCol w:w="821"/>
        <w:gridCol w:w="393"/>
      </w:tblGrid>
      <w:tr>
        <w:trPr/>
        <w:tc>
          <w:tcPr>
            <w:tcW w:w="199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r>
      <w:tr>
        <w:trPr/>
        <w:tc>
          <w:tcPr>
            <w:tcW w:w="199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63"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 Other Comprehensive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br/>
              <w:t>Stockholders'</w:t>
            </w:r>
          </w:p>
        </w:tc>
        <w:tc>
          <w:tcPr>
            <w:tcW w:w="393" w:type="dxa"/>
            <w:tcBorders/>
            <w:shd w:fill="auto" w:val="clear"/>
            <w:vAlign w:val="center"/>
          </w:tcPr>
          <w:p>
            <w:pPr>
              <w:pStyle w:val="TableContents"/>
              <w:spacing w:before="0" w:after="0"/>
              <w:ind w:left="0" w:right="0" w:hanging="0"/>
              <w:jc w:val="center"/>
              <w:rPr/>
            </w:pPr>
            <w:r>
              <w:rPr/>
              <w:t> </w:t>
            </w:r>
          </w:p>
        </w:tc>
      </w:tr>
      <w:tr>
        <w:trPr/>
        <w:tc>
          <w:tcPr>
            <w:tcW w:w="199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6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Gain (Loss)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94"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Balance at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45,089,537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4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557,867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(334,230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4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31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(1,291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222,351</w:t>
            </w:r>
          </w:p>
        </w:tc>
        <w:tc>
          <w:tcPr>
            <w:tcW w:w="393" w:type="dxa"/>
            <w:tcBorders/>
            <w:shd w:fill="auto" w:val="clear"/>
            <w:vAlign w:val="center"/>
          </w:tcPr>
          <w:p>
            <w:pPr>
              <w:pStyle w:val="TableContents"/>
              <w:spacing w:before="0" w:after="0"/>
              <w:ind w:left="0" w:right="0" w:firstLine="200"/>
              <w:jc w:val="left"/>
              <w:rPr/>
            </w:pPr>
            <w:r>
              <w:rPr/>
              <w:t> </w:t>
            </w:r>
          </w:p>
        </w:tc>
      </w:tr>
      <w:tr>
        <w:trPr/>
        <w:tc>
          <w:tcPr>
            <w:tcW w:w="1994"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Exercise of common stock options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4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49" w:type="dxa"/>
            <w:tcBorders/>
            <w:shd w:fill="auto" w:val="clear"/>
            <w:vAlign w:val="center"/>
          </w:tcPr>
          <w:p>
            <w:pPr>
              <w:pStyle w:val="TableContents"/>
              <w:spacing w:before="0" w:after="0"/>
              <w:ind w:left="0" w:right="0" w:hanging="0"/>
              <w:jc w:val="left"/>
              <w:rPr/>
            </w:pPr>
            <w:r>
              <w:rPr/>
              <w:t> </w:t>
            </w:r>
          </w:p>
        </w:tc>
        <w:tc>
          <w:tcPr>
            <w:tcW w:w="131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pPr>
            <w:r>
              <w:rPr/>
              <w:t>—</w:t>
            </w:r>
          </w:p>
        </w:tc>
        <w:tc>
          <w:tcPr>
            <w:tcW w:w="393" w:type="dxa"/>
            <w:tcBorders/>
            <w:shd w:fill="auto" w:val="clear"/>
            <w:vAlign w:val="center"/>
          </w:tcPr>
          <w:p>
            <w:pPr>
              <w:pStyle w:val="TableContents"/>
              <w:spacing w:before="0" w:after="0"/>
              <w:ind w:left="0" w:right="0" w:firstLine="200"/>
              <w:jc w:val="left"/>
              <w:rPr/>
            </w:pPr>
            <w:r>
              <w:rPr/>
              <w:t> </w:t>
            </w:r>
          </w:p>
        </w:tc>
      </w:tr>
      <w:tr>
        <w:trPr/>
        <w:tc>
          <w:tcPr>
            <w:tcW w:w="1994"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Issuance of common stock upon vesting of RSUs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4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49" w:type="dxa"/>
            <w:tcBorders/>
            <w:shd w:fill="auto" w:val="clear"/>
            <w:vAlign w:val="center"/>
          </w:tcPr>
          <w:p>
            <w:pPr>
              <w:pStyle w:val="TableContents"/>
              <w:spacing w:before="0" w:after="0"/>
              <w:ind w:left="0" w:right="0" w:hanging="0"/>
              <w:jc w:val="left"/>
              <w:rPr/>
            </w:pPr>
            <w:r>
              <w:rPr/>
              <w:t> </w:t>
            </w:r>
          </w:p>
        </w:tc>
        <w:tc>
          <w:tcPr>
            <w:tcW w:w="131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pPr>
            <w:r>
              <w:rPr/>
              <w:t>—</w:t>
            </w:r>
          </w:p>
        </w:tc>
        <w:tc>
          <w:tcPr>
            <w:tcW w:w="393" w:type="dxa"/>
            <w:tcBorders/>
            <w:shd w:fill="auto" w:val="clear"/>
            <w:vAlign w:val="center"/>
          </w:tcPr>
          <w:p>
            <w:pPr>
              <w:pStyle w:val="TableContents"/>
              <w:spacing w:before="0" w:after="0"/>
              <w:ind w:left="0" w:right="0" w:firstLine="200"/>
              <w:jc w:val="left"/>
              <w:rPr/>
            </w:pPr>
            <w:r>
              <w:rPr/>
              <w:t> </w:t>
            </w:r>
          </w:p>
        </w:tc>
      </w:tr>
      <w:tr>
        <w:trPr/>
        <w:tc>
          <w:tcPr>
            <w:tcW w:w="1994"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4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49" w:type="dxa"/>
            <w:tcBorders/>
            <w:shd w:fill="auto" w:val="clear"/>
            <w:vAlign w:val="center"/>
          </w:tcPr>
          <w:p>
            <w:pPr>
              <w:pStyle w:val="TableContents"/>
              <w:spacing w:before="0" w:after="0"/>
              <w:ind w:left="0" w:right="0" w:hanging="0"/>
              <w:jc w:val="left"/>
              <w:rPr/>
            </w:pPr>
            <w:r>
              <w:rPr/>
              <w:t> </w:t>
            </w:r>
          </w:p>
        </w:tc>
        <w:tc>
          <w:tcPr>
            <w:tcW w:w="131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3,614</w:t>
            </w:r>
          </w:p>
        </w:tc>
        <w:tc>
          <w:tcPr>
            <w:tcW w:w="393" w:type="dxa"/>
            <w:tcBorders/>
            <w:shd w:fill="auto" w:val="clear"/>
            <w:vAlign w:val="center"/>
          </w:tcPr>
          <w:p>
            <w:pPr>
              <w:pStyle w:val="TableContents"/>
              <w:spacing w:before="0" w:after="0"/>
              <w:ind w:left="0" w:right="0" w:firstLine="200"/>
              <w:jc w:val="left"/>
              <w:rPr/>
            </w:pPr>
            <w:r>
              <w:rPr/>
              <w:t> </w:t>
            </w:r>
          </w:p>
        </w:tc>
      </w:tr>
      <w:tr>
        <w:trPr/>
        <w:tc>
          <w:tcPr>
            <w:tcW w:w="1994"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Unrealized gain on investments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4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49" w:type="dxa"/>
            <w:tcBorders/>
            <w:shd w:fill="auto" w:val="clear"/>
            <w:vAlign w:val="center"/>
          </w:tcPr>
          <w:p>
            <w:pPr>
              <w:pStyle w:val="TableContents"/>
              <w:spacing w:before="0" w:after="0"/>
              <w:ind w:left="0" w:right="0" w:hanging="0"/>
              <w:jc w:val="left"/>
              <w:rPr/>
            </w:pPr>
            <w:r>
              <w:rPr/>
              <w:t> </w:t>
            </w:r>
          </w:p>
        </w:tc>
        <w:tc>
          <w:tcPr>
            <w:tcW w:w="131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792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792</w:t>
            </w:r>
          </w:p>
        </w:tc>
        <w:tc>
          <w:tcPr>
            <w:tcW w:w="393" w:type="dxa"/>
            <w:tcBorders/>
            <w:shd w:fill="auto" w:val="clear"/>
            <w:vAlign w:val="center"/>
          </w:tcPr>
          <w:p>
            <w:pPr>
              <w:pStyle w:val="TableContents"/>
              <w:spacing w:before="0" w:after="0"/>
              <w:ind w:left="0" w:right="0" w:firstLine="200"/>
              <w:jc w:val="left"/>
              <w:rPr/>
            </w:pPr>
            <w:r>
              <w:rPr/>
              <w:t> </w:t>
            </w:r>
          </w:p>
        </w:tc>
      </w:tr>
      <w:tr>
        <w:trPr/>
        <w:tc>
          <w:tcPr>
            <w:tcW w:w="1994"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(23,945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4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(23,945</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994"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Balance at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45,091,215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561,481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(358,175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4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3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(499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202,812</w:t>
            </w:r>
          </w:p>
        </w:tc>
        <w:tc>
          <w:tcPr>
            <w:tcW w:w="3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tbl>
      <w:tblPr>
        <w:tblW w:w="10539" w:type="dxa"/>
        <w:jc w:val="left"/>
        <w:tblInd w:w="0" w:type="dxa"/>
        <w:tblCellMar>
          <w:top w:w="28" w:type="dxa"/>
          <w:left w:w="28" w:type="dxa"/>
          <w:bottom w:w="28" w:type="dxa"/>
          <w:right w:w="28" w:type="dxa"/>
        </w:tblCellMar>
      </w:tblPr>
      <w:tblGrid>
        <w:gridCol w:w="1803"/>
        <w:gridCol w:w="146"/>
        <w:gridCol w:w="146"/>
        <w:gridCol w:w="916"/>
        <w:gridCol w:w="146"/>
        <w:gridCol w:w="146"/>
        <w:gridCol w:w="249"/>
        <w:gridCol w:w="442"/>
        <w:gridCol w:w="146"/>
        <w:gridCol w:w="146"/>
        <w:gridCol w:w="196"/>
        <w:gridCol w:w="691"/>
        <w:gridCol w:w="146"/>
        <w:gridCol w:w="146"/>
        <w:gridCol w:w="217"/>
        <w:gridCol w:w="834"/>
        <w:gridCol w:w="166"/>
        <w:gridCol w:w="146"/>
        <w:gridCol w:w="598"/>
        <w:gridCol w:w="1332"/>
        <w:gridCol w:w="166"/>
        <w:gridCol w:w="146"/>
        <w:gridCol w:w="232"/>
        <w:gridCol w:w="825"/>
        <w:gridCol w:w="412"/>
      </w:tblGrid>
      <w:tr>
        <w:trPr/>
        <w:tc>
          <w:tcPr>
            <w:tcW w:w="180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r>
      <w:tr>
        <w:trPr/>
        <w:tc>
          <w:tcPr>
            <w:tcW w:w="180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3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 Other Comprehensive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br/>
              <w:t>Stockholders'</w:t>
            </w:r>
          </w:p>
        </w:tc>
        <w:tc>
          <w:tcPr>
            <w:tcW w:w="412" w:type="dxa"/>
            <w:tcBorders/>
            <w:shd w:fill="auto" w:val="clear"/>
            <w:vAlign w:val="center"/>
          </w:tcPr>
          <w:p>
            <w:pPr>
              <w:pStyle w:val="TableContents"/>
              <w:spacing w:before="0" w:after="0"/>
              <w:ind w:left="0" w:right="0" w:hanging="0"/>
              <w:jc w:val="center"/>
              <w:rPr/>
            </w:pPr>
            <w:r>
              <w:rPr/>
              <w:t> </w:t>
            </w:r>
          </w:p>
        </w:tc>
      </w:tr>
      <w:tr>
        <w:trPr/>
        <w:tc>
          <w:tcPr>
            <w:tcW w:w="180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Gain (Loss)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4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03"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Balance at December 31,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39,430,120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4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518,183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(245,108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59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3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272,976</w:t>
            </w:r>
          </w:p>
        </w:tc>
        <w:tc>
          <w:tcPr>
            <w:tcW w:w="412" w:type="dxa"/>
            <w:tcBorders/>
            <w:shd w:fill="auto" w:val="clear"/>
            <w:vAlign w:val="center"/>
          </w:tcPr>
          <w:p>
            <w:pPr>
              <w:pStyle w:val="TableContents"/>
              <w:spacing w:before="0" w:after="0"/>
              <w:ind w:left="0" w:right="0" w:firstLine="200"/>
              <w:jc w:val="left"/>
              <w:rPr/>
            </w:pPr>
            <w:r>
              <w:rPr/>
              <w:t> </w:t>
            </w:r>
          </w:p>
        </w:tc>
      </w:tr>
      <w:tr>
        <w:trPr/>
        <w:tc>
          <w:tcPr>
            <w:tcW w:w="1803"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Exercise of common stock options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8,482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4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8" w:type="dxa"/>
            <w:tcBorders/>
            <w:shd w:fill="auto" w:val="clear"/>
            <w:vAlign w:val="center"/>
          </w:tcPr>
          <w:p>
            <w:pPr>
              <w:pStyle w:val="TableContents"/>
              <w:spacing w:before="0" w:after="0"/>
              <w:ind w:left="0" w:right="0" w:hanging="0"/>
              <w:jc w:val="left"/>
              <w:rPr/>
            </w:pPr>
            <w:r>
              <w:rPr/>
              <w:t> </w:t>
            </w:r>
          </w:p>
        </w:tc>
        <w:tc>
          <w:tcPr>
            <w:tcW w:w="133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82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w:t>
            </w:r>
          </w:p>
        </w:tc>
        <w:tc>
          <w:tcPr>
            <w:tcW w:w="412" w:type="dxa"/>
            <w:tcBorders/>
            <w:shd w:fill="auto" w:val="clear"/>
            <w:vAlign w:val="center"/>
          </w:tcPr>
          <w:p>
            <w:pPr>
              <w:pStyle w:val="TableContents"/>
              <w:spacing w:before="0" w:after="0"/>
              <w:ind w:left="0" w:right="0" w:firstLine="200"/>
              <w:jc w:val="left"/>
              <w:rPr/>
            </w:pPr>
            <w:r>
              <w:rPr/>
              <w:t> </w:t>
            </w:r>
          </w:p>
        </w:tc>
      </w:tr>
      <w:tr>
        <w:trPr/>
        <w:tc>
          <w:tcPr>
            <w:tcW w:w="1803"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4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8" w:type="dxa"/>
            <w:tcBorders/>
            <w:shd w:fill="auto" w:val="clear"/>
            <w:vAlign w:val="center"/>
          </w:tcPr>
          <w:p>
            <w:pPr>
              <w:pStyle w:val="TableContents"/>
              <w:spacing w:before="0" w:after="0"/>
              <w:ind w:left="0" w:right="0" w:hanging="0"/>
              <w:jc w:val="left"/>
              <w:rPr/>
            </w:pPr>
            <w:r>
              <w:rPr/>
              <w:t> </w:t>
            </w:r>
          </w:p>
        </w:tc>
        <w:tc>
          <w:tcPr>
            <w:tcW w:w="133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82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3,945</w:t>
            </w:r>
          </w:p>
        </w:tc>
        <w:tc>
          <w:tcPr>
            <w:tcW w:w="412" w:type="dxa"/>
            <w:tcBorders/>
            <w:shd w:fill="auto" w:val="clear"/>
            <w:vAlign w:val="center"/>
          </w:tcPr>
          <w:p>
            <w:pPr>
              <w:pStyle w:val="TableContents"/>
              <w:spacing w:before="0" w:after="0"/>
              <w:ind w:left="0" w:right="0" w:firstLine="200"/>
              <w:jc w:val="left"/>
              <w:rPr/>
            </w:pPr>
            <w:r>
              <w:rPr/>
              <w:t> </w:t>
            </w:r>
          </w:p>
        </w:tc>
      </w:tr>
      <w:tr>
        <w:trPr/>
        <w:tc>
          <w:tcPr>
            <w:tcW w:w="1803"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Unrealized loss on investments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4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8" w:type="dxa"/>
            <w:tcBorders/>
            <w:shd w:fill="auto" w:val="clear"/>
            <w:vAlign w:val="center"/>
          </w:tcPr>
          <w:p>
            <w:pPr>
              <w:pStyle w:val="TableContents"/>
              <w:spacing w:before="0" w:after="0"/>
              <w:ind w:left="0" w:right="0" w:hanging="0"/>
              <w:jc w:val="left"/>
              <w:rPr/>
            </w:pPr>
            <w:r>
              <w:rPr/>
              <w:t> </w:t>
            </w:r>
          </w:p>
        </w:tc>
        <w:tc>
          <w:tcPr>
            <w:tcW w:w="13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(699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82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(699</w:t>
            </w:r>
          </w:p>
        </w:tc>
        <w:tc>
          <w:tcPr>
            <w:tcW w:w="412"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1803"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(23,159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5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(23,159</w:t>
            </w:r>
          </w:p>
        </w:tc>
        <w:tc>
          <w:tcPr>
            <w:tcW w:w="4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803"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Balance at March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39,438,602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522,144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(268,267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5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3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(802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253,079</w:t>
            </w:r>
          </w:p>
        </w:tc>
        <w:tc>
          <w:tcPr>
            <w:tcW w:w="4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See accompanying notes to unaudited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ORIC PHARMACEUTICALS, INC.</w:t>
      </w:r>
    </w:p>
    <w:p>
      <w:pPr>
        <w:pStyle w:val="TextBody"/>
        <w:spacing w:before="0" w:after="0"/>
        <w:jc w:val="center"/>
        <w:rPr>
          <w:rFonts w:ascii="Times New Roman" w:hAnsi="Times New Roman"/>
          <w:sz w:val="20"/>
        </w:rPr>
      </w:pPr>
      <w:bookmarkStart w:id="10" w:name="statements_cash_flows"/>
      <w:bookmarkEnd w:id="10"/>
      <w:r>
        <w:rPr>
          <w:rFonts w:ascii="Times New Roman;serif" w:hAnsi="Times New Roman;serif"/>
          <w:b/>
          <w:sz w:val="20"/>
        </w:rPr>
        <w:t>STATEMENTS OF</w:t>
      </w:r>
      <w:r>
        <w:rPr>
          <w:rFonts w:ascii="Times New Roman" w:hAnsi="Times New Roman"/>
          <w:sz w:val="20"/>
        </w:rPr>
        <w:t xml:space="preserve"> </w:t>
      </w:r>
      <w:r>
        <w:rPr>
          <w:rFonts w:ascii="Times New Roman;serif" w:hAnsi="Times New Roman;serif"/>
          <w:b/>
          <w:sz w:val="20"/>
        </w:rPr>
        <w:t>CASH FLOWS</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(in thousands)</w:t>
      </w:r>
    </w:p>
    <w:tbl>
      <w:tblPr>
        <w:tblW w:w="9499" w:type="dxa"/>
        <w:jc w:val="left"/>
        <w:tblInd w:w="0" w:type="dxa"/>
        <w:tblCellMar>
          <w:top w:w="28" w:type="dxa"/>
          <w:left w:w="28" w:type="dxa"/>
          <w:bottom w:w="28" w:type="dxa"/>
          <w:right w:w="28" w:type="dxa"/>
        </w:tblCellMar>
      </w:tblPr>
      <w:tblGrid>
        <w:gridCol w:w="6031"/>
        <w:gridCol w:w="146"/>
        <w:gridCol w:w="211"/>
        <w:gridCol w:w="736"/>
        <w:gridCol w:w="166"/>
        <w:gridCol w:w="146"/>
        <w:gridCol w:w="211"/>
        <w:gridCol w:w="841"/>
        <w:gridCol w:w="1011"/>
      </w:tblGrid>
      <w:tr>
        <w:trPr/>
        <w:tc>
          <w:tcPr>
            <w:tcW w:w="60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r>
      <w:tr>
        <w:trPr/>
        <w:tc>
          <w:tcPr>
            <w:tcW w:w="60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11" w:type="dxa"/>
            <w:gridSpan w:val="6"/>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011"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0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011" w:type="dxa"/>
            <w:tcBorders/>
            <w:shd w:fill="auto" w:val="clear"/>
            <w:vAlign w:val="center"/>
          </w:tcPr>
          <w:p>
            <w:pPr>
              <w:pStyle w:val="TableContents"/>
              <w:spacing w:before="0" w:after="0"/>
              <w:ind w:left="0" w:right="0" w:firstLine="200"/>
              <w:jc w:val="right"/>
              <w:rPr/>
            </w:pPr>
            <w:r>
              <w:rPr/>
              <w:t> </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(23,945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(23,159</w:t>
            </w:r>
          </w:p>
        </w:tc>
        <w:tc>
          <w:tcPr>
            <w:tcW w:w="10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011" w:type="dxa"/>
            <w:tcBorders/>
            <w:shd w:fill="auto" w:val="clear"/>
            <w:vAlign w:val="center"/>
          </w:tcPr>
          <w:p>
            <w:pPr>
              <w:pStyle w:val="TableContents"/>
              <w:spacing w:before="0" w:after="0"/>
              <w:ind w:left="0" w:right="0" w:firstLine="400"/>
              <w:jc w:val="right"/>
              <w:rPr/>
            </w:pPr>
            <w:r>
              <w:rPr/>
              <w:t> </w:t>
            </w:r>
          </w:p>
        </w:tc>
      </w:tr>
      <w:tr>
        <w:trPr/>
        <w:tc>
          <w:tcPr>
            <w:tcW w:w="603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Depreciation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251</w:t>
            </w:r>
          </w:p>
        </w:tc>
        <w:tc>
          <w:tcPr>
            <w:tcW w:w="1011" w:type="dxa"/>
            <w:tcBorders/>
            <w:shd w:fill="auto" w:val="clear"/>
            <w:vAlign w:val="center"/>
          </w:tcPr>
          <w:p>
            <w:pPr>
              <w:pStyle w:val="TableContents"/>
              <w:spacing w:before="0" w:after="0"/>
              <w:ind w:left="0" w:right="0" w:firstLine="400"/>
              <w:jc w:val="left"/>
              <w:rPr/>
            </w:pPr>
            <w:r>
              <w:rPr/>
              <w:t> </w:t>
            </w:r>
          </w:p>
        </w:tc>
      </w:tr>
      <w:tr>
        <w:trPr/>
        <w:tc>
          <w:tcPr>
            <w:tcW w:w="603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3,614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3,945</w:t>
            </w:r>
          </w:p>
        </w:tc>
        <w:tc>
          <w:tcPr>
            <w:tcW w:w="1011" w:type="dxa"/>
            <w:tcBorders/>
            <w:shd w:fill="auto" w:val="clear"/>
            <w:vAlign w:val="center"/>
          </w:tcPr>
          <w:p>
            <w:pPr>
              <w:pStyle w:val="TableContents"/>
              <w:spacing w:before="0" w:after="0"/>
              <w:ind w:left="0" w:right="0" w:firstLine="400"/>
              <w:jc w:val="left"/>
              <w:rPr/>
            </w:pPr>
            <w:r>
              <w:rPr/>
              <w:t> </w:t>
            </w:r>
          </w:p>
        </w:tc>
      </w:tr>
      <w:tr>
        <w:trPr/>
        <w:tc>
          <w:tcPr>
            <w:tcW w:w="603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(Accretion of discount) amortization of premium on investments,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011" w:type="dxa"/>
            <w:tcBorders/>
            <w:shd w:fill="auto" w:val="clear"/>
            <w:vAlign w:val="center"/>
          </w:tcPr>
          <w:p>
            <w:pPr>
              <w:pStyle w:val="TableContents"/>
              <w:spacing w:before="0" w:after="0"/>
              <w:ind w:left="0" w:right="0" w:firstLine="200"/>
              <w:jc w:val="left"/>
              <w:rPr/>
            </w:pPr>
            <w:r>
              <w:rPr/>
              <w:t> </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011" w:type="dxa"/>
            <w:tcBorders/>
            <w:shd w:fill="auto" w:val="clear"/>
            <w:vAlign w:val="center"/>
          </w:tcPr>
          <w:p>
            <w:pPr>
              <w:pStyle w:val="TableContents"/>
              <w:spacing w:before="0" w:after="0"/>
              <w:ind w:left="0" w:right="0" w:firstLine="400"/>
              <w:jc w:val="right"/>
              <w:rPr/>
            </w:pPr>
            <w:r>
              <w:rPr/>
              <w:t> </w:t>
            </w:r>
          </w:p>
        </w:tc>
      </w:tr>
      <w:tr>
        <w:trPr/>
        <w:tc>
          <w:tcPr>
            <w:tcW w:w="603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Prepaid expenses and other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(536</w:t>
            </w:r>
          </w:p>
        </w:tc>
        <w:tc>
          <w:tcPr>
            <w:tcW w:w="1011"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payable and accrued other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(3,261</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8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(20,628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(22,718</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011" w:type="dxa"/>
            <w:tcBorders/>
            <w:shd w:fill="auto" w:val="clear"/>
            <w:vAlign w:val="center"/>
          </w:tcPr>
          <w:p>
            <w:pPr>
              <w:pStyle w:val="TableContents"/>
              <w:spacing w:before="0" w:after="0"/>
              <w:ind w:left="0" w:right="0" w:hanging="0"/>
              <w:jc w:val="right"/>
              <w:rPr/>
            </w:pPr>
            <w:r>
              <w:rPr/>
              <w:t> </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investing activities: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011" w:type="dxa"/>
            <w:tcBorders/>
            <w:shd w:fill="auto" w:val="clear"/>
            <w:vAlign w:val="center"/>
          </w:tcPr>
          <w:p>
            <w:pPr>
              <w:pStyle w:val="TableContents"/>
              <w:spacing w:before="0" w:after="0"/>
              <w:ind w:left="0" w:right="0" w:firstLine="200"/>
              <w:jc w:val="right"/>
              <w:rPr/>
            </w:pPr>
            <w:r>
              <w:rPr/>
              <w:t> </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Acquisitions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(723</w:t>
            </w:r>
          </w:p>
        </w:tc>
        <w:tc>
          <w:tcPr>
            <w:tcW w:w="10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 of investments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(43,387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(99,937</w:t>
            </w:r>
          </w:p>
        </w:tc>
        <w:tc>
          <w:tcPr>
            <w:tcW w:w="10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Maturities of investments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56,475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1011" w:type="dxa"/>
            <w:tcBorders/>
            <w:shd w:fill="auto" w:val="clear"/>
            <w:vAlign w:val="center"/>
          </w:tcPr>
          <w:p>
            <w:pPr>
              <w:pStyle w:val="TableContents"/>
              <w:spacing w:before="0" w:after="0"/>
              <w:ind w:left="0" w:right="0" w:firstLine="800"/>
              <w:jc w:val="left"/>
              <w:rPr/>
            </w:pPr>
            <w:r>
              <w:rPr/>
              <w:t> </w:t>
            </w:r>
          </w:p>
        </w:tc>
      </w:tr>
      <w:tr>
        <w:trPr/>
        <w:tc>
          <w:tcPr>
            <w:tcW w:w="6031"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Net cash provided by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73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12,778</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84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(90,660</w:t>
            </w:r>
          </w:p>
        </w:tc>
        <w:tc>
          <w:tcPr>
            <w:tcW w:w="10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011" w:type="dxa"/>
            <w:tcBorders/>
            <w:shd w:fill="auto" w:val="clear"/>
            <w:vAlign w:val="center"/>
          </w:tcPr>
          <w:p>
            <w:pPr>
              <w:pStyle w:val="TableContents"/>
              <w:spacing w:before="0" w:after="0"/>
              <w:ind w:left="0" w:right="0" w:hanging="0"/>
              <w:jc w:val="right"/>
              <w:rPr/>
            </w:pPr>
            <w:r>
              <w:rPr/>
              <w:t> </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financing activities: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011" w:type="dxa"/>
            <w:tcBorders/>
            <w:shd w:fill="auto" w:val="clear"/>
            <w:vAlign w:val="center"/>
          </w:tcPr>
          <w:p>
            <w:pPr>
              <w:pStyle w:val="TableContents"/>
              <w:spacing w:before="0" w:after="0"/>
              <w:ind w:left="0" w:right="0" w:firstLine="200"/>
              <w:jc w:val="right"/>
              <w:rPr/>
            </w:pPr>
            <w:r>
              <w:rPr/>
              <w:t> </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stock option exercises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800"/>
              <w:jc w:val="left"/>
              <w:rPr/>
            </w:pPr>
            <w:r>
              <w:rPr/>
              <w:t> </w:t>
            </w:r>
          </w:p>
        </w:tc>
      </w:tr>
      <w:tr>
        <w:trPr/>
        <w:tc>
          <w:tcPr>
            <w:tcW w:w="6031"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011" w:type="dxa"/>
            <w:tcBorders/>
            <w:shd w:fill="auto" w:val="clear"/>
            <w:vAlign w:val="center"/>
          </w:tcPr>
          <w:p>
            <w:pPr>
              <w:pStyle w:val="TableContents"/>
              <w:spacing w:before="0" w:after="0"/>
              <w:ind w:left="0" w:right="0" w:hanging="0"/>
              <w:jc w:val="right"/>
              <w:rPr/>
            </w:pPr>
            <w:r>
              <w:rPr/>
              <w:t> </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decrease in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(7,850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(113,362</w:t>
            </w:r>
          </w:p>
        </w:tc>
        <w:tc>
          <w:tcPr>
            <w:tcW w:w="10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011" w:type="dxa"/>
            <w:tcBorders/>
            <w:shd w:fill="auto" w:val="clear"/>
            <w:vAlign w:val="center"/>
          </w:tcPr>
          <w:p>
            <w:pPr>
              <w:pStyle w:val="TableContents"/>
              <w:spacing w:before="0" w:after="0"/>
              <w:ind w:left="0" w:right="0" w:hanging="0"/>
              <w:jc w:val="right"/>
              <w:rPr/>
            </w:pPr>
            <w:r>
              <w:rPr/>
              <w:t> </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at beginning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67,308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226,474</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at end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59,458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113,112</w:t>
            </w:r>
          </w:p>
        </w:tc>
        <w:tc>
          <w:tcPr>
            <w:tcW w:w="10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 w:hAnsi="Times New Roman"/>
          <w:sz w:val="20"/>
        </w:rPr>
      </w:pPr>
      <w:r>
        <w:rPr>
          <w:rFonts w:ascii="Times New Roman;serif" w:hAnsi="Times New Roman;serif"/>
          <w:b w:val="false"/>
          <w:sz w:val="20"/>
        </w:rPr>
        <w:t>The following table provides a reconciliation of cash, cash equivalents and restricted cash within the balance sheets to the amounts shown in the statements of cash flows above, in thousands:</w:t>
      </w:r>
      <w:r>
        <w:rPr>
          <w:rFonts w:ascii="Times New Roman" w:hAnsi="Times New Roman"/>
          <w:sz w:val="20"/>
        </w:rPr>
        <w:t xml:space="preserve"> </w:t>
      </w:r>
    </w:p>
    <w:tbl>
      <w:tblPr>
        <w:tblW w:w="6654" w:type="dxa"/>
        <w:jc w:val="left"/>
        <w:tblInd w:w="0" w:type="dxa"/>
        <w:tblCellMar>
          <w:top w:w="28" w:type="dxa"/>
          <w:left w:w="28" w:type="dxa"/>
          <w:bottom w:w="28" w:type="dxa"/>
          <w:right w:w="28" w:type="dxa"/>
        </w:tblCellMar>
      </w:tblPr>
      <w:tblGrid>
        <w:gridCol w:w="3946"/>
        <w:gridCol w:w="146"/>
        <w:gridCol w:w="211"/>
        <w:gridCol w:w="676"/>
        <w:gridCol w:w="146"/>
        <w:gridCol w:w="146"/>
        <w:gridCol w:w="211"/>
        <w:gridCol w:w="781"/>
        <w:gridCol w:w="391"/>
      </w:tblGrid>
      <w:tr>
        <w:trPr/>
        <w:tc>
          <w:tcPr>
            <w:tcW w:w="39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9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1" w:type="dxa"/>
            <w:gridSpan w:val="6"/>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391"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58,990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112,644</w:t>
            </w:r>
          </w:p>
        </w:tc>
        <w:tc>
          <w:tcPr>
            <w:tcW w:w="391" w:type="dxa"/>
            <w:tcBorders/>
            <w:shd w:fill="auto" w:val="clear"/>
            <w:vAlign w:val="center"/>
          </w:tcPr>
          <w:p>
            <w:pPr>
              <w:pStyle w:val="TableContents"/>
              <w:spacing w:before="0" w:after="0"/>
              <w:ind w:left="0" w:right="0" w:hanging="0"/>
              <w:jc w:val="left"/>
              <w:rPr/>
            </w:pPr>
            <w:r>
              <w:rPr/>
              <w:t> </w:t>
            </w:r>
          </w:p>
        </w:tc>
      </w:tr>
      <w:tr>
        <w:trPr/>
        <w:tc>
          <w:tcPr>
            <w:tcW w:w="39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 included in other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9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59,458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113,112</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See accompanying notes to unaudited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ORIC PHARMACEUTICALS, INC.</w:t>
      </w:r>
    </w:p>
    <w:p>
      <w:pPr>
        <w:pStyle w:val="TextBody"/>
        <w:spacing w:before="0" w:after="0"/>
        <w:jc w:val="center"/>
        <w:rPr>
          <w:rFonts w:ascii="Times New Roman" w:hAnsi="Times New Roman"/>
          <w:sz w:val="20"/>
        </w:rPr>
      </w:pPr>
      <w:bookmarkStart w:id="11" w:name="notes_to_unaudited_financial_statements"/>
      <w:bookmarkEnd w:id="11"/>
      <w:r>
        <w:rPr>
          <w:rFonts w:ascii="Times New Roman;serif" w:hAnsi="Times New Roman;serif"/>
          <w:b/>
          <w:sz w:val="20"/>
        </w:rPr>
        <w:t>NOTES TO UNAUDITED FINANCIAL STATEMENTS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sz w:val="20"/>
        </w:rPr>
        <w:t xml:space="preserve">1. </w:t>
      </w:r>
      <w:r>
        <w:rPr>
          <w:rFonts w:ascii="Times New Roman;serif" w:hAnsi="Times New Roman;serif"/>
          <w:b/>
          <w:sz w:val="20"/>
          <w:u w:val="single"/>
        </w:rPr>
        <w:t>Description of the Business</w:t>
      </w:r>
    </w:p>
    <w:p>
      <w:pPr>
        <w:pStyle w:val="TextBody"/>
        <w:spacing w:before="120" w:after="0"/>
        <w:jc w:val="left"/>
        <w:rPr>
          <w:rFonts w:ascii="Times New Roman" w:hAnsi="Times New Roman"/>
          <w:sz w:val="20"/>
        </w:rPr>
      </w:pPr>
      <w:r>
        <w:rPr>
          <w:rFonts w:ascii="Times New Roman;serif" w:hAnsi="Times New Roman;serif"/>
          <w:b w:val="false"/>
          <w:sz w:val="20"/>
        </w:rPr>
        <w:t xml:space="preserve">ORIC Pharmaceuticals, Inc. (ORIC or the Company) is a clinical-stage biopharmaceutical company dedicated to improving patients’ lives by </w:t>
      </w:r>
      <w:r>
        <w:rPr>
          <w:rFonts w:ascii="Times New Roman;serif" w:hAnsi="Times New Roman;serif"/>
          <w:b w:val="false"/>
          <w:i/>
          <w:sz w:val="20"/>
          <w:u w:val="single"/>
        </w:rPr>
        <w:t>O</w:t>
      </w:r>
      <w:r>
        <w:rPr>
          <w:rFonts w:ascii="Times New Roman;serif" w:hAnsi="Times New Roman;serif"/>
          <w:b w:val="false"/>
          <w:i/>
          <w:sz w:val="20"/>
        </w:rPr>
        <w:t xml:space="preserve">vercoming </w:t>
      </w:r>
      <w:r>
        <w:rPr>
          <w:rFonts w:ascii="Times New Roman;serif" w:hAnsi="Times New Roman;serif"/>
          <w:b w:val="false"/>
          <w:i/>
          <w:sz w:val="20"/>
          <w:u w:val="single"/>
        </w:rPr>
        <w:t>R</w:t>
      </w:r>
      <w:r>
        <w:rPr>
          <w:rFonts w:ascii="Times New Roman;serif" w:hAnsi="Times New Roman;serif"/>
          <w:b w:val="false"/>
          <w:i/>
          <w:sz w:val="20"/>
        </w:rPr>
        <w:t xml:space="preserve">esistance </w:t>
      </w:r>
      <w:r>
        <w:rPr>
          <w:rFonts w:ascii="Times New Roman;serif" w:hAnsi="Times New Roman;serif"/>
          <w:b w:val="false"/>
          <w:i/>
          <w:sz w:val="20"/>
          <w:u w:val="single"/>
        </w:rPr>
        <w:t>I</w:t>
      </w:r>
      <w:r>
        <w:rPr>
          <w:rFonts w:ascii="Times New Roman;serif" w:hAnsi="Times New Roman;serif"/>
          <w:b w:val="false"/>
          <w:i/>
          <w:sz w:val="20"/>
        </w:rPr>
        <w:t xml:space="preserve">n </w:t>
      </w:r>
      <w:r>
        <w:rPr>
          <w:rFonts w:ascii="Times New Roman;serif" w:hAnsi="Times New Roman;serif"/>
          <w:b w:val="false"/>
          <w:i/>
          <w:sz w:val="20"/>
          <w:u w:val="single"/>
        </w:rPr>
        <w:t>C</w:t>
      </w:r>
      <w:r>
        <w:rPr>
          <w:rFonts w:ascii="Times New Roman;serif" w:hAnsi="Times New Roman;serif"/>
          <w:b w:val="false"/>
          <w:i/>
          <w:sz w:val="20"/>
        </w:rPr>
        <w:t>ancer</w:t>
      </w:r>
      <w:r>
        <w:rPr>
          <w:rFonts w:ascii="Times New Roman;serif" w:hAnsi="Times New Roman;serif"/>
          <w:b w:val="false"/>
          <w:sz w:val="20"/>
        </w:rPr>
        <w:t>. The Company was incorporated in Delaware in August 2014 and has offices in South San Francisco and San Diego, California. The Company’s principal operations are in the United States and the Company operates in one</w:t>
      </w:r>
      <w:r>
        <w:rPr>
          <w:rFonts w:ascii="Times New Roman" w:hAnsi="Times New Roman"/>
          <w:sz w:val="20"/>
        </w:rPr>
        <w:t xml:space="preserve"> </w:t>
      </w:r>
      <w:r>
        <w:rPr>
          <w:rFonts w:ascii="Times New Roman;serif" w:hAnsi="Times New Roman;serif"/>
          <w:b w:val="false"/>
          <w:sz w:val="20"/>
        </w:rPr>
        <w:t>segment.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Since inception, the Company has devoted its primary efforts to raising capital, internal research and development activities and business development efforts, and has incurred significant operating losses and negative cash flows from operations. In August 2020, the Company licensed from Mirati Therapeutics, Inc. (Mirati) development and commercialization rights to an allosteric inhibitor program directed towards the polycomb repressive complex 2 (PRC2) and in October 2020, the Company licensed from Voronoi Inc. (Voronoi) development and commercialization rights to a brain penetrant, orally bioavailable, irreversible inhibitor designed to selectively target epidermal growth factor receptor (EGFR) and human epidermal growth factor receptor 2 (HER2) with high potency against exon 20 insertion mutations.</w:t>
      </w:r>
    </w:p>
    <w:p>
      <w:pPr>
        <w:pStyle w:val="TextBody"/>
        <w:spacing w:before="120" w:after="0"/>
        <w:jc w:val="left"/>
        <w:rPr>
          <w:rFonts w:ascii="Times New Roman" w:hAnsi="Times New Roman"/>
          <w:sz w:val="20"/>
        </w:rPr>
      </w:pPr>
      <w:r>
        <w:rPr>
          <w:rFonts w:ascii="Times New Roman;serif" w:hAnsi="Times New Roman;serif"/>
          <w:b w:val="false"/>
          <w:sz w:val="20"/>
        </w:rPr>
        <w:t>As of March 31, 2023, the Company had an accumulated deficit of $358.2</w:t>
      </w:r>
      <w:r>
        <w:rPr>
          <w:rFonts w:ascii="Times New Roman" w:hAnsi="Times New Roman"/>
          <w:sz w:val="20"/>
        </w:rPr>
        <w:t xml:space="preserve"> </w:t>
      </w:r>
      <w:r>
        <w:rPr>
          <w:rFonts w:ascii="Times New Roman;serif" w:hAnsi="Times New Roman;serif"/>
          <w:b w:val="false"/>
          <w:sz w:val="20"/>
        </w:rPr>
        <w:t>million. Through March 31, 2023, all of the Company’s financial support has been provided by proceeds from the issuance of common stock and convertible preferred stock.</w:t>
      </w:r>
    </w:p>
    <w:p>
      <w:pPr>
        <w:pStyle w:val="TextBody"/>
        <w:spacing w:before="120" w:after="0"/>
        <w:jc w:val="left"/>
        <w:rPr>
          <w:rFonts w:ascii="Times New Roman" w:hAnsi="Times New Roman"/>
          <w:sz w:val="20"/>
        </w:rPr>
      </w:pPr>
      <w:r>
        <w:rPr>
          <w:rFonts w:ascii="Times New Roman;serif" w:hAnsi="Times New Roman;serif"/>
          <w:b w:val="false"/>
          <w:sz w:val="20"/>
        </w:rPr>
        <w:t>As the Company continues its expansion, it may seek additional financing and/or strategic investments, however, there can be no assurance that any additional financing or strategic investments will be available to the Company on acceptable terms, if at all. If events or circumstances occur such that the Company does not obtain additional funding, it will most likely be required to reduce its plans and/or certain discretionary spending, which could have a material adverse effect on the Company’s ability to achieve its intended business objectives. The accompanying financial statements do not include any adjustments that might be necessary if it were unable to continue as a going concern. Management believes that it has sufficient working capital on hand to fund operations through at least the next twelve months from the date of the issuance of these financial statements.</w:t>
      </w:r>
      <w:r>
        <w:rPr>
          <w:rFonts w:ascii="Times New Roman" w:hAnsi="Times New Roman"/>
          <w:sz w:val="20"/>
        </w:rPr>
        <w:t xml:space="preserve"> </w:t>
      </w:r>
    </w:p>
    <w:p>
      <w:pPr>
        <w:pStyle w:val="TextBody"/>
        <w:spacing w:before="120" w:after="0"/>
        <w:jc w:val="left"/>
        <w:rPr>
          <w:rFonts w:ascii="Times New Roman;serif" w:hAnsi="Times New Roman;serif"/>
          <w:b/>
          <w:i/>
          <w:sz w:val="20"/>
        </w:rPr>
      </w:pPr>
      <w:r>
        <w:rPr>
          <w:rFonts w:ascii="Times New Roman;serif" w:hAnsi="Times New Roman;serif"/>
          <w:b/>
          <w:i/>
          <w:sz w:val="20"/>
        </w:rPr>
        <w:t>Registered Direct Offering</w:t>
      </w:r>
    </w:p>
    <w:p>
      <w:pPr>
        <w:pStyle w:val="TextBody"/>
        <w:spacing w:before="120" w:after="0"/>
        <w:jc w:val="left"/>
        <w:rPr>
          <w:rFonts w:ascii="Times New Roman" w:hAnsi="Times New Roman"/>
          <w:sz w:val="20"/>
        </w:rPr>
      </w:pPr>
      <w:r>
        <w:rPr>
          <w:rFonts w:ascii="Times New Roman;serif" w:hAnsi="Times New Roman;serif"/>
          <w:b w:val="false"/>
          <w:sz w:val="20"/>
        </w:rPr>
        <w:t>On December 21, 2022, the Company entered into a securities purchase agreement with Pfizer, Inc. (Pfizer) pursuant to which the Company sold 5,376,344</w:t>
      </w:r>
      <w:r>
        <w:rPr>
          <w:rFonts w:ascii="Times New Roman" w:hAnsi="Times New Roman"/>
          <w:sz w:val="20"/>
        </w:rPr>
        <w:t xml:space="preserve"> </w:t>
      </w:r>
      <w:r>
        <w:rPr>
          <w:rFonts w:ascii="Times New Roman;serif" w:hAnsi="Times New Roman;serif"/>
          <w:b w:val="false"/>
          <w:sz w:val="20"/>
        </w:rPr>
        <w:t>shares of common stock at a price of $4.65</w:t>
      </w:r>
      <w:r>
        <w:rPr>
          <w:rFonts w:ascii="Times New Roman" w:hAnsi="Times New Roman"/>
          <w:sz w:val="20"/>
        </w:rPr>
        <w:t xml:space="preserve"> </w:t>
      </w:r>
      <w:r>
        <w:rPr>
          <w:rFonts w:ascii="Times New Roman;serif" w:hAnsi="Times New Roman;serif"/>
          <w:b w:val="false"/>
          <w:sz w:val="20"/>
        </w:rPr>
        <w:t>per share to Pfizer for gross proceeds of $25.0</w:t>
      </w:r>
      <w:r>
        <w:rPr>
          <w:rFonts w:ascii="Times New Roman" w:hAnsi="Times New Roman"/>
          <w:sz w:val="20"/>
        </w:rPr>
        <w:t xml:space="preserve"> </w:t>
      </w:r>
      <w:r>
        <w:rPr>
          <w:rFonts w:ascii="Times New Roman;serif" w:hAnsi="Times New Roman;serif"/>
          <w:b w:val="false"/>
          <w:sz w:val="20"/>
        </w:rPr>
        <w:t>million. The Company sold the shares to Pfizer in a registered direct offering conducted without an underwriter or placement agent and pursuant to an effective shelf registration statement. After deducting offering expenses of $0.4</w:t>
      </w:r>
      <w:r>
        <w:rPr>
          <w:rFonts w:ascii="Times New Roman" w:hAnsi="Times New Roman"/>
          <w:sz w:val="20"/>
        </w:rPr>
        <w:t xml:space="preserve"> </w:t>
      </w:r>
      <w:r>
        <w:rPr>
          <w:rFonts w:ascii="Times New Roman;serif" w:hAnsi="Times New Roman;serif"/>
          <w:b w:val="false"/>
          <w:sz w:val="20"/>
        </w:rPr>
        <w:t>million, the net proceeds received from the direct offering were $24.6</w:t>
      </w:r>
      <w:r>
        <w:rPr>
          <w:rFonts w:ascii="Times New Roman" w:hAnsi="Times New Roman"/>
          <w:sz w:val="20"/>
        </w:rPr>
        <w:t xml:space="preserve"> </w:t>
      </w:r>
      <w:r>
        <w:rPr>
          <w:rFonts w:ascii="Times New Roman;serif" w:hAnsi="Times New Roman;serif"/>
          <w:b w:val="false"/>
          <w:sz w:val="20"/>
        </w:rPr>
        <w:t>million. The transaction closed on December 23, 2022. The direct offering with Pfizer was entered into concurrently with a clinical development collaboration.</w:t>
      </w:r>
    </w:p>
    <w:p>
      <w:pPr>
        <w:pStyle w:val="TextBody"/>
        <w:spacing w:before="120" w:after="0"/>
        <w:jc w:val="left"/>
        <w:rPr>
          <w:rFonts w:ascii="Times New Roman;serif" w:hAnsi="Times New Roman;serif"/>
          <w:b/>
          <w:i/>
          <w:sz w:val="20"/>
        </w:rPr>
      </w:pPr>
      <w:r>
        <w:rPr>
          <w:rFonts w:ascii="Times New Roman;serif" w:hAnsi="Times New Roman;serif"/>
          <w:b/>
          <w:i/>
          <w:sz w:val="20"/>
        </w:rPr>
        <w:t>At-The-Market Sales Agreement and Offering</w:t>
      </w:r>
    </w:p>
    <w:p>
      <w:pPr>
        <w:pStyle w:val="TextBody"/>
        <w:spacing w:before="120" w:after="0"/>
        <w:jc w:val="left"/>
        <w:rPr>
          <w:rFonts w:ascii="Times New Roman" w:hAnsi="Times New Roman"/>
          <w:sz w:val="20"/>
        </w:rPr>
      </w:pPr>
      <w:r>
        <w:rPr>
          <w:rFonts w:ascii="Times New Roman;serif" w:hAnsi="Times New Roman;serif"/>
          <w:b w:val="false"/>
          <w:sz w:val="20"/>
        </w:rPr>
        <w:t>On May 6, 2021, the Company entered into an "at the market" (ATM) sales agreement with Jefferies LLC as the Company's sales agent, under which the Company may offer and sell from time to time up to $150</w:t>
      </w:r>
      <w:r>
        <w:rPr>
          <w:rFonts w:ascii="Times New Roman" w:hAnsi="Times New Roman"/>
          <w:sz w:val="20"/>
        </w:rPr>
        <w:t xml:space="preserve"> </w:t>
      </w:r>
      <w:r>
        <w:rPr>
          <w:rFonts w:ascii="Times New Roman;serif" w:hAnsi="Times New Roman;serif"/>
          <w:b w:val="false"/>
          <w:sz w:val="20"/>
        </w:rPr>
        <w:t>million of shares of the Company's common stock in negotiated transactions or transactions that are deemed to be an ATM offering. On July 8, 2021, the Company raised gross proceeds of $50.0</w:t>
      </w:r>
      <w:r>
        <w:rPr>
          <w:rFonts w:ascii="Times New Roman" w:hAnsi="Times New Roman"/>
          <w:sz w:val="20"/>
        </w:rPr>
        <w:t xml:space="preserve"> </w:t>
      </w:r>
      <w:r>
        <w:rPr>
          <w:rFonts w:ascii="Times New Roman;serif" w:hAnsi="Times New Roman;serif"/>
          <w:b w:val="false"/>
          <w:sz w:val="20"/>
        </w:rPr>
        <w:t>million through the sale of 2,597,402</w:t>
      </w:r>
      <w:r>
        <w:rPr>
          <w:rFonts w:ascii="Times New Roman" w:hAnsi="Times New Roman"/>
          <w:sz w:val="20"/>
        </w:rPr>
        <w:t xml:space="preserve"> </w:t>
      </w:r>
      <w:r>
        <w:rPr>
          <w:rFonts w:ascii="Times New Roman;serif" w:hAnsi="Times New Roman;serif"/>
          <w:b w:val="false"/>
          <w:sz w:val="20"/>
        </w:rPr>
        <w:t>shares in an ATM offering, with participation based on unsolicited interest received from a healthcare specialist fund. The Company sold such shares at a purchase price per share of $19.25, a premium to the market price at the time of sale. After deducting commissions and other offering expenses related to the ATM offering of</w:t>
      </w:r>
      <w:r>
        <w:rPr>
          <w:rFonts w:ascii="Times New Roman" w:hAnsi="Times New Roman"/>
          <w:sz w:val="20"/>
        </w:rPr>
        <w:t xml:space="preserve"> </w:t>
      </w:r>
      <w:r>
        <w:rPr>
          <w:rFonts w:ascii="Times New Roman;serif" w:hAnsi="Times New Roman;serif"/>
          <w:b w:val="false"/>
          <w:sz w:val="20"/>
        </w:rPr>
        <w:t>$1.9</w:t>
      </w:r>
      <w:r>
        <w:rPr>
          <w:rFonts w:ascii="Times New Roman" w:hAnsi="Times New Roman"/>
          <w:sz w:val="20"/>
        </w:rPr>
        <w:t xml:space="preserve"> </w:t>
      </w:r>
      <w:r>
        <w:rPr>
          <w:rFonts w:ascii="Times New Roman;serif" w:hAnsi="Times New Roman;serif"/>
          <w:b w:val="false"/>
          <w:sz w:val="20"/>
        </w:rPr>
        <w:t>million, the net proceeds to the Company from the transaction were $48.1</w:t>
      </w:r>
      <w:r>
        <w:rPr>
          <w:rFonts w:ascii="Times New Roman" w:hAnsi="Times New Roman"/>
          <w:sz w:val="20"/>
        </w:rPr>
        <w:t xml:space="preserve"> </w:t>
      </w:r>
      <w:r>
        <w:rPr>
          <w:rFonts w:ascii="Times New Roman;serif" w:hAnsi="Times New Roman;serif"/>
          <w:b w:val="false"/>
          <w:sz w:val="20"/>
        </w:rPr>
        <w:t>million.</w:t>
      </w:r>
    </w:p>
    <w:p>
      <w:pPr>
        <w:pStyle w:val="TextBody"/>
        <w:spacing w:before="120" w:after="0"/>
        <w:jc w:val="left"/>
        <w:rPr>
          <w:rFonts w:ascii="Times New Roman" w:hAnsi="Times New Roman"/>
          <w:sz w:val="20"/>
        </w:rPr>
      </w:pPr>
      <w:r>
        <w:rPr>
          <w:rFonts w:ascii="Times New Roman;serif" w:hAnsi="Times New Roman;serif"/>
          <w:b/>
          <w:sz w:val="20"/>
        </w:rPr>
        <w:t xml:space="preserve">2. </w:t>
      </w:r>
      <w:r>
        <w:rPr>
          <w:rFonts w:ascii="Times New Roman;serif" w:hAnsi="Times New Roman;serif"/>
          <w:b/>
          <w:sz w:val="20"/>
          <w:u w:val="single"/>
        </w:rPr>
        <w:t>Basis of Presentation and Summary of Significant Accounting Policies</w:t>
      </w:r>
    </w:p>
    <w:p>
      <w:pPr>
        <w:pStyle w:val="TextBody"/>
        <w:spacing w:before="120" w:after="0"/>
        <w:jc w:val="left"/>
        <w:rPr>
          <w:rFonts w:ascii="Times New Roman" w:hAnsi="Times New Roman"/>
          <w:sz w:val="20"/>
        </w:rPr>
      </w:pPr>
      <w:r>
        <w:rPr>
          <w:rFonts w:ascii="Times New Roman;serif" w:hAnsi="Times New Roman;serif"/>
          <w:b/>
          <w:i/>
          <w:sz w:val="20"/>
        </w:rPr>
        <w:t>Basis of Presentation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accompanying unaudited financial statements have been prepared in accordance with accounting principles generally accepted in the United States (GAAP) for interim financial information and with the instructions of the Securities and Exchange Commission (SEC) on Form 10-Q and Rule 10-01 of Regulation S-X. Certain information and note disclosures normally included in annual financial statements prepared in accordance with GAAP, have been omitted. The accompanying unaudited financial statements include all known adjustments necessary for a fair presentation of the results as required by GAAP. These adjustments consist primarily of normal recurring accruals and estimates that impact the carrying value of assets and liabilities. Operating results for the interim period are not necessarily indicative of future results.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accompanying unaudited financial statements should be read in conjunction with the audited financial statements and the related notes thereto for the year ended December 31, 2022, which are included in the Company’s Annual Report on Form 10-K filed with the SEC. Furthermore, the Company’s significant accounting policies are disclosed in the audited financial statements for the periods ended December 31, 2022 and 2021, included in the Company’s Annual Report on Form 10-K. Since the date of those financial statements, there have been no changes to its significant accounting policies.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i/>
          <w:sz w:val="20"/>
        </w:rPr>
      </w:pPr>
      <w:r>
        <w:rPr>
          <w:rFonts w:ascii="Times New Roman;serif" w:hAnsi="Times New Roman;serif"/>
          <w:b/>
          <w:i/>
          <w:sz w:val="20"/>
        </w:rPr>
        <w:t>Recently Issued Accounting Pronouncements</w:t>
      </w:r>
    </w:p>
    <w:p>
      <w:pPr>
        <w:pStyle w:val="TextBody"/>
        <w:spacing w:before="120" w:after="0"/>
        <w:jc w:val="left"/>
        <w:rPr>
          <w:rFonts w:ascii="Times New Roman" w:hAnsi="Times New Roman"/>
          <w:sz w:val="20"/>
        </w:rPr>
      </w:pPr>
      <w:r>
        <w:rPr>
          <w:rFonts w:ascii="Times New Roman;serif" w:hAnsi="Times New Roman;serif"/>
          <w:b w:val="false"/>
          <w:sz w:val="20"/>
        </w:rPr>
        <w:t>There are no recently issued accounting pronouncements that would materially impact the Company’s financial statements and related disclosures</w:t>
      </w:r>
      <w:r>
        <w:rPr>
          <w:rFonts w:ascii="Arial;sans-serif" w:hAnsi="Arial;sans-serif"/>
          <w:b w:val="false"/>
          <w:sz w:val="20"/>
        </w:rPr>
        <w:t>.</w:t>
      </w:r>
    </w:p>
    <w:p>
      <w:pPr>
        <w:pStyle w:val="TextBody"/>
        <w:spacing w:before="120" w:after="0"/>
        <w:jc w:val="left"/>
        <w:rPr>
          <w:rFonts w:ascii="Times New Roman" w:hAnsi="Times New Roman"/>
          <w:sz w:val="20"/>
        </w:rPr>
      </w:pPr>
      <w:r>
        <w:rPr>
          <w:rFonts w:ascii="Times New Roman;serif" w:hAnsi="Times New Roman;serif"/>
          <w:b/>
          <w:sz w:val="20"/>
        </w:rPr>
        <w:t xml:space="preserve">3. </w:t>
      </w:r>
      <w:r>
        <w:rPr>
          <w:rFonts w:ascii="Times New Roman;serif" w:hAnsi="Times New Roman;serif"/>
          <w:b/>
          <w:sz w:val="20"/>
          <w:u w:val="single"/>
        </w:rPr>
        <w:t>License Agreements and Clinical Development Collaboration</w:t>
      </w:r>
    </w:p>
    <w:p>
      <w:pPr>
        <w:pStyle w:val="TextBody"/>
        <w:spacing w:before="120" w:after="0"/>
        <w:jc w:val="left"/>
        <w:rPr>
          <w:rFonts w:ascii="Times New Roman;serif" w:hAnsi="Times New Roman;serif"/>
          <w:b/>
          <w:i/>
          <w:sz w:val="20"/>
        </w:rPr>
      </w:pPr>
      <w:r>
        <w:rPr>
          <w:rFonts w:ascii="Times New Roman;serif" w:hAnsi="Times New Roman;serif"/>
          <w:b/>
          <w:i/>
          <w:sz w:val="20"/>
        </w:rPr>
        <w:t>Pfizer collaboration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December 21, 2022, the Company entered into a clinical development collaboration (the Pfizer Collaboration) for a potential Phase 2 study of ORIC-533 in multiple myeloma with Pfizer. Through the Pfizer Collaboration, the Company plans to potentially advance ORIC-533 into a Phase 2 combination study with elranatamab, Pfizer’s investigational B-cell maturation antigen (BCMA) CD3-targeted bispecific antibody in development for the treatment of multiple myeloma. The Company will maintain full economic ownership and control of ORIC-533.</w:t>
      </w:r>
    </w:p>
    <w:p>
      <w:pPr>
        <w:pStyle w:val="TextBody"/>
        <w:spacing w:before="120" w:after="0"/>
        <w:jc w:val="left"/>
        <w:rPr>
          <w:rFonts w:ascii="Times New Roman" w:hAnsi="Times New Roman"/>
          <w:sz w:val="20"/>
        </w:rPr>
      </w:pPr>
      <w:r>
        <w:rPr>
          <w:rFonts w:ascii="Times New Roman;serif" w:hAnsi="Times New Roman;serif"/>
          <w:b w:val="false"/>
          <w:sz w:val="20"/>
        </w:rPr>
        <w:t>Concurrent with the Pfizer Collaboration, the Company sold 5,376,344</w:t>
      </w:r>
      <w:r>
        <w:rPr>
          <w:rFonts w:ascii="Times New Roman" w:hAnsi="Times New Roman"/>
          <w:sz w:val="20"/>
        </w:rPr>
        <w:t xml:space="preserve"> </w:t>
      </w:r>
      <w:r>
        <w:rPr>
          <w:rFonts w:ascii="Times New Roman;serif" w:hAnsi="Times New Roman;serif"/>
          <w:b w:val="false"/>
          <w:sz w:val="20"/>
        </w:rPr>
        <w:t>shares of common stock at a price of $4.65</w:t>
      </w:r>
      <w:r>
        <w:rPr>
          <w:rFonts w:ascii="Times New Roman" w:hAnsi="Times New Roman"/>
          <w:sz w:val="20"/>
        </w:rPr>
        <w:t xml:space="preserve"> </w:t>
      </w:r>
      <w:r>
        <w:rPr>
          <w:rFonts w:ascii="Times New Roman;serif" w:hAnsi="Times New Roman;serif"/>
          <w:b w:val="false"/>
          <w:sz w:val="20"/>
        </w:rPr>
        <w:t>per share to Pfizer for proceeds of $25.0</w:t>
      </w:r>
      <w:r>
        <w:rPr>
          <w:rFonts w:ascii="Times New Roman" w:hAnsi="Times New Roman"/>
          <w:sz w:val="20"/>
        </w:rPr>
        <w:t xml:space="preserve"> </w:t>
      </w:r>
      <w:r>
        <w:rPr>
          <w:rFonts w:ascii="Times New Roman;serif" w:hAnsi="Times New Roman;serif"/>
          <w:b w:val="false"/>
          <w:sz w:val="20"/>
        </w:rPr>
        <w:t>million. The common shares were sold to Pfizer in a registered direct offering conducted without an underwriter or placement agent. The transaction closed on December 23, 2022.</w:t>
      </w:r>
    </w:p>
    <w:p>
      <w:pPr>
        <w:pStyle w:val="TextBody"/>
        <w:spacing w:before="120" w:after="0"/>
        <w:jc w:val="left"/>
        <w:rPr>
          <w:rFonts w:ascii="Times New Roman;serif" w:hAnsi="Times New Roman;serif"/>
          <w:b/>
          <w:i/>
          <w:sz w:val="20"/>
        </w:rPr>
      </w:pPr>
      <w:r>
        <w:rPr>
          <w:rFonts w:ascii="Times New Roman;serif" w:hAnsi="Times New Roman;serif"/>
          <w:b/>
          <w:i/>
          <w:sz w:val="20"/>
        </w:rPr>
        <w:t>Voronoi License Agreement</w:t>
      </w:r>
    </w:p>
    <w:p>
      <w:pPr>
        <w:pStyle w:val="TextBody"/>
        <w:spacing w:before="120" w:after="0"/>
        <w:jc w:val="left"/>
        <w:rPr>
          <w:rFonts w:ascii="Times New Roman" w:hAnsi="Times New Roman"/>
          <w:sz w:val="20"/>
        </w:rPr>
      </w:pPr>
      <w:r>
        <w:rPr>
          <w:rFonts w:ascii="Times New Roman;serif" w:hAnsi="Times New Roman;serif"/>
          <w:b w:val="false"/>
          <w:sz w:val="20"/>
        </w:rPr>
        <w:t>On October 19, 2020, the Company entered into a license and collaboration agreement (Voronoi License Agreement) with Voronoi. The Voronoi License Agreement gives the Company access to Voronoi’s preclinical stage EGFR and HER2 exon 20 insertion mutation program, including a lead product candidate now designated as ORIC-114. Under the Voronoi License Agreement, Voronoi granted the Company an exclusive, sublicensable license under Voronoi’s rights to certain patent applications directed to certain small molecule compounds that bind to EGFR and HER2 with one or more exon 20 insertion mutations and certain related know-how, in each case, to develop and commercialize certain licensed compounds and licensed products incorporating any such compound in the ORIC Territory, defined as worldwide other than in the People’s Republic of China, Hong Kong, Macau and Taiwan. Under the Voronoi License Agreement, Voronoi had the right to perform certain mutually agreed upon development activities. Except for Voronoi's right to participate in such development activities, the Company is wholly responsible for development and commercialization of licensed products in the ORIC Territory. In addition, the Company is obligated to use commercially reasonable efforts to develop and commercialize at least one</w:t>
      </w:r>
      <w:r>
        <w:rPr>
          <w:rFonts w:ascii="Times New Roman" w:hAnsi="Times New Roman"/>
          <w:sz w:val="20"/>
        </w:rPr>
        <w:t xml:space="preserve"> </w:t>
      </w:r>
      <w:r>
        <w:rPr>
          <w:rFonts w:ascii="Times New Roman;serif" w:hAnsi="Times New Roman;serif"/>
          <w:b w:val="false"/>
          <w:sz w:val="20"/>
        </w:rPr>
        <w:t>licensed product in certain major markets in the ORIC Territory.</w:t>
      </w:r>
    </w:p>
    <w:p>
      <w:pPr>
        <w:pStyle w:val="TextBody"/>
        <w:spacing w:before="120" w:after="0"/>
        <w:jc w:val="left"/>
        <w:rPr>
          <w:rFonts w:ascii="Times New Roman" w:hAnsi="Times New Roman"/>
          <w:sz w:val="20"/>
        </w:rPr>
      </w:pPr>
      <w:r>
        <w:rPr>
          <w:rFonts w:ascii="Times New Roman;serif" w:hAnsi="Times New Roman;serif"/>
          <w:b w:val="false"/>
          <w:sz w:val="20"/>
        </w:rPr>
        <w:t>The Company’s financial obligations under the Voronoi License Agreement included an upfront payment of $5.0</w:t>
      </w:r>
      <w:r>
        <w:rPr>
          <w:rFonts w:ascii="Times New Roman" w:hAnsi="Times New Roman"/>
          <w:sz w:val="20"/>
        </w:rPr>
        <w:t xml:space="preserve"> </w:t>
      </w:r>
      <w:r>
        <w:rPr>
          <w:rFonts w:ascii="Times New Roman;serif" w:hAnsi="Times New Roman;serif"/>
          <w:b w:val="false"/>
          <w:sz w:val="20"/>
        </w:rPr>
        <w:t>million in cash and the issuance to Voronoi of 283,259</w:t>
      </w:r>
      <w:r>
        <w:rPr>
          <w:rFonts w:ascii="Times New Roman" w:hAnsi="Times New Roman"/>
          <w:sz w:val="20"/>
        </w:rPr>
        <w:t xml:space="preserve"> </w:t>
      </w:r>
      <w:r>
        <w:rPr>
          <w:rFonts w:ascii="Times New Roman;serif" w:hAnsi="Times New Roman;serif"/>
          <w:b w:val="false"/>
          <w:sz w:val="20"/>
        </w:rPr>
        <w:t>shares of the Company’s common stock, valued at approximately $6.8</w:t>
      </w:r>
      <w:r>
        <w:rPr>
          <w:rFonts w:ascii="Times New Roman" w:hAnsi="Times New Roman"/>
          <w:sz w:val="20"/>
        </w:rPr>
        <w:t xml:space="preserve"> </w:t>
      </w:r>
      <w:r>
        <w:rPr>
          <w:rFonts w:ascii="Times New Roman;serif" w:hAnsi="Times New Roman;serif"/>
          <w:b w:val="false"/>
          <w:sz w:val="20"/>
        </w:rPr>
        <w:t>million, issued pursuant to a stock issuance agreement entered into between the parties on October 19, 2020. The number of shares issued pursuant to the stock issuance agreement was based on a price of $28.24</w:t>
      </w:r>
      <w:r>
        <w:rPr>
          <w:rFonts w:ascii="Times New Roman" w:hAnsi="Times New Roman"/>
          <w:sz w:val="20"/>
        </w:rPr>
        <w:t xml:space="preserve"> </w:t>
      </w:r>
      <w:r>
        <w:rPr>
          <w:rFonts w:ascii="Times New Roman;serif" w:hAnsi="Times New Roman;serif"/>
          <w:b w:val="false"/>
          <w:sz w:val="20"/>
        </w:rPr>
        <w:t>per share, representing a premium of 25% to the 30-day trailing volume weighted average trading price of the Company’s common stock. The shares were issued in a private placement in reliance on Section 4(a)(2) of the Securities Act of 1933, as amended (Securities Act), for transactions by an issuer not involving any public offering.</w:t>
      </w:r>
    </w:p>
    <w:p>
      <w:pPr>
        <w:pStyle w:val="TextBody"/>
        <w:spacing w:before="120" w:after="0"/>
        <w:jc w:val="left"/>
        <w:rPr>
          <w:rFonts w:ascii="Times New Roman" w:hAnsi="Times New Roman"/>
          <w:sz w:val="20"/>
        </w:rPr>
      </w:pPr>
      <w:r>
        <w:rPr>
          <w:rFonts w:ascii="Times New Roman;serif" w:hAnsi="Times New Roman;serif"/>
          <w:b w:val="false"/>
          <w:sz w:val="20"/>
        </w:rPr>
        <w:t>Under the Voronoi License Agreement, Voronoi was responsible for certain research and development costs up to a predetermined threshold. Upon achievement of the predetermined threshold in the second quarter of 2022, Voronoi chose to opt out of participation in and funding of future development activities. The Company is also obligated to make milestone payments to Voronoi upon the achievement of certain events. Upon the achievement of certain development and regulatory milestones with respect to the first licensed product, the Company is obligated to pay Voronoi up to a maximum of $111.0</w:t>
      </w:r>
      <w:r>
        <w:rPr>
          <w:rFonts w:ascii="Times New Roman" w:hAnsi="Times New Roman"/>
          <w:sz w:val="20"/>
        </w:rPr>
        <w:t xml:space="preserve"> </w:t>
      </w:r>
      <w:r>
        <w:rPr>
          <w:rFonts w:ascii="Times New Roman;serif" w:hAnsi="Times New Roman;serif"/>
          <w:b w:val="false"/>
          <w:sz w:val="20"/>
        </w:rPr>
        <w:t>million. Upon the achievement of certain commercial milestones with respect to the first licensed product, the Company is obligated to pay Voronoi up to a maximum of $225.0</w:t>
      </w:r>
      <w:r>
        <w:rPr>
          <w:rFonts w:ascii="Times New Roman" w:hAnsi="Times New Roman"/>
          <w:sz w:val="20"/>
        </w:rPr>
        <w:t xml:space="preserve"> </w:t>
      </w:r>
      <w:r>
        <w:rPr>
          <w:rFonts w:ascii="Times New Roman;serif" w:hAnsi="Times New Roman;serif"/>
          <w:b w:val="false"/>
          <w:sz w:val="20"/>
        </w:rPr>
        <w:t>million. If the Company pursues a second licensed product, the Company could pay Voronoi up to an additional $272.0</w:t>
      </w:r>
      <w:r>
        <w:rPr>
          <w:rFonts w:ascii="Times New Roman" w:hAnsi="Times New Roman"/>
          <w:sz w:val="20"/>
        </w:rPr>
        <w:t xml:space="preserve"> </w:t>
      </w:r>
      <w:r>
        <w:rPr>
          <w:rFonts w:ascii="Times New Roman;serif" w:hAnsi="Times New Roman;serif"/>
          <w:b w:val="false"/>
          <w:sz w:val="20"/>
        </w:rPr>
        <w:t>million in success-based milestones. In addition, the Company is obligated to pay royalties on net sales of licensed products in the ORIC Territory. In the third quarter of 2022, the Company made a development milestone payment to Voronoi in the amount of $5.0</w:t>
      </w:r>
      <w:r>
        <w:rPr>
          <w:rFonts w:ascii="Times New Roman" w:hAnsi="Times New Roman"/>
          <w:sz w:val="20"/>
        </w:rPr>
        <w:t xml:space="preserve"> </w:t>
      </w:r>
      <w:r>
        <w:rPr>
          <w:rFonts w:ascii="Times New Roman;serif" w:hAnsi="Times New Roman;serif"/>
          <w:b w:val="false"/>
          <w:sz w:val="20"/>
        </w:rPr>
        <w:t>million, which was recorded in acquired in-process research and development expense.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Unless earlier terminated, the Voronoi License Agreement will continue in effect until the expiration of all royalty payment obligations. Following the expiration of the Voronoi License Agreement, the Company will retain its licenses under the intellectual property Voronoi licensed to it on a royalty-free basis. The Company and Voronoi may each terminate the Voronoi License Agreement if the other party materially breaches the terms of such agreement, subject to specified notice and cure provisions, or enters into bankruptcy or insolvency proceedings. Voronoi may also terminate the agreement if the Company discontinues development of licensed products for a specified period of time. The Company also has the right to terminate the Voronoi License Agreement without cause by providing prior notice to Voronoi.</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Voronoi terminates the Voronoi License Agreement for cause, or if the Company terminates the Voronoi License Agreement without cause, then the Company is obligated to grant a nonexclusive license to Voronoi under certain of the Company’s patents and know-how and to assign to Voronoi certain of its regulatory filings for licensed compounds and licensed products.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i/>
          <w:sz w:val="20"/>
        </w:rPr>
      </w:pPr>
      <w:r>
        <w:rPr>
          <w:rFonts w:ascii="Times New Roman;serif" w:hAnsi="Times New Roman;serif"/>
          <w:b/>
          <w:i/>
          <w:sz w:val="20"/>
        </w:rPr>
        <w:t>Mirati License Agreement</w:t>
      </w:r>
    </w:p>
    <w:p>
      <w:pPr>
        <w:pStyle w:val="TextBody"/>
        <w:spacing w:before="120" w:after="0"/>
        <w:jc w:val="left"/>
        <w:rPr>
          <w:rFonts w:ascii="Times New Roman" w:hAnsi="Times New Roman"/>
          <w:sz w:val="20"/>
        </w:rPr>
      </w:pPr>
      <w:r>
        <w:rPr>
          <w:rFonts w:ascii="Times New Roman;serif" w:hAnsi="Times New Roman;serif"/>
          <w:b w:val="false"/>
          <w:sz w:val="20"/>
        </w:rPr>
        <w:t>On August 3, 2020, the Company entered into a license agreement (Mirati License Agreement) with Mirati. Under the Mirati License Agreement, Mirati granted the Company a worldwide, exclusive, sublicensable, royalty-free license under Mirati’s rights to certain patents and patent applications directed to certain small molecule compounds that bind to and inhibit PRC2 and certain related know-how, in each case, to develop and commercialize certain licensed compounds and licensed products incorporating any such compounds. Under the Mirati License Agreement, the Company is wholly responsible for development and commercialization of licensed products. In addition, the Company is obligated to use commercially reasonable efforts to develop and commercialize at least one</w:t>
      </w:r>
      <w:r>
        <w:rPr>
          <w:rFonts w:ascii="Times New Roman" w:hAnsi="Times New Roman"/>
          <w:sz w:val="20"/>
        </w:rPr>
        <w:t xml:space="preserve"> </w:t>
      </w:r>
      <w:r>
        <w:rPr>
          <w:rFonts w:ascii="Times New Roman;serif" w:hAnsi="Times New Roman;serif"/>
          <w:b w:val="false"/>
          <w:sz w:val="20"/>
        </w:rPr>
        <w:t>licensed product in certain major markets.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Company’s financial obligation under the Mirati License Agreement was an upfront payment of 588,235</w:t>
      </w:r>
      <w:r>
        <w:rPr>
          <w:rFonts w:ascii="Times New Roman" w:hAnsi="Times New Roman"/>
          <w:sz w:val="20"/>
        </w:rPr>
        <w:t xml:space="preserve"> </w:t>
      </w:r>
      <w:r>
        <w:rPr>
          <w:rFonts w:ascii="Times New Roman;serif" w:hAnsi="Times New Roman;serif"/>
          <w:b w:val="false"/>
          <w:sz w:val="20"/>
        </w:rPr>
        <w:t>shares of ORIC common stock, valued at approximately $13.0</w:t>
      </w:r>
      <w:r>
        <w:rPr>
          <w:rFonts w:ascii="Times New Roman" w:hAnsi="Times New Roman"/>
          <w:sz w:val="20"/>
        </w:rPr>
        <w:t xml:space="preserve"> </w:t>
      </w:r>
      <w:r>
        <w:rPr>
          <w:rFonts w:ascii="Times New Roman;serif" w:hAnsi="Times New Roman;serif"/>
          <w:b w:val="false"/>
          <w:sz w:val="20"/>
        </w:rPr>
        <w:t>million based upon the closing price of the Company’s common stock on the acquisition date. The number of shares issued was based on a price of $34.00</w:t>
      </w:r>
      <w:r>
        <w:rPr>
          <w:rFonts w:ascii="Times New Roman" w:hAnsi="Times New Roman"/>
          <w:sz w:val="20"/>
        </w:rPr>
        <w:t xml:space="preserve"> </w:t>
      </w:r>
      <w:r>
        <w:rPr>
          <w:rFonts w:ascii="Times New Roman;serif" w:hAnsi="Times New Roman;serif"/>
          <w:b w:val="false"/>
          <w:sz w:val="20"/>
        </w:rPr>
        <w:t>per share, representing a premium of 10% to the 60-day trailing volume-weighted average trading price of the Company’s common stock. The shares were issued in a private placement in reliance on Section 4(a)(2) of the Securities Act for transactions by an issuer not involving any public offering. During the eighteen-month</w:t>
      </w:r>
      <w:r>
        <w:rPr>
          <w:rFonts w:ascii="Times New Roman" w:hAnsi="Times New Roman"/>
          <w:sz w:val="20"/>
        </w:rPr>
        <w:t xml:space="preserve"> </w:t>
      </w:r>
      <w:r>
        <w:rPr>
          <w:rFonts w:ascii="Times New Roman;serif" w:hAnsi="Times New Roman;serif"/>
          <w:b w:val="false"/>
          <w:sz w:val="20"/>
        </w:rPr>
        <w:t>period following the date of the agreement, Mirati was subject to certain transfer restrictions, and the parties agreed to negotiate and enter into a registration rights agreement, with respect to the shares. The Company is not obligated to pay Mirati milestones or royalties.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Unless earlier terminated, the Mirati License Agreement will continue in effect on a country-by-country and licensed product-by-licensed product basis until the later of (a) the expiration of the last valid claim of a licensed patent covering such licensed product in such country or (b) ten years</w:t>
      </w:r>
      <w:r>
        <w:rPr>
          <w:rFonts w:ascii="Times New Roman" w:hAnsi="Times New Roman"/>
          <w:sz w:val="20"/>
        </w:rPr>
        <w:t xml:space="preserve"> </w:t>
      </w:r>
      <w:r>
        <w:rPr>
          <w:rFonts w:ascii="Times New Roman;serif" w:hAnsi="Times New Roman;serif"/>
          <w:b w:val="false"/>
          <w:sz w:val="20"/>
        </w:rPr>
        <w:t>after the first commercial sale of such licensed product in such country. Following the expiration of the Mirati License Agreement, the Company will retain its licenses under the intellectual property Mirati licensed to it on a royalty-free basis. ORIC and Mirati may each terminate the Mirati License Agreement if the other party materially breaches the terms of such agreement, subject to specified notice and cure provisions, or enters into bankruptcy or insolvency proceedings. Mirati may terminate the agreement if the Company challenges any of the patent rights licensed to the Company by Mirati or it discontinues development of licensed products for a specified period of time. The Company also has the right to terminate the Mirati License Agreement without cause by providing prior notice to Mirati.</w:t>
      </w:r>
    </w:p>
    <w:p>
      <w:pPr>
        <w:pStyle w:val="TextBody"/>
        <w:spacing w:before="120" w:after="0"/>
        <w:jc w:val="left"/>
        <w:rPr>
          <w:rFonts w:ascii="Times New Roman" w:hAnsi="Times New Roman"/>
          <w:sz w:val="20"/>
        </w:rPr>
      </w:pPr>
      <w:r>
        <w:rPr>
          <w:rFonts w:ascii="Times New Roman;serif" w:hAnsi="Times New Roman;serif"/>
          <w:b/>
          <w:sz w:val="20"/>
        </w:rPr>
        <w:t xml:space="preserve">4. </w:t>
      </w:r>
      <w:r>
        <w:rPr>
          <w:rFonts w:ascii="Times New Roman;serif" w:hAnsi="Times New Roman;serif"/>
          <w:b/>
          <w:sz w:val="20"/>
          <w:u w:val="single"/>
        </w:rPr>
        <w:t>Property and Equipment, net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Property and equipment, net consisted of the following (in thousands):</w:t>
      </w:r>
      <w:r>
        <w:rPr>
          <w:rFonts w:ascii="Times New Roman" w:hAnsi="Times New Roman"/>
          <w:sz w:val="20"/>
        </w:rPr>
        <w:t xml:space="preserve"> </w:t>
      </w:r>
    </w:p>
    <w:p>
      <w:pPr>
        <w:pStyle w:val="TextBody"/>
        <w:spacing w:before="0" w:after="0"/>
        <w:jc w:val="left"/>
        <w:rPr/>
      </w:pPr>
      <w:r>
        <w:rPr/>
        <w:t> </w:t>
      </w:r>
    </w:p>
    <w:tbl>
      <w:tblPr>
        <w:tblW w:w="6690" w:type="dxa"/>
        <w:jc w:val="left"/>
        <w:tblInd w:w="0" w:type="dxa"/>
        <w:tblCellMar>
          <w:top w:w="28" w:type="dxa"/>
          <w:left w:w="28" w:type="dxa"/>
          <w:bottom w:w="28" w:type="dxa"/>
          <w:right w:w="28" w:type="dxa"/>
        </w:tblCellMar>
      </w:tblPr>
      <w:tblGrid>
        <w:gridCol w:w="3061"/>
        <w:gridCol w:w="146"/>
        <w:gridCol w:w="315"/>
        <w:gridCol w:w="945"/>
        <w:gridCol w:w="166"/>
        <w:gridCol w:w="146"/>
        <w:gridCol w:w="376"/>
        <w:gridCol w:w="1124"/>
        <w:gridCol w:w="411"/>
      </w:tblGrid>
      <w:tr>
        <w:trPr/>
        <w:tc>
          <w:tcPr>
            <w:tcW w:w="30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Lab equipment</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6,414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6,249</w:t>
            </w:r>
          </w:p>
        </w:tc>
        <w:tc>
          <w:tcPr>
            <w:tcW w:w="411" w:type="dxa"/>
            <w:tcBorders/>
            <w:shd w:fill="auto" w:val="clear"/>
            <w:vAlign w:val="center"/>
          </w:tcPr>
          <w:p>
            <w:pPr>
              <w:pStyle w:val="TableContents"/>
              <w:spacing w:before="0" w:after="0"/>
              <w:ind w:left="0" w:right="0" w:hanging="0"/>
              <w:jc w:val="left"/>
              <w:rPr/>
            </w:pPr>
            <w:r>
              <w:rPr/>
              <w:t> </w:t>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9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11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1,978</w:t>
            </w:r>
          </w:p>
        </w:tc>
        <w:tc>
          <w:tcPr>
            <w:tcW w:w="411" w:type="dxa"/>
            <w:tcBorders/>
            <w:shd w:fill="auto" w:val="clear"/>
            <w:vAlign w:val="center"/>
          </w:tcPr>
          <w:p>
            <w:pPr>
              <w:pStyle w:val="TableContents"/>
              <w:spacing w:before="0" w:after="0"/>
              <w:ind w:left="0" w:right="0" w:hanging="0"/>
              <w:jc w:val="left"/>
              <w:rPr/>
            </w:pPr>
            <w:r>
              <w:rPr/>
              <w:t> </w:t>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hardware and software</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9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11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w:t>
            </w:r>
          </w:p>
        </w:tc>
        <w:tc>
          <w:tcPr>
            <w:tcW w:w="411" w:type="dxa"/>
            <w:tcBorders/>
            <w:shd w:fill="auto" w:val="clear"/>
            <w:vAlign w:val="center"/>
          </w:tcPr>
          <w:p>
            <w:pPr>
              <w:pStyle w:val="TableContents"/>
              <w:spacing w:before="0" w:after="0"/>
              <w:ind w:left="0" w:right="0" w:hanging="0"/>
              <w:jc w:val="left"/>
              <w:rPr/>
            </w:pPr>
            <w:r>
              <w:rPr/>
              <w:t> </w:t>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fixtures</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508</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0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property and equipment, gross</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9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11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9,046</w:t>
            </w:r>
          </w:p>
        </w:tc>
        <w:tc>
          <w:tcPr>
            <w:tcW w:w="411" w:type="dxa"/>
            <w:tcBorders/>
            <w:shd w:fill="auto" w:val="clear"/>
            <w:vAlign w:val="center"/>
          </w:tcPr>
          <w:p>
            <w:pPr>
              <w:pStyle w:val="TableContents"/>
              <w:spacing w:before="0" w:after="0"/>
              <w:ind w:left="0" w:right="0" w:hanging="0"/>
              <w:jc w:val="left"/>
              <w:rPr/>
            </w:pPr>
            <w:r>
              <w:rPr/>
              <w:t> </w:t>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(6,046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(5,793</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0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3,253</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sz w:val="20"/>
        </w:rPr>
        <w:t xml:space="preserve">5. </w:t>
      </w:r>
      <w:r>
        <w:rPr>
          <w:rFonts w:ascii="Times New Roman;serif" w:hAnsi="Times New Roman;serif"/>
          <w:b/>
          <w:sz w:val="20"/>
          <w:u w:val="single"/>
        </w:rPr>
        <w:t>Accrued Liabilities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Accrued liabilities consisted of the following (in thousands):</w:t>
      </w:r>
      <w:r>
        <w:rPr>
          <w:rFonts w:ascii="Times New Roman" w:hAnsi="Times New Roman"/>
          <w:sz w:val="20"/>
        </w:rPr>
        <w:t xml:space="preserve"> </w:t>
      </w:r>
    </w:p>
    <w:p>
      <w:pPr>
        <w:pStyle w:val="TextBody"/>
        <w:spacing w:before="0" w:after="0"/>
        <w:jc w:val="left"/>
        <w:rPr/>
      </w:pPr>
      <w:r>
        <w:rPr/>
        <w:t> </w:t>
      </w:r>
    </w:p>
    <w:tbl>
      <w:tblPr>
        <w:tblW w:w="7070" w:type="dxa"/>
        <w:jc w:val="left"/>
        <w:tblInd w:w="0" w:type="dxa"/>
        <w:tblCellMar>
          <w:top w:w="28" w:type="dxa"/>
          <w:left w:w="28" w:type="dxa"/>
          <w:bottom w:w="28" w:type="dxa"/>
          <w:right w:w="28" w:type="dxa"/>
        </w:tblCellMar>
      </w:tblPr>
      <w:tblGrid>
        <w:gridCol w:w="3481"/>
        <w:gridCol w:w="146"/>
        <w:gridCol w:w="299"/>
        <w:gridCol w:w="961"/>
        <w:gridCol w:w="146"/>
        <w:gridCol w:w="146"/>
        <w:gridCol w:w="357"/>
        <w:gridCol w:w="1143"/>
        <w:gridCol w:w="391"/>
      </w:tblGrid>
      <w:tr>
        <w:trPr/>
        <w:tc>
          <w:tcPr>
            <w:tcW w:w="34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4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2" w:type="dxa"/>
            <w:gridSpan w:val="6"/>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34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clinical and manufacturing costs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5,396</w:t>
            </w:r>
          </w:p>
        </w:tc>
        <w:tc>
          <w:tcPr>
            <w:tcW w:w="391" w:type="dxa"/>
            <w:tcBorders/>
            <w:shd w:fill="auto" w:val="clear"/>
            <w:vAlign w:val="center"/>
          </w:tcPr>
          <w:p>
            <w:pPr>
              <w:pStyle w:val="TableContents"/>
              <w:spacing w:before="0" w:after="0"/>
              <w:ind w:left="0" w:right="0" w:hanging="0"/>
              <w:jc w:val="left"/>
              <w:rPr/>
            </w:pPr>
            <w:r>
              <w:rPr/>
              <w:t> </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compensation</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5,318</w:t>
            </w:r>
          </w:p>
        </w:tc>
        <w:tc>
          <w:tcPr>
            <w:tcW w:w="391" w:type="dxa"/>
            <w:tcBorders/>
            <w:shd w:fill="auto" w:val="clear"/>
            <w:vAlign w:val="center"/>
          </w:tcPr>
          <w:p>
            <w:pPr>
              <w:pStyle w:val="TableContents"/>
              <w:spacing w:before="0" w:after="0"/>
              <w:ind w:left="0" w:right="0" w:hanging="0"/>
              <w:jc w:val="left"/>
              <w:rPr/>
            </w:pPr>
            <w:r>
              <w:rPr/>
              <w:t> </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 - short-term</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2,659</w:t>
            </w:r>
          </w:p>
        </w:tc>
        <w:tc>
          <w:tcPr>
            <w:tcW w:w="391" w:type="dxa"/>
            <w:tcBorders/>
            <w:shd w:fill="auto" w:val="clear"/>
            <w:vAlign w:val="center"/>
          </w:tcPr>
          <w:p>
            <w:pPr>
              <w:pStyle w:val="TableContents"/>
              <w:spacing w:before="0" w:after="0"/>
              <w:ind w:left="0" w:right="0" w:hanging="0"/>
              <w:jc w:val="left"/>
              <w:rPr/>
            </w:pPr>
            <w:r>
              <w:rPr/>
              <w:t> </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accruals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695</w:t>
            </w:r>
          </w:p>
        </w:tc>
        <w:tc>
          <w:tcPr>
            <w:tcW w:w="391" w:type="dxa"/>
            <w:tcBorders/>
            <w:shd w:fill="auto" w:val="clear"/>
            <w:vAlign w:val="center"/>
          </w:tcPr>
          <w:p>
            <w:pPr>
              <w:pStyle w:val="TableContents"/>
              <w:spacing w:before="0" w:after="0"/>
              <w:ind w:left="0" w:right="0" w:firstLine="200"/>
              <w:jc w:val="left"/>
              <w:rPr/>
            </w:pPr>
            <w:r>
              <w:rPr/>
              <w:t> </w:t>
            </w:r>
          </w:p>
        </w:tc>
      </w:tr>
      <w:tr>
        <w:trPr/>
        <w:tc>
          <w:tcPr>
            <w:tcW w:w="34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accrued liabilities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12,937</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14,068</w:t>
            </w:r>
          </w:p>
        </w:tc>
        <w:tc>
          <w:tcPr>
            <w:tcW w:w="3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sz w:val="20"/>
        </w:rPr>
        <w:t xml:space="preserve">6. </w:t>
      </w:r>
      <w:r>
        <w:rPr>
          <w:rFonts w:ascii="Times New Roman;serif" w:hAnsi="Times New Roman;serif"/>
          <w:b/>
          <w:sz w:val="20"/>
          <w:u w:val="single"/>
        </w:rPr>
        <w:t>Investments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Company's available-for-sale investments consisted of the following (in thousands):</w:t>
      </w:r>
    </w:p>
    <w:p>
      <w:pPr>
        <w:pStyle w:val="TextBody"/>
        <w:spacing w:before="0" w:after="0"/>
        <w:jc w:val="left"/>
        <w:rPr/>
      </w:pPr>
      <w:r>
        <w:rPr/>
        <w:t> </w:t>
      </w:r>
    </w:p>
    <w:tbl>
      <w:tblPr>
        <w:tblW w:w="7685" w:type="dxa"/>
        <w:jc w:val="left"/>
        <w:tblInd w:w="0" w:type="dxa"/>
        <w:tblCellMar>
          <w:top w:w="28" w:type="dxa"/>
          <w:left w:w="28" w:type="dxa"/>
          <w:bottom w:w="28" w:type="dxa"/>
          <w:right w:w="28" w:type="dxa"/>
        </w:tblCellMar>
      </w:tblPr>
      <w:tblGrid>
        <w:gridCol w:w="1996"/>
        <w:gridCol w:w="146"/>
        <w:gridCol w:w="211"/>
        <w:gridCol w:w="781"/>
        <w:gridCol w:w="246"/>
        <w:gridCol w:w="146"/>
        <w:gridCol w:w="335"/>
        <w:gridCol w:w="551"/>
        <w:gridCol w:w="246"/>
        <w:gridCol w:w="146"/>
        <w:gridCol w:w="222"/>
        <w:gridCol w:w="664"/>
        <w:gridCol w:w="266"/>
        <w:gridCol w:w="146"/>
        <w:gridCol w:w="211"/>
        <w:gridCol w:w="781"/>
        <w:gridCol w:w="591"/>
      </w:tblGrid>
      <w:tr>
        <w:trPr/>
        <w:tc>
          <w:tcPr>
            <w:tcW w:w="19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1996" w:type="dxa"/>
            <w:tcBorders/>
            <w:shd w:fill="auto" w:val="clear"/>
            <w:vAlign w:val="center"/>
          </w:tcPr>
          <w:p>
            <w:pPr>
              <w:pStyle w:val="TableContents"/>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March 31, 2023</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Amortized</w:t>
              <w:br/>
              <w:t>Cost</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Unrealized</w:t>
              <w:br/>
              <w:t>Gains</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Unrealized</w:t>
              <w:br/>
              <w:t>Losses</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Estimated</w:t>
              <w:br/>
              <w:t>Fair Value</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96" w:type="dxa"/>
            <w:tcBorders/>
            <w:shd w:fill="auto" w:val="clear"/>
            <w:vAlign w:val="center"/>
          </w:tcPr>
          <w:p>
            <w:pPr>
              <w:pStyle w:val="TableContents"/>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Short-term</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26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19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124,250</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3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(519</w:t>
            </w:r>
          </w:p>
        </w:tc>
        <w:tc>
          <w:tcPr>
            <w:tcW w:w="26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123,731</w:t>
            </w:r>
          </w:p>
        </w:tc>
        <w:tc>
          <w:tcPr>
            <w:tcW w:w="591" w:type="dxa"/>
            <w:tcBorders/>
            <w:shd w:fill="auto" w:val="clear"/>
            <w:vAlign w:val="center"/>
          </w:tcPr>
          <w:p>
            <w:pPr>
              <w:pStyle w:val="TableContents"/>
              <w:spacing w:before="0" w:after="0"/>
              <w:ind w:left="0" w:right="0" w:firstLine="200"/>
              <w:jc w:val="left"/>
              <w:rPr/>
            </w:pPr>
            <w:r>
              <w:rPr/>
              <w:t> </w:t>
            </w:r>
          </w:p>
        </w:tc>
      </w:tr>
      <w:tr>
        <w:trPr/>
        <w:tc>
          <w:tcPr>
            <w:tcW w:w="19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agency bonds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5,000</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551"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26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4,976</w:t>
            </w:r>
          </w:p>
        </w:tc>
        <w:tc>
          <w:tcPr>
            <w:tcW w:w="591" w:type="dxa"/>
            <w:tcBorders/>
            <w:shd w:fill="auto" w:val="clear"/>
            <w:vAlign w:val="center"/>
          </w:tcPr>
          <w:p>
            <w:pPr>
              <w:pStyle w:val="TableContents"/>
              <w:spacing w:before="0" w:after="0"/>
              <w:ind w:left="0" w:right="0" w:firstLine="200"/>
              <w:jc w:val="left"/>
              <w:rPr/>
            </w:pPr>
            <w:r>
              <w:rPr/>
              <w:t> </w:t>
            </w:r>
          </w:p>
        </w:tc>
      </w:tr>
      <w:tr>
        <w:trPr/>
        <w:tc>
          <w:tcPr>
            <w:tcW w:w="19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Certificates of deposit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1,960</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199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131,210</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3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(571</w:t>
            </w:r>
          </w:p>
        </w:tc>
        <w:tc>
          <w:tcPr>
            <w:tcW w:w="2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130,639</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1996" w:type="dxa"/>
            <w:tcBorders/>
            <w:shd w:fill="auto" w:val="clear"/>
            <w:vAlign w:val="center"/>
          </w:tcPr>
          <w:p>
            <w:pPr>
              <w:pStyle w:val="TableContents"/>
              <w:spacing w:before="0" w:after="283"/>
              <w:ind w:left="0" w:right="0" w:firstLine="40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26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1996" w:type="dxa"/>
            <w:tcBorders/>
            <w:shd w:fill="auto" w:val="clear"/>
            <w:vAlign w:val="center"/>
          </w:tcPr>
          <w:p>
            <w:pPr>
              <w:pStyle w:val="TableContents"/>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Long-term</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26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19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19,237</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3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4" w:type="dxa"/>
            <w:tcBorders/>
            <w:shd w:fill="auto" w:val="clear"/>
            <w:vAlign w:val="center"/>
          </w:tcPr>
          <w:p>
            <w:pPr>
              <w:pStyle w:val="TableContents"/>
              <w:spacing w:before="0" w:after="0"/>
              <w:ind w:left="0" w:right="0" w:hanging="0"/>
              <w:jc w:val="right"/>
              <w:rPr/>
            </w:pPr>
            <w:r>
              <w:rPr/>
              <w:t>—</w:t>
            </w:r>
          </w:p>
        </w:tc>
        <w:tc>
          <w:tcPr>
            <w:tcW w:w="26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19,309</w:t>
            </w:r>
          </w:p>
        </w:tc>
        <w:tc>
          <w:tcPr>
            <w:tcW w:w="591" w:type="dxa"/>
            <w:tcBorders/>
            <w:shd w:fill="auto" w:val="clear"/>
            <w:vAlign w:val="center"/>
          </w:tcPr>
          <w:p>
            <w:pPr>
              <w:pStyle w:val="TableContents"/>
              <w:spacing w:before="0" w:after="0"/>
              <w:ind w:left="0" w:right="0" w:firstLine="400"/>
              <w:jc w:val="left"/>
              <w:rPr/>
            </w:pPr>
            <w:r>
              <w:rPr/>
              <w:t> </w:t>
            </w:r>
          </w:p>
        </w:tc>
      </w:tr>
      <w:tr>
        <w:trPr/>
        <w:tc>
          <w:tcPr>
            <w:tcW w:w="199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Long-term investments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19,237</w:t>
            </w:r>
          </w:p>
        </w:tc>
        <w:tc>
          <w:tcPr>
            <w:tcW w:w="2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335"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2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22"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4"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pPr>
            <w:r>
              <w:rPr/>
              <w:t>—</w:t>
            </w:r>
          </w:p>
        </w:tc>
        <w:tc>
          <w:tcPr>
            <w:tcW w:w="2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19,309</w:t>
            </w:r>
          </w:p>
        </w:tc>
        <w:tc>
          <w:tcPr>
            <w:tcW w:w="5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firstLine="400"/>
              <w:jc w:val="left"/>
              <w:rPr/>
            </w:pPr>
            <w:r>
              <w:rPr/>
              <w:t> </w:t>
            </w:r>
          </w:p>
        </w:tc>
      </w:tr>
      <w:tr>
        <w:trPr/>
        <w:tc>
          <w:tcPr>
            <w:tcW w:w="1996" w:type="dxa"/>
            <w:tcBorders/>
            <w:shd w:fill="auto" w:val="clear"/>
            <w:vAlign w:val="center"/>
          </w:tcPr>
          <w:p>
            <w:pPr>
              <w:pStyle w:val="TableContents"/>
              <w:spacing w:before="0" w:after="0"/>
              <w:ind w:left="4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26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1996" w:type="dxa"/>
            <w:tcBorders/>
            <w:shd w:fill="auto" w:val="clear"/>
            <w:vAlign w:val="center"/>
          </w:tcPr>
          <w:p>
            <w:pPr>
              <w:pStyle w:val="TableContents"/>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December 31, 2022</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26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1996" w:type="dxa"/>
            <w:tcBorders/>
            <w:shd w:fill="auto" w:val="clear"/>
            <w:vAlign w:val="center"/>
          </w:tcPr>
          <w:p>
            <w:pPr>
              <w:pStyle w:val="TableContents"/>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Short-term</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26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19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135,878</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3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(1,094</w:t>
            </w:r>
          </w:p>
        </w:tc>
        <w:tc>
          <w:tcPr>
            <w:tcW w:w="26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134,784</w:t>
            </w:r>
          </w:p>
        </w:tc>
        <w:tc>
          <w:tcPr>
            <w:tcW w:w="591" w:type="dxa"/>
            <w:tcBorders/>
            <w:shd w:fill="auto" w:val="clear"/>
            <w:vAlign w:val="center"/>
          </w:tcPr>
          <w:p>
            <w:pPr>
              <w:pStyle w:val="TableContents"/>
              <w:spacing w:before="0" w:after="0"/>
              <w:ind w:left="0" w:right="0" w:firstLine="200"/>
              <w:jc w:val="left"/>
              <w:rPr/>
            </w:pPr>
            <w:r>
              <w:rPr/>
              <w:t> </w:t>
            </w:r>
          </w:p>
        </w:tc>
      </w:tr>
      <w:tr>
        <w:trPr/>
        <w:tc>
          <w:tcPr>
            <w:tcW w:w="19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agency bonds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2,500</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551"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26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2,489</w:t>
            </w:r>
          </w:p>
        </w:tc>
        <w:tc>
          <w:tcPr>
            <w:tcW w:w="591" w:type="dxa"/>
            <w:tcBorders/>
            <w:shd w:fill="auto" w:val="clear"/>
            <w:vAlign w:val="center"/>
          </w:tcPr>
          <w:p>
            <w:pPr>
              <w:pStyle w:val="TableContents"/>
              <w:spacing w:before="0" w:after="0"/>
              <w:ind w:left="0" w:right="0" w:firstLine="200"/>
              <w:jc w:val="left"/>
              <w:rPr/>
            </w:pPr>
            <w:r>
              <w:rPr/>
              <w:t> </w:t>
            </w:r>
          </w:p>
        </w:tc>
      </w:tr>
      <w:tr>
        <w:trPr/>
        <w:tc>
          <w:tcPr>
            <w:tcW w:w="19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Certificates of deposit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2,191</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2,159</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199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140,569</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3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(1,137</w:t>
            </w:r>
          </w:p>
        </w:tc>
        <w:tc>
          <w:tcPr>
            <w:tcW w:w="2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139,432</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99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26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1996" w:type="dxa"/>
            <w:tcBorders/>
            <w:shd w:fill="auto" w:val="clear"/>
            <w:vAlign w:val="center"/>
          </w:tcPr>
          <w:p>
            <w:pPr>
              <w:pStyle w:val="TableContents"/>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Long-term</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26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19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19,360</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3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26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19,234</w:t>
            </w:r>
          </w:p>
        </w:tc>
        <w:tc>
          <w:tcPr>
            <w:tcW w:w="591" w:type="dxa"/>
            <w:tcBorders/>
            <w:shd w:fill="auto" w:val="clear"/>
            <w:vAlign w:val="center"/>
          </w:tcPr>
          <w:p>
            <w:pPr>
              <w:pStyle w:val="TableContents"/>
              <w:spacing w:before="0" w:after="0"/>
              <w:ind w:left="0" w:right="0" w:firstLine="200"/>
              <w:jc w:val="left"/>
              <w:rPr/>
            </w:pPr>
            <w:r>
              <w:rPr/>
              <w:t> </w:t>
            </w:r>
          </w:p>
        </w:tc>
      </w:tr>
      <w:tr>
        <w:trPr/>
        <w:tc>
          <w:tcPr>
            <w:tcW w:w="19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agency bonds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2,500</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551"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26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2,476</w:t>
            </w:r>
          </w:p>
        </w:tc>
        <w:tc>
          <w:tcPr>
            <w:tcW w:w="591" w:type="dxa"/>
            <w:tcBorders/>
            <w:shd w:fill="auto" w:val="clear"/>
            <w:vAlign w:val="center"/>
          </w:tcPr>
          <w:p>
            <w:pPr>
              <w:pStyle w:val="TableContents"/>
              <w:spacing w:before="0" w:after="0"/>
              <w:ind w:left="0" w:right="0" w:firstLine="200"/>
              <w:jc w:val="left"/>
              <w:rPr/>
            </w:pPr>
            <w:r>
              <w:rPr/>
              <w:t> </w:t>
            </w:r>
          </w:p>
        </w:tc>
      </w:tr>
      <w:tr>
        <w:trPr/>
        <w:tc>
          <w:tcPr>
            <w:tcW w:w="19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Certificates of deposit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245</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199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Long-term investments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22,105</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3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w:t>
            </w:r>
          </w:p>
        </w:tc>
        <w:tc>
          <w:tcPr>
            <w:tcW w:w="2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21,951</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rFonts w:ascii="Times New Roman;serif" w:hAnsi="Times New Roman;serif"/>
          <w:b w:val="false"/>
          <w:sz w:val="20"/>
        </w:rPr>
      </w:pPr>
      <w:r>
        <w:rPr>
          <w:rFonts w:ascii="Times New Roman;serif" w:hAnsi="Times New Roman;serif"/>
          <w:b w:val="false"/>
          <w:sz w:val="20"/>
        </w:rPr>
        <w:t>The Company has determined that there were no material declines in fair value of its investments due to credit-related factors as of March 31, 2023 and December 31, 2022. Credit loss is limited due to the nature of the investments.</w:t>
      </w:r>
    </w:p>
    <w:p>
      <w:pPr>
        <w:pStyle w:val="TextBody"/>
        <w:spacing w:before="120" w:after="0"/>
        <w:jc w:val="left"/>
        <w:rPr>
          <w:rFonts w:ascii="Times New Roman" w:hAnsi="Times New Roman"/>
          <w:sz w:val="20"/>
        </w:rPr>
      </w:pPr>
      <w:r>
        <w:rPr>
          <w:rFonts w:ascii="Times New Roman;serif" w:hAnsi="Times New Roman;serif"/>
          <w:b/>
          <w:sz w:val="20"/>
        </w:rPr>
        <w:t xml:space="preserve">7. </w:t>
      </w:r>
      <w:r>
        <w:rPr>
          <w:rFonts w:ascii="Times New Roman;serif" w:hAnsi="Times New Roman;serif"/>
          <w:b/>
          <w:sz w:val="20"/>
          <w:u w:val="single"/>
        </w:rPr>
        <w:t>Fair Value Measurements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fair-value hierarchy, which prioritizes the inputs used in measuring fair value as follows: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Level 1: Observable inputs such as quoted prices in active markets;</w:t>
      </w:r>
      <w:r>
        <w:rPr>
          <w:rFonts w:ascii="Times New Roman" w:hAnsi="Times New Roman"/>
          <w:sz w:val="20"/>
        </w:rPr>
        <w:t xml:space="preserve"> </w:t>
      </w:r>
    </w:p>
    <w:p>
      <w:pPr>
        <w:pStyle w:val="TextBody"/>
        <w:spacing w:before="60" w:after="0"/>
        <w:jc w:val="left"/>
        <w:rPr>
          <w:rFonts w:ascii="Times New Roman" w:hAnsi="Times New Roman"/>
          <w:sz w:val="20"/>
        </w:rPr>
      </w:pPr>
      <w:r>
        <w:rPr>
          <w:rFonts w:ascii="Times New Roman;serif" w:hAnsi="Times New Roman;serif"/>
          <w:b w:val="false"/>
          <w:sz w:val="20"/>
        </w:rPr>
        <w:t>Level 2: Inputs, other than the quoted prices in active markets, that are observable either directly or indirectly; and</w:t>
      </w:r>
      <w:r>
        <w:rPr>
          <w:rFonts w:ascii="Times New Roman" w:hAnsi="Times New Roman"/>
          <w:sz w:val="20"/>
        </w:rPr>
        <w:t xml:space="preserve"> </w:t>
      </w:r>
    </w:p>
    <w:p>
      <w:pPr>
        <w:pStyle w:val="TextBody"/>
        <w:spacing w:before="60" w:after="0"/>
        <w:jc w:val="left"/>
        <w:rPr>
          <w:rFonts w:ascii="Times New Roman" w:hAnsi="Times New Roman"/>
          <w:sz w:val="20"/>
        </w:rPr>
      </w:pPr>
      <w:r>
        <w:rPr>
          <w:rFonts w:ascii="Times New Roman;serif" w:hAnsi="Times New Roman;serif"/>
          <w:b w:val="false"/>
          <w:sz w:val="20"/>
        </w:rPr>
        <w:t>Level 3: Unobservable inputs in which there is little or no</w:t>
      </w:r>
      <w:r>
        <w:rPr>
          <w:rFonts w:ascii="Times New Roman" w:hAnsi="Times New Roman"/>
          <w:sz w:val="20"/>
        </w:rPr>
        <w:t xml:space="preserve"> </w:t>
      </w:r>
      <w:r>
        <w:rPr>
          <w:rFonts w:ascii="Times New Roman;serif" w:hAnsi="Times New Roman;serif"/>
          <w:b w:val="false"/>
          <w:sz w:val="20"/>
        </w:rPr>
        <w:t>market data, which require the reporting entity to develop its own assumptions.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carrying amounts of the Company’s interest receivable, included in prepaid expenses and other current assets, accounts payable and accrued liabilities are generally considered to be representative of their fair value because of their short-term nature. The Company’s investments, which may include money market funds and available-for-sale investments consisting of U.S. treasury securities, certificates of deposit and high-quality, marketable debt instruments of corporations and government sponsored enterprises, are measured at fair value in accordance with the fair value hierarchy.</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Following are the major categories of assets measured at fair value on a recurring basis (in thousands):</w:t>
      </w:r>
    </w:p>
    <w:p>
      <w:pPr>
        <w:pStyle w:val="TextBody"/>
        <w:spacing w:before="0" w:after="0"/>
        <w:jc w:val="left"/>
        <w:rPr/>
      </w:pPr>
      <w:r>
        <w:rPr/>
        <w:t> </w:t>
      </w:r>
    </w:p>
    <w:tbl>
      <w:tblPr>
        <w:tblW w:w="8704" w:type="dxa"/>
        <w:jc w:val="left"/>
        <w:tblInd w:w="0" w:type="dxa"/>
        <w:tblCellMar>
          <w:top w:w="28" w:type="dxa"/>
          <w:left w:w="28" w:type="dxa"/>
          <w:bottom w:w="28" w:type="dxa"/>
          <w:right w:w="28" w:type="dxa"/>
        </w:tblCellMar>
      </w:tblPr>
      <w:tblGrid>
        <w:gridCol w:w="2011"/>
        <w:gridCol w:w="146"/>
        <w:gridCol w:w="211"/>
        <w:gridCol w:w="781"/>
        <w:gridCol w:w="246"/>
        <w:gridCol w:w="146"/>
        <w:gridCol w:w="211"/>
        <w:gridCol w:w="781"/>
        <w:gridCol w:w="246"/>
        <w:gridCol w:w="146"/>
        <w:gridCol w:w="211"/>
        <w:gridCol w:w="571"/>
        <w:gridCol w:w="246"/>
        <w:gridCol w:w="146"/>
        <w:gridCol w:w="239"/>
        <w:gridCol w:w="391"/>
        <w:gridCol w:w="246"/>
        <w:gridCol w:w="146"/>
        <w:gridCol w:w="211"/>
        <w:gridCol w:w="781"/>
        <w:gridCol w:w="591"/>
      </w:tblGrid>
      <w:tr>
        <w:trPr/>
        <w:tc>
          <w:tcPr>
            <w:tcW w:w="20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20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572"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 Measurements</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hanging="0"/>
              <w:jc w:val="center"/>
              <w:rPr/>
            </w:pPr>
            <w:r>
              <w:rPr/>
              <w:t> </w:t>
            </w:r>
          </w:p>
        </w:tc>
      </w:tr>
      <w:tr>
        <w:trPr/>
        <w:tc>
          <w:tcPr>
            <w:tcW w:w="20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11" w:type="dxa"/>
            <w:tcBorders/>
            <w:shd w:fill="auto" w:val="clear"/>
            <w:vAlign w:val="center"/>
          </w:tcPr>
          <w:p>
            <w:pPr>
              <w:pStyle w:val="TableContents"/>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March 31, 2023</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2011"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Money market funds</w:t>
            </w:r>
            <w:r>
              <w:rPr>
                <w:rFonts w:ascii="Times New Roman" w:hAnsi="Times New Roman"/>
                <w:strike/>
                <w:sz w:val="20"/>
              </w:rPr>
              <w:t xml:space="preserve">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58,990</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58,990</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58,990</w:t>
            </w:r>
          </w:p>
        </w:tc>
        <w:tc>
          <w:tcPr>
            <w:tcW w:w="591" w:type="dxa"/>
            <w:tcBorders/>
            <w:shd w:fill="auto" w:val="clear"/>
            <w:vAlign w:val="center"/>
          </w:tcPr>
          <w:p>
            <w:pPr>
              <w:pStyle w:val="TableContents"/>
              <w:spacing w:before="0" w:after="0"/>
              <w:ind w:left="0" w:right="0" w:firstLine="200"/>
              <w:jc w:val="left"/>
              <w:rPr/>
            </w:pPr>
            <w:r>
              <w:rPr/>
              <w:t> </w:t>
            </w:r>
          </w:p>
        </w:tc>
      </w:tr>
      <w:tr>
        <w:trPr/>
        <w:tc>
          <w:tcPr>
            <w:tcW w:w="20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143,040</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143,040</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143,040</w:t>
            </w:r>
          </w:p>
        </w:tc>
        <w:tc>
          <w:tcPr>
            <w:tcW w:w="591" w:type="dxa"/>
            <w:tcBorders/>
            <w:shd w:fill="auto" w:val="clear"/>
            <w:vAlign w:val="center"/>
          </w:tcPr>
          <w:p>
            <w:pPr>
              <w:pStyle w:val="TableContents"/>
              <w:spacing w:before="0" w:after="0"/>
              <w:ind w:left="0" w:right="0" w:firstLine="200"/>
              <w:jc w:val="left"/>
              <w:rPr/>
            </w:pPr>
            <w:r>
              <w:rPr/>
              <w:t> </w:t>
            </w:r>
          </w:p>
        </w:tc>
      </w:tr>
      <w:tr>
        <w:trPr/>
        <w:tc>
          <w:tcPr>
            <w:tcW w:w="20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agency bonds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4,976</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4,976</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4,976</w:t>
            </w:r>
          </w:p>
        </w:tc>
        <w:tc>
          <w:tcPr>
            <w:tcW w:w="591" w:type="dxa"/>
            <w:tcBorders/>
            <w:shd w:fill="auto" w:val="clear"/>
            <w:vAlign w:val="center"/>
          </w:tcPr>
          <w:p>
            <w:pPr>
              <w:pStyle w:val="TableContents"/>
              <w:spacing w:before="0" w:after="0"/>
              <w:ind w:left="0" w:right="0" w:firstLine="200"/>
              <w:jc w:val="left"/>
              <w:rPr/>
            </w:pPr>
            <w:r>
              <w:rPr/>
              <w:t> </w:t>
            </w:r>
          </w:p>
        </w:tc>
      </w:tr>
      <w:tr>
        <w:trPr/>
        <w:tc>
          <w:tcPr>
            <w:tcW w:w="20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Certificates of deposit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1,932</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1,932</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201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208,938</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203,962</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4,976</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208,938</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011" w:type="dxa"/>
            <w:tcBorders/>
            <w:shd w:fill="auto" w:val="clear"/>
            <w:vAlign w:val="center"/>
          </w:tcPr>
          <w:p>
            <w:pPr>
              <w:pStyle w:val="TableContents"/>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December 31, 2022</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2011"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Money market funds</w:t>
            </w:r>
            <w:r>
              <w:rPr>
                <w:rFonts w:ascii="Times New Roman" w:hAnsi="Times New Roman"/>
                <w:strike/>
                <w:sz w:val="20"/>
              </w:rPr>
              <w:t xml:space="preserve">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66,840</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66,840</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66,840</w:t>
            </w:r>
          </w:p>
        </w:tc>
        <w:tc>
          <w:tcPr>
            <w:tcW w:w="591" w:type="dxa"/>
            <w:tcBorders/>
            <w:shd w:fill="auto" w:val="clear"/>
            <w:vAlign w:val="center"/>
          </w:tcPr>
          <w:p>
            <w:pPr>
              <w:pStyle w:val="TableContents"/>
              <w:spacing w:before="0" w:after="0"/>
              <w:ind w:left="0" w:right="0" w:firstLine="200"/>
              <w:jc w:val="left"/>
              <w:rPr/>
            </w:pPr>
            <w:r>
              <w:rPr/>
              <w:t> </w:t>
            </w:r>
          </w:p>
        </w:tc>
      </w:tr>
      <w:tr>
        <w:trPr/>
        <w:tc>
          <w:tcPr>
            <w:tcW w:w="20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154,018</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154,018</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154,018</w:t>
            </w:r>
          </w:p>
        </w:tc>
        <w:tc>
          <w:tcPr>
            <w:tcW w:w="591" w:type="dxa"/>
            <w:tcBorders/>
            <w:shd w:fill="auto" w:val="clear"/>
            <w:vAlign w:val="center"/>
          </w:tcPr>
          <w:p>
            <w:pPr>
              <w:pStyle w:val="TableContents"/>
              <w:spacing w:before="0" w:after="0"/>
              <w:ind w:left="0" w:right="0" w:firstLine="200"/>
              <w:jc w:val="left"/>
              <w:rPr/>
            </w:pPr>
            <w:r>
              <w:rPr/>
              <w:t> </w:t>
            </w:r>
          </w:p>
        </w:tc>
      </w:tr>
      <w:tr>
        <w:trPr/>
        <w:tc>
          <w:tcPr>
            <w:tcW w:w="20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agency bonds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4,965</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4,965</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4,965</w:t>
            </w:r>
          </w:p>
        </w:tc>
        <w:tc>
          <w:tcPr>
            <w:tcW w:w="591" w:type="dxa"/>
            <w:tcBorders/>
            <w:shd w:fill="auto" w:val="clear"/>
            <w:vAlign w:val="center"/>
          </w:tcPr>
          <w:p>
            <w:pPr>
              <w:pStyle w:val="TableContents"/>
              <w:spacing w:before="0" w:after="0"/>
              <w:ind w:left="0" w:right="0" w:firstLine="200"/>
              <w:jc w:val="left"/>
              <w:rPr/>
            </w:pPr>
            <w:r>
              <w:rPr/>
              <w:t> </w:t>
            </w:r>
          </w:p>
        </w:tc>
      </w:tr>
      <w:tr>
        <w:trPr/>
        <w:tc>
          <w:tcPr>
            <w:tcW w:w="20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Certificates of deposit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2,400</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2,400</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2,400</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201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228,223</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223,258</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4,965</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228,223</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60" w:after="0"/>
        <w:jc w:val="left"/>
        <w:rPr>
          <w:rFonts w:ascii="Times New Roman;serif" w:hAnsi="Times New Roman;serif"/>
          <w:b w:val="false"/>
          <w:sz w:val="18"/>
        </w:rPr>
      </w:pPr>
      <w:r>
        <w:rPr>
          <w:rFonts w:ascii="Times New Roman;serif" w:hAnsi="Times New Roman;serif"/>
          <w:b w:val="false"/>
          <w:sz w:val="18"/>
        </w:rPr>
        <w:t>(1) Included in cash and cash equivalents in accompanying balance sheets.</w:t>
      </w:r>
    </w:p>
    <w:p>
      <w:pPr>
        <w:pStyle w:val="TextBody"/>
        <w:spacing w:before="120" w:after="0"/>
        <w:jc w:val="left"/>
        <w:rPr>
          <w:rFonts w:ascii="Times New Roman" w:hAnsi="Times New Roman"/>
          <w:sz w:val="20"/>
        </w:rPr>
      </w:pPr>
      <w:r>
        <w:rPr>
          <w:rFonts w:ascii="Times New Roman;serif" w:hAnsi="Times New Roman;serif"/>
          <w:b w:val="false"/>
          <w:sz w:val="20"/>
        </w:rPr>
        <w:t>No</w:t>
      </w:r>
      <w:r>
        <w:rPr>
          <w:rFonts w:ascii="Times New Roman" w:hAnsi="Times New Roman"/>
          <w:sz w:val="20"/>
        </w:rPr>
        <w:t xml:space="preserve"> </w:t>
      </w:r>
      <w:r>
        <w:rPr>
          <w:rFonts w:ascii="Times New Roman;serif" w:hAnsi="Times New Roman;serif"/>
          <w:b w:val="false"/>
          <w:sz w:val="20"/>
        </w:rPr>
        <w:t>transfers between levels occurred during either of the reporting periods presented.</w:t>
      </w:r>
    </w:p>
    <w:p>
      <w:pPr>
        <w:pStyle w:val="TextBody"/>
        <w:spacing w:before="120" w:after="0"/>
        <w:jc w:val="left"/>
        <w:rPr>
          <w:rFonts w:ascii="Times New Roman" w:hAnsi="Times New Roman"/>
          <w:sz w:val="20"/>
        </w:rPr>
      </w:pPr>
      <w:r>
        <w:rPr>
          <w:rFonts w:ascii="Times New Roman;serif" w:hAnsi="Times New Roman;serif"/>
          <w:b/>
          <w:sz w:val="20"/>
        </w:rPr>
        <w:t xml:space="preserve">8. </w:t>
      </w:r>
      <w:r>
        <w:rPr>
          <w:rFonts w:ascii="Times New Roman;serif" w:hAnsi="Times New Roman;serif"/>
          <w:b/>
          <w:sz w:val="20"/>
          <w:u w:val="single"/>
        </w:rPr>
        <w:t>Equity Incentive Plans and Stock-Based Compensation</w:t>
      </w:r>
    </w:p>
    <w:p>
      <w:pPr>
        <w:pStyle w:val="TextBody"/>
        <w:spacing w:before="120" w:after="0"/>
        <w:jc w:val="left"/>
        <w:rPr>
          <w:rFonts w:ascii="Times New Roman" w:hAnsi="Times New Roman"/>
          <w:sz w:val="20"/>
        </w:rPr>
      </w:pPr>
      <w:r>
        <w:rPr>
          <w:rFonts w:ascii="Times New Roman;serif" w:hAnsi="Times New Roman;serif"/>
          <w:b w:val="false"/>
          <w:sz w:val="20"/>
        </w:rPr>
        <w:t>As of March 31, 2023, there were 2,418,516</w:t>
      </w:r>
      <w:r>
        <w:rPr>
          <w:rFonts w:ascii="Times New Roman" w:hAnsi="Times New Roman"/>
          <w:sz w:val="20"/>
        </w:rPr>
        <w:t xml:space="preserve"> </w:t>
      </w:r>
      <w:r>
        <w:rPr>
          <w:rFonts w:ascii="Times New Roman;serif" w:hAnsi="Times New Roman;serif"/>
          <w:b w:val="false"/>
          <w:sz w:val="20"/>
        </w:rPr>
        <w:t>shares available for future issuance under the 2020 Equity Incentive Plan and 330,861</w:t>
      </w:r>
      <w:r>
        <w:rPr>
          <w:rFonts w:ascii="Times New Roman" w:hAnsi="Times New Roman"/>
          <w:sz w:val="20"/>
        </w:rPr>
        <w:t xml:space="preserve"> </w:t>
      </w:r>
      <w:r>
        <w:rPr>
          <w:rFonts w:ascii="Times New Roman;serif" w:hAnsi="Times New Roman;serif"/>
          <w:b w:val="false"/>
          <w:sz w:val="20"/>
        </w:rPr>
        <w:t>shares available for future issuance under the 2022 Inducement Equity Incentive Plan. The 2020 Equity Incentive Plan provides for the grants of stock options and other equity-based awards to employees, non-employee directors and consultants of the Company. The 2022 Inducement Equity Incentive Plan provides for the grants of equity-based awards to individuals not previously employees or non-employee directors of the Company.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table below summarizes the total stock-based compensation expense included in the Company’s statements of operations and comprehensive loss for the periods presented (in thousands):</w:t>
      </w:r>
    </w:p>
    <w:p>
      <w:pPr>
        <w:pStyle w:val="TextBody"/>
        <w:spacing w:before="0" w:after="0"/>
        <w:jc w:val="left"/>
        <w:rPr/>
      </w:pPr>
      <w:r>
        <w:rPr/>
        <w:t> </w:t>
      </w:r>
    </w:p>
    <w:tbl>
      <w:tblPr>
        <w:tblW w:w="5898" w:type="dxa"/>
        <w:jc w:val="left"/>
        <w:tblInd w:w="0" w:type="dxa"/>
        <w:tblCellMar>
          <w:top w:w="28" w:type="dxa"/>
          <w:left w:w="28" w:type="dxa"/>
          <w:bottom w:w="28" w:type="dxa"/>
          <w:right w:w="28" w:type="dxa"/>
        </w:tblCellMar>
      </w:tblPr>
      <w:tblGrid>
        <w:gridCol w:w="3451"/>
        <w:gridCol w:w="211"/>
        <w:gridCol w:w="571"/>
        <w:gridCol w:w="346"/>
        <w:gridCol w:w="146"/>
        <w:gridCol w:w="211"/>
        <w:gridCol w:w="571"/>
        <w:gridCol w:w="391"/>
      </w:tblGrid>
      <w:tr>
        <w:trPr/>
        <w:tc>
          <w:tcPr>
            <w:tcW w:w="34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451" w:type="dxa"/>
            <w:tcBorders/>
            <w:shd w:fill="auto" w:val="clear"/>
            <w:vAlign w:val="center"/>
          </w:tcPr>
          <w:p>
            <w:pPr>
              <w:pStyle w:val="TableContents"/>
              <w:spacing w:before="0" w:after="0"/>
              <w:ind w:left="0" w:right="0" w:hanging="0"/>
              <w:jc w:val="center"/>
              <w:rPr/>
            </w:pPr>
            <w:r>
              <w:rPr/>
              <w:t> </w:t>
            </w:r>
          </w:p>
        </w:tc>
        <w:tc>
          <w:tcPr>
            <w:tcW w:w="2056" w:type="dxa"/>
            <w:gridSpan w:val="6"/>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391"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1,475</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1,568</w:t>
            </w:r>
          </w:p>
        </w:tc>
        <w:tc>
          <w:tcPr>
            <w:tcW w:w="391" w:type="dxa"/>
            <w:tcBorders/>
            <w:shd w:fill="auto" w:val="cle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2,139</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2,377</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4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stock-based compensation expense</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3,614</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3,945</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rFonts w:ascii="Times New Roman;serif" w:hAnsi="Times New Roman;serif"/>
          <w:b/>
          <w:i/>
          <w:sz w:val="20"/>
        </w:rPr>
      </w:pPr>
      <w:r>
        <w:rPr>
          <w:rFonts w:ascii="Times New Roman;serif" w:hAnsi="Times New Roman;serif"/>
          <w:b/>
          <w:i/>
          <w:sz w:val="20"/>
        </w:rPr>
        <w:t>Stock Options</w:t>
      </w:r>
    </w:p>
    <w:p>
      <w:pPr>
        <w:pStyle w:val="TextBody"/>
        <w:spacing w:before="60" w:after="0"/>
        <w:jc w:val="left"/>
        <w:rPr>
          <w:rFonts w:ascii="Times New Roman" w:hAnsi="Times New Roman"/>
          <w:sz w:val="20"/>
        </w:rPr>
      </w:pPr>
      <w:r>
        <w:rPr>
          <w:rFonts w:ascii="Times New Roman;serif" w:hAnsi="Times New Roman;serif"/>
          <w:b w:val="false"/>
          <w:sz w:val="20"/>
        </w:rPr>
        <w:t>On June 21, 2022, the Company filed with the SEC a Tender Offer Statement on Schedule TO defining the terms and conditions of a one-time voluntary stock option exchange of certain eligible options for its employees (the Option Exchange). On July 20, 2022, the completion date of the Option Exchange, stock options covering an aggregate of 4,406,732</w:t>
      </w:r>
      <w:r>
        <w:rPr>
          <w:rFonts w:ascii="Times New Roman" w:hAnsi="Times New Roman"/>
          <w:sz w:val="20"/>
        </w:rPr>
        <w:t xml:space="preserve"> </w:t>
      </w:r>
      <w:r>
        <w:rPr>
          <w:rFonts w:ascii="Times New Roman;serif" w:hAnsi="Times New Roman;serif"/>
          <w:b w:val="false"/>
          <w:sz w:val="20"/>
        </w:rPr>
        <w:t>shares of common stock were tendered by eligible employees, and the Company granted new options at an exercise price of $4.36, the Company’s closing stock price on July 20, 2022, covering an aggregate of 4,406,732</w:t>
      </w:r>
      <w:r>
        <w:rPr>
          <w:rFonts w:ascii="Times New Roman" w:hAnsi="Times New Roman"/>
          <w:sz w:val="20"/>
        </w:rPr>
        <w:t xml:space="preserve"> </w:t>
      </w:r>
      <w:r>
        <w:rPr>
          <w:rFonts w:ascii="Times New Roman;serif" w:hAnsi="Times New Roman;serif"/>
          <w:b w:val="false"/>
          <w:sz w:val="20"/>
        </w:rPr>
        <w:t>shares of common stock under the 2020 Equity Incentive Plan in exchange for the tendered options. As a result of the Option Exchange, the Company will recognize incremental stock-based compensation expense of $3.7</w:t>
      </w:r>
      <w:r>
        <w:rPr>
          <w:rFonts w:ascii="Times New Roman" w:hAnsi="Times New Roman"/>
          <w:sz w:val="20"/>
        </w:rPr>
        <w:t xml:space="preserve"> </w:t>
      </w:r>
      <w:r>
        <w:rPr>
          <w:rFonts w:ascii="Times New Roman;serif" w:hAnsi="Times New Roman;serif"/>
          <w:b w:val="false"/>
          <w:sz w:val="20"/>
        </w:rPr>
        <w:t>million over the requisite service period of the new stock options, which is three or four years. The Company will recognize the sum of the incremental stock-based compensation expense and the remaining unrecognized compensation expense for the original awards on the modification date, over the requisite service period of the new stock options.</w:t>
      </w:r>
    </w:p>
    <w:p>
      <w:pPr>
        <w:pStyle w:val="TextBody"/>
        <w:spacing w:before="120" w:after="0"/>
        <w:jc w:val="left"/>
        <w:rPr>
          <w:rFonts w:ascii="Times New Roman" w:hAnsi="Times New Roman"/>
          <w:sz w:val="20"/>
        </w:rPr>
      </w:pPr>
      <w:r>
        <w:rPr>
          <w:rFonts w:ascii="Times New Roman;serif" w:hAnsi="Times New Roman;serif"/>
          <w:b w:val="false"/>
          <w:sz w:val="20"/>
        </w:rPr>
        <w:t>The following table summarizes the stock option activity for the three months ended March 31, 2023:</w:t>
      </w:r>
      <w:r>
        <w:rPr>
          <w:rFonts w:ascii="Times New Roman" w:hAnsi="Times New Roman"/>
          <w:sz w:val="20"/>
        </w:rPr>
        <w:t xml:space="preserve"> </w:t>
      </w:r>
    </w:p>
    <w:p>
      <w:pPr>
        <w:pStyle w:val="TextBody"/>
        <w:spacing w:before="0" w:after="0"/>
        <w:jc w:val="left"/>
        <w:rPr/>
      </w:pPr>
      <w:r>
        <w:rPr/>
        <w:t> </w:t>
      </w:r>
    </w:p>
    <w:tbl>
      <w:tblPr>
        <w:tblW w:w="8223" w:type="dxa"/>
        <w:jc w:val="left"/>
        <w:tblInd w:w="0" w:type="dxa"/>
        <w:tblCellMar>
          <w:top w:w="28" w:type="dxa"/>
          <w:left w:w="28" w:type="dxa"/>
          <w:bottom w:w="28" w:type="dxa"/>
          <w:right w:w="28" w:type="dxa"/>
        </w:tblCellMar>
      </w:tblPr>
      <w:tblGrid>
        <w:gridCol w:w="2941"/>
        <w:gridCol w:w="146"/>
        <w:gridCol w:w="146"/>
        <w:gridCol w:w="931"/>
        <w:gridCol w:w="166"/>
        <w:gridCol w:w="146"/>
        <w:gridCol w:w="266"/>
        <w:gridCol w:w="590"/>
        <w:gridCol w:w="146"/>
        <w:gridCol w:w="146"/>
        <w:gridCol w:w="285"/>
        <w:gridCol w:w="706"/>
        <w:gridCol w:w="146"/>
        <w:gridCol w:w="146"/>
        <w:gridCol w:w="267"/>
        <w:gridCol w:w="858"/>
        <w:gridCol w:w="191"/>
      </w:tblGrid>
      <w:tr>
        <w:trPr/>
        <w:tc>
          <w:tcPr>
            <w:tcW w:w="29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9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Options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Exercise</w:t>
              <w:br/>
              <w:t>Price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Remaining</w:t>
              <w:br/>
              <w:t>Contractual</w:t>
              <w:br/>
              <w:t>Term</w:t>
              <w:br/>
              <w:t>(in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Aggregate</w:t>
              <w:br/>
              <w:t>Intrinsic</w:t>
              <w:br/>
              <w:t>Value</w:t>
              <w:br/>
              <w:t>(in thousands)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6,690,492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1,796,570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Forfeited and cancelled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(12,647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8,474,399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12,929</w:t>
            </w:r>
          </w:p>
        </w:tc>
        <w:tc>
          <w:tcPr>
            <w:tcW w:w="191" w:type="dxa"/>
            <w:tcBorders/>
            <w:shd w:fill="auto" w:val="clear"/>
            <w:vAlign w:val="center"/>
          </w:tcPr>
          <w:p>
            <w:pPr>
              <w:pStyle w:val="TableContents"/>
              <w:spacing w:before="0" w:after="0"/>
              <w:ind w:left="0" w:right="0" w:hanging="0"/>
              <w:jc w:val="left"/>
              <w:rPr/>
            </w:pPr>
            <w:r>
              <w:rPr/>
              <w:t> </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Exercisable at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1,755,709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5,938</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The fair value of stock option awards to employees, executives, directors, and other service providers was estimated at the date of grant using the Black-Scholes-Merton option pricing model with the following assumptions:</w:t>
      </w:r>
      <w:r>
        <w:rPr>
          <w:rFonts w:ascii="Times New Roman" w:hAnsi="Times New Roman"/>
          <w:sz w:val="20"/>
        </w:rPr>
        <w:t xml:space="preserve"> </w:t>
      </w:r>
    </w:p>
    <w:p>
      <w:pPr>
        <w:pStyle w:val="TextBody"/>
        <w:spacing w:before="0" w:after="0"/>
        <w:jc w:val="left"/>
        <w:rPr/>
      </w:pPr>
      <w:r>
        <w:rPr/>
        <w:t> </w:t>
      </w:r>
    </w:p>
    <w:tbl>
      <w:tblPr>
        <w:tblW w:w="4720" w:type="dxa"/>
        <w:jc w:val="left"/>
        <w:tblInd w:w="0" w:type="dxa"/>
        <w:tblCellMar>
          <w:top w:w="28" w:type="dxa"/>
          <w:left w:w="28" w:type="dxa"/>
          <w:bottom w:w="28" w:type="dxa"/>
          <w:right w:w="28" w:type="dxa"/>
        </w:tblCellMar>
      </w:tblPr>
      <w:tblGrid>
        <w:gridCol w:w="2131"/>
        <w:gridCol w:w="146"/>
        <w:gridCol w:w="736"/>
        <w:gridCol w:w="146"/>
        <w:gridCol w:w="1561"/>
      </w:tblGrid>
      <w:tr>
        <w:trPr/>
        <w:tc>
          <w:tcPr>
            <w:tcW w:w="21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61" w:type="dxa"/>
            <w:tcBorders/>
            <w:shd w:fill="auto" w:val="clear"/>
            <w:vAlign w:val="center"/>
          </w:tcPr>
          <w:p>
            <w:pPr>
              <w:pStyle w:val="TableContents"/>
              <w:spacing w:before="0" w:after="283"/>
              <w:rPr>
                <w:sz w:val="4"/>
                <w:szCs w:val="4"/>
              </w:rPr>
            </w:pPr>
            <w:r>
              <w:rPr>
                <w:sz w:val="4"/>
                <w:szCs w:val="4"/>
              </w:rPr>
            </w:r>
          </w:p>
        </w:tc>
      </w:tr>
      <w:tr>
        <w:trPr/>
        <w:tc>
          <w:tcPr>
            <w:tcW w:w="21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43" w:type="dxa"/>
            <w:gridSpan w:val="3"/>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r>
      <w:tr>
        <w:trPr/>
        <w:tc>
          <w:tcPr>
            <w:tcW w:w="21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shd w:fill="auto" w:val="clear"/>
            <w:vAlign w:val="center"/>
          </w:tcPr>
          <w:p>
            <w:pPr>
              <w:pStyle w:val="TableContents"/>
              <w:spacing w:before="0" w:after="0"/>
              <w:ind w:left="0" w:right="0" w:hanging="0"/>
              <w:jc w:val="center"/>
              <w:rPr/>
            </w:pPr>
            <w:r>
              <w:rPr/>
              <w:t> </w:t>
            </w:r>
          </w:p>
        </w:tc>
        <w:tc>
          <w:tcPr>
            <w:tcW w:w="7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3.45%</w:t>
            </w:r>
          </w:p>
        </w:tc>
        <w:tc>
          <w:tcPr>
            <w:tcW w:w="146" w:type="dxa"/>
            <w:tcBorders/>
            <w:shd w:fill="auto" w:val="clear"/>
            <w:vAlign w:val="center"/>
          </w:tcPr>
          <w:p>
            <w:pPr>
              <w:pStyle w:val="TableContents"/>
              <w:spacing w:before="0" w:after="0"/>
              <w:ind w:left="0" w:right="0" w:hanging="0"/>
              <w:jc w:val="center"/>
              <w:rPr/>
            </w:pPr>
            <w:r>
              <w:rPr/>
              <w:t> </w:t>
            </w:r>
          </w:p>
        </w:tc>
        <w:tc>
          <w:tcPr>
            <w:tcW w:w="156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1.47% - 1.70%</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shd w:fill="auto" w:val="clear"/>
            <w:vAlign w:val="center"/>
          </w:tcPr>
          <w:p>
            <w:pPr>
              <w:pStyle w:val="TableContents"/>
              <w:spacing w:before="0" w:after="0"/>
              <w:ind w:left="0" w:right="0" w:hanging="0"/>
              <w:jc w:val="center"/>
              <w:rPr/>
            </w:pPr>
            <w:r>
              <w:rPr/>
              <w:t> </w:t>
            </w:r>
          </w:p>
        </w:tc>
        <w:tc>
          <w:tcPr>
            <w:tcW w:w="7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87.68%</w:t>
            </w:r>
          </w:p>
        </w:tc>
        <w:tc>
          <w:tcPr>
            <w:tcW w:w="146" w:type="dxa"/>
            <w:tcBorders/>
            <w:shd w:fill="auto" w:val="clear"/>
            <w:vAlign w:val="center"/>
          </w:tcPr>
          <w:p>
            <w:pPr>
              <w:pStyle w:val="TableContents"/>
              <w:spacing w:before="0" w:after="0"/>
              <w:ind w:left="0" w:right="0" w:hanging="0"/>
              <w:jc w:val="center"/>
              <w:rPr/>
            </w:pPr>
            <w:r>
              <w:rPr/>
              <w:t> </w:t>
            </w:r>
          </w:p>
        </w:tc>
        <w:tc>
          <w:tcPr>
            <w:tcW w:w="156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82.98% - 83.59%</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term (in years)</w:t>
            </w:r>
          </w:p>
        </w:tc>
        <w:tc>
          <w:tcPr>
            <w:tcW w:w="146" w:type="dxa"/>
            <w:tcBorders/>
            <w:shd w:fill="auto" w:val="clear"/>
            <w:vAlign w:val="center"/>
          </w:tcPr>
          <w:p>
            <w:pPr>
              <w:pStyle w:val="TableContents"/>
              <w:spacing w:before="0" w:after="0"/>
              <w:ind w:left="0" w:right="0" w:hanging="0"/>
              <w:jc w:val="center"/>
              <w:rPr/>
            </w:pPr>
            <w:r>
              <w:rPr/>
              <w:t> </w:t>
            </w:r>
          </w:p>
        </w:tc>
        <w:tc>
          <w:tcPr>
            <w:tcW w:w="7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6.08</w:t>
            </w:r>
          </w:p>
        </w:tc>
        <w:tc>
          <w:tcPr>
            <w:tcW w:w="146" w:type="dxa"/>
            <w:tcBorders/>
            <w:shd w:fill="auto" w:val="clear"/>
            <w:vAlign w:val="center"/>
          </w:tcPr>
          <w:p>
            <w:pPr>
              <w:pStyle w:val="TableContents"/>
              <w:spacing w:before="0" w:after="0"/>
              <w:ind w:left="0" w:right="0" w:hanging="0"/>
              <w:jc w:val="center"/>
              <w:rPr/>
            </w:pPr>
            <w:r>
              <w:rPr/>
              <w:t> </w:t>
            </w:r>
          </w:p>
        </w:tc>
        <w:tc>
          <w:tcPr>
            <w:tcW w:w="156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6.08</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dividend yield</w:t>
            </w:r>
          </w:p>
        </w:tc>
        <w:tc>
          <w:tcPr>
            <w:tcW w:w="146" w:type="dxa"/>
            <w:tcBorders/>
            <w:shd w:fill="auto" w:val="clear"/>
            <w:vAlign w:val="center"/>
          </w:tcPr>
          <w:p>
            <w:pPr>
              <w:pStyle w:val="TableContents"/>
              <w:spacing w:before="0" w:after="0"/>
              <w:ind w:left="0" w:right="0" w:hanging="0"/>
              <w:jc w:val="center"/>
              <w:rPr/>
            </w:pPr>
            <w:r>
              <w:rPr/>
              <w:t> </w:t>
            </w:r>
          </w:p>
        </w:tc>
        <w:tc>
          <w:tcPr>
            <w:tcW w:w="7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w:t>
            </w:r>
          </w:p>
        </w:tc>
        <w:tc>
          <w:tcPr>
            <w:tcW w:w="146" w:type="dxa"/>
            <w:tcBorders/>
            <w:shd w:fill="auto" w:val="clear"/>
            <w:vAlign w:val="center"/>
          </w:tcPr>
          <w:p>
            <w:pPr>
              <w:pStyle w:val="TableContents"/>
              <w:spacing w:before="0" w:after="0"/>
              <w:ind w:left="0" w:right="0" w:hanging="0"/>
              <w:jc w:val="center"/>
              <w:rPr/>
            </w:pPr>
            <w:r>
              <w:rPr/>
              <w:t> </w:t>
            </w:r>
          </w:p>
        </w:tc>
        <w:tc>
          <w:tcPr>
            <w:tcW w:w="156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Company recognized stock-based compensation expense related to the vesting of stock options of $3.1</w:t>
      </w:r>
      <w:r>
        <w:rPr>
          <w:rFonts w:ascii="Times New Roman" w:hAnsi="Times New Roman"/>
          <w:sz w:val="20"/>
        </w:rPr>
        <w:t xml:space="preserve"> </w:t>
      </w:r>
      <w:r>
        <w:rPr>
          <w:rFonts w:ascii="Times New Roman;serif" w:hAnsi="Times New Roman;serif"/>
          <w:b w:val="false"/>
          <w:sz w:val="20"/>
        </w:rPr>
        <w:t>million and $3.7</w:t>
      </w:r>
      <w:r>
        <w:rPr>
          <w:rFonts w:ascii="Times New Roman" w:hAnsi="Times New Roman"/>
          <w:sz w:val="20"/>
        </w:rPr>
        <w:t xml:space="preserve"> </w:t>
      </w:r>
      <w:r>
        <w:rPr>
          <w:rFonts w:ascii="Times New Roman;serif" w:hAnsi="Times New Roman;serif"/>
          <w:b w:val="false"/>
          <w:sz w:val="20"/>
        </w:rPr>
        <w:t>million during the three months ended March 31, 2023 and 2022, respectively. Total unrecognized compensation expense related to outstanding unvested stock-option awards as of March 31, 2023, was $38.3</w:t>
      </w:r>
      <w:r>
        <w:rPr>
          <w:rFonts w:ascii="Times New Roman" w:hAnsi="Times New Roman"/>
          <w:sz w:val="20"/>
        </w:rPr>
        <w:t xml:space="preserve"> </w:t>
      </w:r>
      <w:r>
        <w:rPr>
          <w:rFonts w:ascii="Times New Roman;serif" w:hAnsi="Times New Roman;serif"/>
          <w:b w:val="false"/>
          <w:sz w:val="20"/>
        </w:rPr>
        <w:t>million, which is expected to be recognized over a weighted-average remaining service period of 3.1</w:t>
      </w:r>
      <w:r>
        <w:rPr>
          <w:rFonts w:ascii="Times New Roman;serif" w:hAnsi="Times New Roman;serif"/>
          <w:sz w:val="20"/>
        </w:rPr>
        <w:t xml:space="preserve"> </w:t>
      </w:r>
      <w:r>
        <w:rPr>
          <w:rFonts w:ascii="Times New Roman;serif" w:hAnsi="Times New Roman;serif"/>
          <w:b w:val="false"/>
          <w:sz w:val="20"/>
        </w:rPr>
        <w:t>years.</w:t>
      </w:r>
      <w:r>
        <w:rPr>
          <w:rFonts w:ascii="Times New Roman" w:hAnsi="Times New Roman"/>
          <w:sz w:val="20"/>
        </w:rPr>
        <w:t xml:space="preserve"> </w:t>
      </w:r>
    </w:p>
    <w:p>
      <w:pPr>
        <w:pStyle w:val="TextBody"/>
        <w:spacing w:before="120" w:after="0"/>
        <w:jc w:val="left"/>
        <w:rPr>
          <w:rFonts w:ascii="Times New Roman;serif" w:hAnsi="Times New Roman;serif"/>
          <w:b/>
          <w:i/>
          <w:sz w:val="20"/>
        </w:rPr>
      </w:pPr>
      <w:r>
        <w:rPr>
          <w:rFonts w:ascii="Times New Roman;serif" w:hAnsi="Times New Roman;serif"/>
          <w:b/>
          <w:i/>
          <w:sz w:val="20"/>
        </w:rPr>
        <w:t>Restricted Stock Units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summarizes the restricted stock unit activity for the three months ended March 31, 2023:</w:t>
      </w:r>
    </w:p>
    <w:p>
      <w:pPr>
        <w:pStyle w:val="TextBody"/>
        <w:spacing w:before="0" w:after="0"/>
        <w:jc w:val="left"/>
        <w:rPr/>
      </w:pPr>
      <w:r>
        <w:rPr/>
        <w:t> </w:t>
      </w:r>
    </w:p>
    <w:tbl>
      <w:tblPr>
        <w:tblW w:w="6005" w:type="dxa"/>
        <w:jc w:val="left"/>
        <w:tblInd w:w="0" w:type="dxa"/>
        <w:tblCellMar>
          <w:top w:w="28" w:type="dxa"/>
          <w:left w:w="28" w:type="dxa"/>
          <w:bottom w:w="28" w:type="dxa"/>
          <w:right w:w="28" w:type="dxa"/>
        </w:tblCellMar>
      </w:tblPr>
      <w:tblGrid>
        <w:gridCol w:w="2941"/>
        <w:gridCol w:w="146"/>
        <w:gridCol w:w="222"/>
        <w:gridCol w:w="1188"/>
        <w:gridCol w:w="166"/>
        <w:gridCol w:w="146"/>
        <w:gridCol w:w="313"/>
        <w:gridCol w:w="692"/>
        <w:gridCol w:w="191"/>
      </w:tblGrid>
      <w:tr>
        <w:trPr/>
        <w:tc>
          <w:tcPr>
            <w:tcW w:w="29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18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94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14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 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 xml:space="preserve">Grant-Date </w:t>
              <w:br/>
              <w:t>Fair Value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December 31, 2022</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1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191,925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7.83</w:t>
            </w:r>
          </w:p>
        </w:tc>
        <w:tc>
          <w:tcPr>
            <w:tcW w:w="191" w:type="dxa"/>
            <w:tcBorders/>
            <w:shd w:fill="auto" w:val="clear"/>
            <w:vAlign w:val="center"/>
          </w:tcPr>
          <w:p>
            <w:pPr>
              <w:pStyle w:val="TableContents"/>
              <w:spacing w:before="0" w:after="0"/>
              <w:ind w:left="0" w:right="0" w:hanging="0"/>
              <w:jc w:val="left"/>
              <w:rPr/>
            </w:pPr>
            <w:r>
              <w:rPr/>
              <w:t> </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1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297,323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6.00</w:t>
            </w:r>
          </w:p>
        </w:tc>
        <w:tc>
          <w:tcPr>
            <w:tcW w:w="191" w:type="dxa"/>
            <w:tcBorders/>
            <w:shd w:fill="auto" w:val="clear"/>
            <w:vAlign w:val="center"/>
          </w:tcPr>
          <w:p>
            <w:pPr>
              <w:pStyle w:val="TableContents"/>
              <w:spacing w:before="0" w:after="0"/>
              <w:ind w:left="0" w:right="0" w:hanging="0"/>
              <w:jc w:val="left"/>
              <w:rPr/>
            </w:pPr>
            <w:r>
              <w:rPr/>
              <w:t> </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1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7.97</w:t>
            </w:r>
          </w:p>
        </w:tc>
        <w:tc>
          <w:tcPr>
            <w:tcW w:w="191" w:type="dxa"/>
            <w:tcBorders/>
            <w:shd w:fill="auto" w:val="clear"/>
            <w:vAlign w:val="center"/>
          </w:tcPr>
          <w:p>
            <w:pPr>
              <w:pStyle w:val="TableContents"/>
              <w:spacing w:before="0" w:after="0"/>
              <w:ind w:left="0" w:right="0" w:hanging="0"/>
              <w:jc w:val="left"/>
              <w:rPr/>
            </w:pPr>
            <w:r>
              <w:rPr/>
              <w:t> </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6.37</w:t>
            </w:r>
          </w:p>
        </w:tc>
        <w:tc>
          <w:tcPr>
            <w:tcW w:w="191" w:type="dxa"/>
            <w:tcBorders/>
            <w:shd w:fill="auto" w:val="clear"/>
            <w:vAlign w:val="center"/>
          </w:tcPr>
          <w:p>
            <w:pPr>
              <w:pStyle w:val="TableContents"/>
              <w:spacing w:before="0" w:after="0"/>
              <w:ind w:left="0" w:right="0" w:hanging="0"/>
              <w:jc w:val="left"/>
              <w:rPr/>
            </w:pPr>
            <w:r>
              <w:rPr/>
              <w:t> </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March 31, 2023</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485,942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6.72</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sz w:val="20"/>
        </w:rPr>
      </w:pPr>
      <w:r>
        <w:rPr>
          <w:rFonts w:ascii="Times New Roman;serif" w:hAnsi="Times New Roman;serif"/>
          <w:b w:val="false"/>
          <w:sz w:val="20"/>
        </w:rPr>
        <w:t>The Company recognized stock-based compensation expense related to the vesting of restricted stock units of $0.3</w:t>
      </w:r>
      <w:r>
        <w:rPr>
          <w:rFonts w:ascii="Times New Roman" w:hAnsi="Times New Roman"/>
          <w:sz w:val="20"/>
        </w:rPr>
        <w:t xml:space="preserve"> </w:t>
      </w:r>
      <w:r>
        <w:rPr>
          <w:rFonts w:ascii="Times New Roman;serif" w:hAnsi="Times New Roman;serif"/>
          <w:b w:val="false"/>
          <w:sz w:val="20"/>
        </w:rPr>
        <w:t>million and $0.1</w:t>
      </w:r>
      <w:r>
        <w:rPr>
          <w:rFonts w:ascii="Times New Roman" w:hAnsi="Times New Roman"/>
          <w:sz w:val="20"/>
        </w:rPr>
        <w:t xml:space="preserve"> </w:t>
      </w:r>
      <w:r>
        <w:rPr>
          <w:rFonts w:ascii="Times New Roman;serif" w:hAnsi="Times New Roman;serif"/>
          <w:b w:val="false"/>
          <w:sz w:val="20"/>
        </w:rPr>
        <w:t>million during the three months ended March 31, 2023 and 2022, respectively. Total unrecognized compensation expense related to restricted stock units as of March 31, 2023, was $2.9</w:t>
      </w:r>
      <w:r>
        <w:rPr>
          <w:rFonts w:ascii="Times New Roman" w:hAnsi="Times New Roman"/>
          <w:sz w:val="20"/>
        </w:rPr>
        <w:t xml:space="preserve"> </w:t>
      </w:r>
      <w:r>
        <w:rPr>
          <w:rFonts w:ascii="Times New Roman;serif" w:hAnsi="Times New Roman;serif"/>
          <w:b w:val="false"/>
          <w:sz w:val="20"/>
        </w:rPr>
        <w:t>million, which is expected to be recognized over a weighted-average remaining service period of 2.4</w:t>
      </w:r>
      <w:r>
        <w:rPr>
          <w:rFonts w:ascii="Times New Roman" w:hAnsi="Times New Roman"/>
          <w:sz w:val="20"/>
        </w:rPr>
        <w:t xml:space="preserve"> </w:t>
      </w:r>
      <w:r>
        <w:rPr>
          <w:rFonts w:ascii="Times New Roman;serif" w:hAnsi="Times New Roman;serif"/>
          <w:b w:val="false"/>
          <w:sz w:val="20"/>
        </w:rPr>
        <w:t>years.</w:t>
      </w:r>
      <w:r>
        <w:rPr>
          <w:rFonts w:ascii="Times New Roman" w:hAnsi="Times New Roman"/>
          <w:sz w:val="20"/>
        </w:rPr>
        <w:t xml:space="preserve"> </w:t>
      </w:r>
    </w:p>
    <w:p>
      <w:pPr>
        <w:pStyle w:val="TextBody"/>
        <w:spacing w:before="120" w:after="0"/>
        <w:jc w:val="left"/>
        <w:rPr>
          <w:rFonts w:ascii="Times New Roman;serif" w:hAnsi="Times New Roman;serif"/>
          <w:b/>
          <w:i/>
          <w:sz w:val="20"/>
        </w:rPr>
      </w:pPr>
      <w:r>
        <w:rPr>
          <w:rFonts w:ascii="Times New Roman;serif" w:hAnsi="Times New Roman;serif"/>
          <w:b/>
          <w:i/>
          <w:sz w:val="20"/>
        </w:rPr>
        <w:t>Employee Stock Purchase Plan</w:t>
      </w:r>
    </w:p>
    <w:p>
      <w:pPr>
        <w:pStyle w:val="TextBody"/>
        <w:spacing w:before="120" w:after="0"/>
        <w:jc w:val="left"/>
        <w:rPr>
          <w:rFonts w:ascii="Times New Roman" w:hAnsi="Times New Roman"/>
          <w:sz w:val="20"/>
        </w:rPr>
      </w:pPr>
      <w:r>
        <w:rPr>
          <w:rFonts w:ascii="Times New Roman;serif" w:hAnsi="Times New Roman;serif"/>
          <w:b w:val="false"/>
          <w:sz w:val="20"/>
        </w:rPr>
        <w:t>The company recognized stock-based compensation expense related to the Employee Stock Purchase Plan (ESPP) of $0.2</w:t>
      </w:r>
      <w:r>
        <w:rPr>
          <w:rFonts w:ascii="Times New Roman" w:hAnsi="Times New Roman"/>
          <w:sz w:val="20"/>
        </w:rPr>
        <w:t xml:space="preserve"> </w:t>
      </w:r>
      <w:r>
        <w:rPr>
          <w:rFonts w:ascii="Times New Roman;serif" w:hAnsi="Times New Roman;serif"/>
          <w:b w:val="false"/>
          <w:sz w:val="20"/>
        </w:rPr>
        <w:t>million and $0.1</w:t>
      </w:r>
      <w:r>
        <w:rPr>
          <w:rFonts w:ascii="Times New Roman" w:hAnsi="Times New Roman"/>
          <w:sz w:val="20"/>
        </w:rPr>
        <w:t xml:space="preserve"> </w:t>
      </w:r>
      <w:r>
        <w:rPr>
          <w:rFonts w:ascii="Times New Roman;serif" w:hAnsi="Times New Roman;serif"/>
          <w:b w:val="false"/>
          <w:sz w:val="20"/>
        </w:rPr>
        <w:t>million during the three months ended March 31, 2023 and 2022, respectively.</w:t>
      </w:r>
    </w:p>
    <w:p>
      <w:pPr>
        <w:pStyle w:val="TextBody"/>
        <w:spacing w:before="120" w:after="0"/>
        <w:jc w:val="left"/>
        <w:rPr>
          <w:rFonts w:ascii="Times New Roman;serif" w:hAnsi="Times New Roman;serif"/>
          <w:b/>
          <w:i/>
          <w:sz w:val="20"/>
        </w:rPr>
      </w:pPr>
      <w:r>
        <w:rPr>
          <w:rFonts w:ascii="Times New Roman;serif" w:hAnsi="Times New Roman;serif"/>
          <w:b/>
          <w:i/>
          <w:sz w:val="20"/>
        </w:rPr>
        <w:t>Net Loss per Share</w:t>
      </w:r>
    </w:p>
    <w:p>
      <w:pPr>
        <w:pStyle w:val="TextBody"/>
        <w:spacing w:before="60" w:after="0"/>
        <w:jc w:val="left"/>
        <w:rPr>
          <w:rFonts w:ascii="Times New Roman;serif" w:hAnsi="Times New Roman;serif"/>
          <w:b w:val="false"/>
          <w:sz w:val="20"/>
        </w:rPr>
      </w:pPr>
      <w:r>
        <w:rPr>
          <w:rFonts w:ascii="Times New Roman;serif" w:hAnsi="Times New Roman;serif"/>
          <w:b w:val="false"/>
          <w:sz w:val="20"/>
        </w:rPr>
        <w:t>The following outstanding shares of potentially dilutive securities were excluded from the computation of diluted net loss per share attributable to common stockholders for the periods presented because including them would have been anti-dilutive:</w:t>
      </w:r>
    </w:p>
    <w:p>
      <w:pPr>
        <w:pStyle w:val="TextBody"/>
        <w:spacing w:before="0" w:after="0"/>
        <w:jc w:val="left"/>
        <w:rPr/>
      </w:pPr>
      <w:r>
        <w:rPr/>
        <w:t> </w:t>
      </w:r>
    </w:p>
    <w:tbl>
      <w:tblPr>
        <w:tblW w:w="5808" w:type="dxa"/>
        <w:jc w:val="left"/>
        <w:tblInd w:w="0" w:type="dxa"/>
        <w:tblCellMar>
          <w:top w:w="28" w:type="dxa"/>
          <w:left w:w="28" w:type="dxa"/>
          <w:bottom w:w="28" w:type="dxa"/>
          <w:right w:w="28" w:type="dxa"/>
        </w:tblCellMar>
      </w:tblPr>
      <w:tblGrid>
        <w:gridCol w:w="2971"/>
        <w:gridCol w:w="146"/>
        <w:gridCol w:w="931"/>
        <w:gridCol w:w="146"/>
        <w:gridCol w:w="146"/>
        <w:gridCol w:w="146"/>
        <w:gridCol w:w="931"/>
        <w:gridCol w:w="391"/>
      </w:tblGrid>
      <w:tr>
        <w:trPr/>
        <w:tc>
          <w:tcPr>
            <w:tcW w:w="29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971" w:type="dxa"/>
            <w:tcBorders/>
            <w:shd w:fill="auto" w:val="clear"/>
            <w:vAlign w:val="center"/>
          </w:tcPr>
          <w:p>
            <w:pPr>
              <w:pStyle w:val="TableContents"/>
              <w:spacing w:before="0" w:after="0"/>
              <w:ind w:left="0" w:right="0" w:hanging="0"/>
              <w:jc w:val="left"/>
              <w:rPr/>
            </w:pPr>
            <w:r>
              <w:rPr/>
              <w:t> </w:t>
            </w:r>
          </w:p>
        </w:tc>
        <w:tc>
          <w:tcPr>
            <w:tcW w:w="2446" w:type="dxa"/>
            <w:gridSpan w:val="6"/>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91"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71" w:type="dxa"/>
            <w:tcBorders/>
            <w:shd w:fill="auto" w:val="clear"/>
            <w:vAlign w:val="center"/>
          </w:tcPr>
          <w:p>
            <w:pPr>
              <w:pStyle w:val="TableContents"/>
              <w:spacing w:before="0" w:after="0"/>
              <w:ind w:left="0" w:right="0" w:hanging="0"/>
              <w:jc w:val="center"/>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to purchase common stock</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8,474,399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6,424,324</w:t>
            </w:r>
          </w:p>
        </w:tc>
        <w:tc>
          <w:tcPr>
            <w:tcW w:w="391" w:type="dxa"/>
            <w:tcBorders/>
            <w:shd w:fill="auto" w:val="clear"/>
            <w:vAlign w:val="center"/>
          </w:tcPr>
          <w:p>
            <w:pPr>
              <w:pStyle w:val="TableContents"/>
              <w:spacing w:before="0" w:after="0"/>
              <w:ind w:left="0" w:right="0" w:hanging="0"/>
              <w:jc w:val="left"/>
              <w:rPr/>
            </w:pPr>
            <w:r>
              <w:rPr/>
              <w:t> </w:t>
            </w:r>
          </w:p>
        </w:tc>
      </w:tr>
      <w:tr>
        <w:trPr/>
        <w:tc>
          <w:tcPr>
            <w:tcW w:w="297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Non-vested restricted stock units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485,942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217,730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9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8,960,341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6,642,054</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20"/>
        </w:rPr>
      </w:pPr>
      <w:bookmarkStart w:id="12" w:name="item_7_managements_discussion_analysis_f"/>
      <w:bookmarkEnd w:id="12"/>
      <w:r>
        <w:rPr>
          <w:rFonts w:ascii="Times New Roman;serif" w:hAnsi="Times New Roman;serif"/>
          <w:b/>
          <w:sz w:val="20"/>
        </w:rPr>
        <w:t>Item 2. Management’s Discussion and Analysis of Financial Condition and Results of Operations.</w:t>
      </w:r>
    </w:p>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You should read the following discussion and analysis of our financial condition and results of operations together with our unaudited financial statements and related notes included elsewhere in this quarterly report on Form 10-Q and our audited financial statements and notes thereto as of and for the year ended December 31, 2022 and the related Management’s Discussion and Analysis of Financial Condition and Results of Operations, both of which are contained in our Annual Report on Form 10-K for the fiscal year ended December 31, 2022, filed with the Securities and Exchange Commission on March 16, 2023. This discussion contains forward-looking statements that involve risks and uncertainties, including those described in the section titled “Special Note Regarding Forward-Looking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 included elsewhere in this report.</w:t>
      </w:r>
    </w:p>
    <w:p>
      <w:pPr>
        <w:pStyle w:val="TextBody"/>
        <w:spacing w:before="0" w:after="0"/>
        <w:jc w:val="left"/>
        <w:rPr>
          <w:rFonts w:ascii="Times New Roman;serif" w:hAnsi="Times New Roman;serif"/>
          <w:b/>
          <w:sz w:val="20"/>
        </w:rPr>
      </w:pPr>
      <w:r>
        <w:rPr>
          <w:rFonts w:ascii="Times New Roman;serif" w:hAnsi="Times New Roman;serif"/>
          <w:b/>
          <w:sz w:val="20"/>
        </w:rPr>
        <w:t>Overview</w:t>
      </w:r>
    </w:p>
    <w:p>
      <w:pPr>
        <w:pStyle w:val="TextBody"/>
        <w:spacing w:before="120" w:after="0"/>
        <w:jc w:val="left"/>
        <w:rPr>
          <w:rFonts w:ascii="Times New Roman" w:hAnsi="Times New Roman"/>
          <w:sz w:val="20"/>
        </w:rPr>
      </w:pPr>
      <w:r>
        <w:rPr>
          <w:rFonts w:ascii="Times New Roman;serif" w:hAnsi="Times New Roman;serif"/>
          <w:b w:val="false"/>
          <w:sz w:val="20"/>
        </w:rPr>
        <w:t xml:space="preserve">ORIC Pharmaceuticals is a clinical-stage biopharmaceutical company dedicated to improving patients’ lives by </w:t>
      </w:r>
      <w:r>
        <w:rPr>
          <w:rFonts w:ascii="Times New Roman;serif" w:hAnsi="Times New Roman;serif"/>
          <w:b w:val="false"/>
          <w:i/>
          <w:sz w:val="20"/>
          <w:u w:val="single"/>
        </w:rPr>
        <w:t>O</w:t>
      </w:r>
      <w:r>
        <w:rPr>
          <w:rFonts w:ascii="Times New Roman;serif" w:hAnsi="Times New Roman;serif"/>
          <w:b w:val="false"/>
          <w:i/>
          <w:sz w:val="20"/>
        </w:rPr>
        <w:t>vercoming</w:t>
      </w:r>
      <w:r>
        <w:rPr>
          <w:rFonts w:ascii="Times New Roman" w:hAnsi="Times New Roman"/>
          <w:sz w:val="20"/>
        </w:rPr>
        <w:t xml:space="preserve"> </w:t>
      </w:r>
      <w:r>
        <w:rPr>
          <w:rFonts w:ascii="Times New Roman;serif" w:hAnsi="Times New Roman;serif"/>
          <w:b w:val="false"/>
          <w:i/>
          <w:sz w:val="20"/>
          <w:u w:val="single"/>
        </w:rPr>
        <w:t>R</w:t>
      </w:r>
      <w:r>
        <w:rPr>
          <w:rFonts w:ascii="Times New Roman;serif" w:hAnsi="Times New Roman;serif"/>
          <w:b w:val="false"/>
          <w:i/>
          <w:sz w:val="20"/>
        </w:rPr>
        <w:t xml:space="preserve">esistance </w:t>
      </w:r>
      <w:r>
        <w:rPr>
          <w:rFonts w:ascii="Times New Roman;serif" w:hAnsi="Times New Roman;serif"/>
          <w:b w:val="false"/>
          <w:i/>
          <w:sz w:val="20"/>
          <w:u w:val="single"/>
        </w:rPr>
        <w:t>I</w:t>
      </w:r>
      <w:r>
        <w:rPr>
          <w:rFonts w:ascii="Times New Roman;serif" w:hAnsi="Times New Roman;serif"/>
          <w:b w:val="false"/>
          <w:i/>
          <w:sz w:val="20"/>
        </w:rPr>
        <w:t xml:space="preserve">n </w:t>
      </w:r>
      <w:r>
        <w:rPr>
          <w:rFonts w:ascii="Times New Roman;serif" w:hAnsi="Times New Roman;serif"/>
          <w:b w:val="false"/>
          <w:i/>
          <w:sz w:val="20"/>
          <w:u w:val="single"/>
        </w:rPr>
        <w:t>C</w:t>
      </w:r>
      <w:r>
        <w:rPr>
          <w:rFonts w:ascii="Times New Roman;serif" w:hAnsi="Times New Roman;serif"/>
          <w:b w:val="false"/>
          <w:i/>
          <w:sz w:val="20"/>
        </w:rPr>
        <w:t>ancer.</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fully integrated discovery and development team is advancing a diverse pipeline of innovative clinical and discovery stage therapies designed to counter resistance mechanisms in cancer by leveraging our expertise within three specific areas: hormone-dependent cancers, precision oncology and key tumor dependencies.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clinical stage product candidates include:</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ORIC-533, an orally bioavailable small molecule inhibitor of CD73, a key node in the adenosine pathway believed to play a central role in resistance to chemotherapy- and immunotherapy-based treatment regimens. In the second quarter of 2021, the U.S. Food and Drug Administration (FDA) cleared the Investigational New Drug Application (IND) for ORIC-533, and in the first quarter of 2023, a Clinical Trial Application (CTA) was cleared in Canada for ORIC-533. We are enrolling a Phase 1b trial of ORIC-533 as a single-agent, in patients with relapsed/refractory multiple myeloma and expect to report initial data in the second half of 2023.</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ORIC-114, a brain penetrant, orally bioavailable, irreversible inhibitor designed to selectively target epidermal growth factor receptor (EGFR) and human epidermal growth factor receptor 2 (HER2) with high potency towards exon 20 insertion mutations, for which we licensed development and commercialization rights from Voronoi Inc. (Voronoi) in October 2020 (Voronoi License Agreement). In the fourth quarter of 2021, we filed a CTA in South Korea for ORIC-114, which was cleared in the first quarter of 2022. We also filed and cleared an IND with the FDA for ORIC-114 in the third quarter of 2022. We are enrolling a Phase 1b trial of ORIC-114 as a single-agent, in patients with advanced solid tumors with EGFR and HER2 exon 20 alterations or HER2 amplifications and allows patients with CNS metastases that are either treated or untreated but asymptomatic. We expect to report initial Phase 1b data from this trial in the second half of 2023.</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ORIC-944, an allosteric inhibitor of the polycomb repressive complex 2 (PRC2) via the embryonic ectoderm development (EED) subunit, for which we licensed development and commercialization rights from Mirati Therapeutics, Inc. (Mirati) in August 2020 (Mirati License Agreement). We filed and cleared an IND with the FDA for ORIC-944 in the fourth quarter of 2021. We are enrolling a Phase 1b trial of ORIC-944 as a single-agent, in patients with advanced prostate cancer and expect to report initial data in the second half of 2023.</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Beyond these clinical stage product candidates, we are developing multiple discovery stage precision medicines targeting other hallmark cancer resistance mechanisms.</w:t>
      </w:r>
    </w:p>
    <w:p>
      <w:pPr>
        <w:pStyle w:val="TextBody"/>
        <w:spacing w:before="120" w:after="0"/>
        <w:jc w:val="left"/>
        <w:rPr>
          <w:rFonts w:ascii="Times New Roman" w:hAnsi="Times New Roman"/>
          <w:sz w:val="20"/>
        </w:rPr>
      </w:pPr>
      <w:r>
        <w:rPr>
          <w:rFonts w:ascii="Times New Roman;serif" w:hAnsi="Times New Roman;serif"/>
          <w:b w:val="false"/>
          <w:sz w:val="20"/>
        </w:rPr>
        <w:t>We have incurred significant losses since the commencement of our operations. Our net loss for the three months ended March 31, 2023 was $23.9 million and we had an accumulated deficit of $358.2 million as of March 31, 2023. Our losses and accumulated deficit have resulted primarily from costs incurred in connection with research and development activities including in-licensing and to a lesser extent from general and administrative costs associated with our operations. We expect to incur significant losses for the foreseeable future, and we anticipate these losses will increase significantly as we continue our development of ORIC-533, ORIC-114, ORIC-944 and any future product candidates from discovery through preclinical development and into clinical trials as we seek regulatory approval for these product candidates. Our net losses may fluctuate significantly from period to period, depending on the timing of and expenditures on our planned research and development activities.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subject to risks and uncertainties as a result of the COVID-19 pandemic and increasing financial market volatility and uncertainty. The extent to which the COVID-19 pandemic and increasing financial market volatility and uncertainty will impact the conduct of our clinical trials, related business activities and expenses will depend on future developments that are highly uncertain and cannot be predicted at this time.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December 21, 2022, we entered into a securities purchase agreement with Pfizer pursuant to which we sold 5,376,344 shares of our common stock at a price of $4.65 per share to Pfizer for gross proceeds of $25.0 million. We sold the shares to Pfizer in a registered direct offering conducted without an underwriter or placement agent and pursuant to an effective shelf registration statement. After deducting offering expenses of $0.4 million, the net proceeds we received from the direct offering were $24.6 million. The transaction closed on December 23, 2022.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May 6, 2021, we entered into an "at-the-market" (ATM) sales agreement with Jefferies LLC as our sales agent, under which we may offer and sell from time to time up to $150 million of our common stock in negotiated transactions or transactions that are deemed to be an ATM offering. On July 8, 2021, we raised gross proceeds of $50.0 million through the sale of 2,597,402 shares in an ATM offering, with participation based on unsolicited interest received from a healthcare specialist fund. We sold such shares at a purchase price per share of $19.25, a premium to the market price at the time of sale. After deducting commissions and other offering expenses related to the ATM offering of $1.9 million, the net proceeds we received from the transaction were $48.1 million.</w:t>
      </w:r>
    </w:p>
    <w:p>
      <w:pPr>
        <w:pStyle w:val="TextBody"/>
        <w:spacing w:before="120" w:after="0"/>
        <w:jc w:val="left"/>
        <w:rPr>
          <w:rFonts w:ascii="Times New Roman;serif" w:hAnsi="Times New Roman;serif"/>
          <w:b/>
          <w:sz w:val="20"/>
        </w:rPr>
      </w:pPr>
      <w:r>
        <w:rPr>
          <w:rFonts w:ascii="Times New Roman;serif" w:hAnsi="Times New Roman;serif"/>
          <w:b/>
          <w:sz w:val="20"/>
        </w:rPr>
        <w:t>Components of Operating Results</w:t>
      </w:r>
    </w:p>
    <w:p>
      <w:pPr>
        <w:pStyle w:val="TextBody"/>
        <w:spacing w:before="120" w:after="0"/>
        <w:jc w:val="left"/>
        <w:rPr>
          <w:rFonts w:ascii="Times New Roman;serif" w:hAnsi="Times New Roman;serif"/>
          <w:b/>
          <w:i/>
          <w:sz w:val="20"/>
        </w:rPr>
      </w:pPr>
      <w:r>
        <w:rPr>
          <w:rFonts w:ascii="Times New Roman;serif" w:hAnsi="Times New Roman;serif"/>
          <w:b/>
          <w:i/>
          <w:sz w:val="20"/>
        </w:rPr>
        <w:t>Research and Development Expenses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Research and development expenses account for a significant portion of our operating expenses and consist primarily of external and internal costs incurred in connection with the discovery and development of our product candidates.</w:t>
      </w:r>
    </w:p>
    <w:p>
      <w:pPr>
        <w:pStyle w:val="TextBody"/>
        <w:spacing w:before="240" w:after="0"/>
        <w:jc w:val="left"/>
        <w:rPr>
          <w:rFonts w:ascii="Times New Roman" w:hAnsi="Times New Roman"/>
          <w:sz w:val="20"/>
        </w:rPr>
      </w:pPr>
      <w:r>
        <w:rPr>
          <w:rFonts w:ascii="Times New Roman;serif" w:hAnsi="Times New Roman;serif"/>
          <w:b w:val="false"/>
          <w:sz w:val="20"/>
        </w:rPr>
        <w:t>External expenses include:</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payments to third parties in connection with the clinical development of our product candidates, including contract research organizations (CROs) and consultants;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 of manufacturing products for use in our preclinical studies and clinical trials, including payments to contract manufacturing organizations (CMOs) and consultants;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payments to third parties in connection with the preclinical development of our product candidates, including outsourced professional scientific development services, consulting research fees and sponsored research arrangements with third parties;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laboratory supplies;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allocated facilities, depreciation and other expenses, which include direct or allocated expenses for IT, rent and maintenance of facilities.</w:t>
      </w:r>
    </w:p>
    <w:p>
      <w:pPr>
        <w:pStyle w:val="TextBody"/>
        <w:spacing w:before="120" w:after="0"/>
        <w:jc w:val="left"/>
        <w:rPr>
          <w:rFonts w:ascii="Times New Roman" w:hAnsi="Times New Roman"/>
          <w:sz w:val="20"/>
        </w:rPr>
      </w:pPr>
      <w:r>
        <w:rPr>
          <w:rFonts w:ascii="Times New Roman;serif" w:hAnsi="Times New Roman;serif"/>
          <w:b w:val="false"/>
          <w:sz w:val="20"/>
        </w:rPr>
        <w:t>We may also incur in-process research and development expense as we acquire or in-license assets from other parties. Technology acquisitions are expensed or capitalized based upon the asset achieving technological feasibility in accordance with management’s assessment regarding the ultimate recoverability of the amounts paid and the potential for alternative future use. Acquired in-process research and development costs that have no alternative future use are immediately expensed.</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Internal expenses include employee-related costs such as salaries, related benefits and non-cash stock-based compensation expense for employees engaged in research and development functions.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expense research and development costs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We track external costs by program, clinical or preclinical. We do not track internal costs by program because these costs are deployed across multiple programs and, as such, are not separately classified.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Product candidates in later stages of clinical development generally have higher development costs than those in earlier stages, primarily due to the increased size and duration of later-stage clinical trials. As a result, we expect that our research and development expenses will increase substantially in the foreseeable future as we advance our product candidates through preclinical studies and clinical trials; continue to discover and develop additional product candidates and expand our pipeline; maintain, expand, protect and enforce our intellectual property portfolio; and hire additional personnel.</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successful development of our product candidates is highly uncertain, and we do not believe it is possible at this time to accurately project the nature, timing and estimated costs of the efforts necessary to complete the development of, and obtain regulatory approval for, any of our product candidates. To the extent our product candidates continue to advance into clinical trials, as well as advance into larger and later-stage clinical trials, our expenses will increase substantially and may become more variable. We are also unable to predict when, if ever, we will generate revenue from our product candidates to offset these expenses. Our expenditures on current and future preclinical and clinical development programs are subject to numerous uncertainties in timing and cost to completion. The duration, costs and timing of preclinical studies and clinical trials and development of our product candidates will depend on a variety of factors, including:</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timing and progress of preclinical and clinical development activities;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number and scope of preclinical and clinical programs we decide to pursue;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maintain our current research and development programs and to establish new ones;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establishing an appropriate safety profile with IND-enabling toxicology studies;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successful patient enrollment in, and the initiation and completion of,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successful completion of clinical trials with safety, tolerability and efficacy profiles that are satisfactory to the FDA or any comparable foreign regulatory authority;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receipt of regulatory approvals from applicable regulatory authorities;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timing, receipt and terms of any marketing approvals from applicable regulatory authorities;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establish licensing or collaboration arrangements;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performance of our future collaborators, if any;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obtaining and retaining research and development personnel;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establishing commercial manufacturing capabilities or making arrangements with third-party manufacturers;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development and timely delivery of commercial-grade product formulations that can be used in our planned clinical trials and for commercial launch;</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obtaining, maintaining, defending and enforcing patent claims and other intellectual property rights;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launching commercial sales of our product candidates, if approved, whether alone or in collaboration with others;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maintaining a continued acceptable safety profile of our products following approval.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changes in the outcome of any of these factors could significantly impact the costs, timing and viability associated with the development of our product candidates.</w:t>
      </w:r>
    </w:p>
    <w:p>
      <w:pPr>
        <w:pStyle w:val="TextBody"/>
        <w:spacing w:before="120" w:after="0"/>
        <w:jc w:val="left"/>
        <w:rPr>
          <w:rFonts w:ascii="Times New Roman;serif" w:hAnsi="Times New Roman;serif"/>
          <w:b/>
          <w:i/>
          <w:sz w:val="20"/>
        </w:rPr>
      </w:pPr>
      <w:r>
        <w:rPr>
          <w:rFonts w:ascii="Times New Roman;serif" w:hAnsi="Times New Roman;serif"/>
          <w:b/>
          <w:i/>
          <w:sz w:val="20"/>
        </w:rPr>
        <w:t>General and Administrative Expenses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consist primarily of salaries, related benefits and stock-based compensation expense for personnel in executive, finance and administrative functions. General and administrative expenses also include allocated facilities, depreciation and other expenses, which include direct or allocated expenses for rent and maintenance of facilities and insurance, not otherwise included in research and development expenses, as well as professional fees for legal, patent, consulting, investor and public relations, accounting and audit services. We expect that our general and administrative expenses will increase substantially in the foreseeable future as we increase our headcount to support the continued research and development of our programs and the growth of our business.</w:t>
      </w:r>
    </w:p>
    <w:p>
      <w:pPr>
        <w:pStyle w:val="TextBody"/>
        <w:spacing w:before="120" w:after="0"/>
        <w:jc w:val="left"/>
        <w:rPr>
          <w:rFonts w:ascii="Times New Roman;serif" w:hAnsi="Times New Roman;serif"/>
          <w:b/>
          <w:i/>
          <w:sz w:val="20"/>
        </w:rPr>
      </w:pPr>
      <w:r>
        <w:rPr>
          <w:rFonts w:ascii="Times New Roman;serif" w:hAnsi="Times New Roman;serif"/>
          <w:b/>
          <w:i/>
          <w:sz w:val="20"/>
        </w:rPr>
        <w:t>Total Other Income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Interest income, net primarily consists of interest income generated from our interest-bearing money market accounts and investments.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sz w:val="20"/>
        </w:rPr>
      </w:pPr>
      <w:r>
        <w:rPr>
          <w:rFonts w:ascii="Times New Roman;serif" w:hAnsi="Times New Roman;serif"/>
          <w:b/>
          <w:sz w:val="20"/>
        </w:rPr>
        <w:t>Results of Operations</w:t>
      </w:r>
    </w:p>
    <w:p>
      <w:pPr>
        <w:pStyle w:val="TextBody"/>
        <w:spacing w:before="120" w:after="0"/>
        <w:jc w:val="left"/>
        <w:rPr>
          <w:rFonts w:ascii="Times New Roman;serif" w:hAnsi="Times New Roman;serif"/>
          <w:b/>
          <w:i/>
          <w:sz w:val="20"/>
        </w:rPr>
      </w:pPr>
      <w:r>
        <w:rPr>
          <w:rFonts w:ascii="Times New Roman;serif" w:hAnsi="Times New Roman;serif"/>
          <w:b/>
          <w:i/>
          <w:sz w:val="20"/>
        </w:rPr>
        <w:t>Comparison of the Three Months Ended March 31, 2023 and 2022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summarizes our results of operations (in thousands):</w:t>
      </w:r>
    </w:p>
    <w:p>
      <w:pPr>
        <w:pStyle w:val="TextBody"/>
        <w:spacing w:before="0" w:after="0"/>
        <w:jc w:val="left"/>
        <w:rPr/>
      </w:pPr>
      <w:r>
        <w:rPr/>
        <w:t> </w:t>
      </w:r>
    </w:p>
    <w:tbl>
      <w:tblPr>
        <w:tblW w:w="6382" w:type="dxa"/>
        <w:jc w:val="left"/>
        <w:tblInd w:w="0" w:type="dxa"/>
        <w:tblCellMar>
          <w:top w:w="28" w:type="dxa"/>
          <w:left w:w="28" w:type="dxa"/>
          <w:bottom w:w="28" w:type="dxa"/>
          <w:right w:w="28" w:type="dxa"/>
        </w:tblCellMar>
      </w:tblPr>
      <w:tblGrid>
        <w:gridCol w:w="2311"/>
        <w:gridCol w:w="211"/>
        <w:gridCol w:w="736"/>
        <w:gridCol w:w="166"/>
        <w:gridCol w:w="146"/>
        <w:gridCol w:w="211"/>
        <w:gridCol w:w="736"/>
        <w:gridCol w:w="166"/>
        <w:gridCol w:w="146"/>
        <w:gridCol w:w="211"/>
        <w:gridCol w:w="631"/>
        <w:gridCol w:w="711"/>
      </w:tblGrid>
      <w:tr>
        <w:trPr/>
        <w:tc>
          <w:tcPr>
            <w:tcW w:w="23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before="0" w:after="0"/>
              <w:ind w:left="0" w:right="0" w:hanging="0"/>
              <w:jc w:val="left"/>
              <w:rPr/>
            </w:pPr>
            <w:r>
              <w:rPr/>
              <w:t> </w:t>
            </w:r>
          </w:p>
        </w:tc>
        <w:tc>
          <w:tcPr>
            <w:tcW w:w="2206" w:type="dxa"/>
            <w:gridSpan w:val="6"/>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6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711" w:type="dxa"/>
            <w:tcBorders/>
            <w:shd w:fill="auto" w:val="cle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7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711" w:type="dxa"/>
            <w:tcBorders/>
            <w:shd w:fill="auto" w:val="clear"/>
            <w:vAlign w:val="center"/>
          </w:tcPr>
          <w:p>
            <w:pPr>
              <w:pStyle w:val="TableContents"/>
              <w:spacing w:before="0" w:after="0"/>
              <w:ind w:left="0" w:right="0" w:firstLine="200"/>
              <w:jc w:val="left"/>
              <w:rPr/>
            </w:pPr>
            <w:r>
              <w:rPr/>
              <w:t> </w:t>
            </w:r>
          </w:p>
        </w:tc>
      </w:tr>
      <w:tr>
        <w:trPr/>
        <w:tc>
          <w:tcPr>
            <w:tcW w:w="23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19,516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16,828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2,688</w:t>
            </w:r>
          </w:p>
        </w:tc>
        <w:tc>
          <w:tcPr>
            <w:tcW w:w="711" w:type="dxa"/>
            <w:tcBorders/>
            <w:shd w:fill="auto" w:val="clear"/>
            <w:vAlign w:val="center"/>
          </w:tcPr>
          <w:p>
            <w:pPr>
              <w:pStyle w:val="TableContents"/>
              <w:spacing w:before="0" w:after="0"/>
              <w:ind w:left="0" w:right="0" w:firstLine="200"/>
              <w:jc w:val="left"/>
              <w:rPr/>
            </w:pPr>
            <w:r>
              <w:rPr/>
              <w:t> </w:t>
            </w:r>
          </w:p>
        </w:tc>
      </w:tr>
      <w:tr>
        <w:trPr/>
        <w:tc>
          <w:tcPr>
            <w:tcW w:w="23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6,162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6,430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(268</w:t>
            </w:r>
          </w:p>
        </w:tc>
        <w:tc>
          <w:tcPr>
            <w:tcW w:w="711"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w:t>
            </w:r>
          </w:p>
        </w:tc>
      </w:tr>
      <w:tr>
        <w:trPr/>
        <w:tc>
          <w:tcPr>
            <w:tcW w:w="2311" w:type="dxa"/>
            <w:tcBorders/>
            <w:shd w:fill="auto" w:val="clear"/>
            <w:vAlign w:val="center"/>
          </w:tcPr>
          <w:p>
            <w:pPr>
              <w:pStyle w:val="TableContents"/>
              <w:spacing w:before="0" w:after="0"/>
              <w:ind w:left="5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73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25,678</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73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23,258</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63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2,420</w:t>
            </w:r>
          </w:p>
        </w:tc>
        <w:tc>
          <w:tcPr>
            <w:tcW w:w="7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(25,678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(23,258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(2,420</w:t>
            </w:r>
          </w:p>
        </w:tc>
        <w:tc>
          <w:tcPr>
            <w:tcW w:w="7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11" w:type="dxa"/>
            <w:tcBorders/>
            <w:shd w:fill="auto" w:val="clear"/>
            <w:vAlign w:val="center"/>
          </w:tcPr>
          <w:p>
            <w:pPr>
              <w:pStyle w:val="TableContents"/>
              <w:spacing w:before="0" w:after="283"/>
              <w:ind w:left="0" w:right="0" w:hanging="0"/>
              <w:rPr>
                <w:sz w:val="4"/>
                <w:szCs w:val="4"/>
              </w:rPr>
            </w:pPr>
            <w:r>
              <w:rPr>
                <w:sz w:val="4"/>
                <w:szCs w:val="4"/>
              </w:rPr>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711" w:type="dxa"/>
            <w:tcBorders/>
            <w:shd w:fill="auto" w:val="cle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income</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1,634</w:t>
            </w:r>
          </w:p>
        </w:tc>
        <w:tc>
          <w:tcPr>
            <w:tcW w:w="7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311" w:type="dxa"/>
            <w:tcBorders/>
            <w:shd w:fill="auto" w:val="clear"/>
            <w:vAlign w:val="center"/>
          </w:tcPr>
          <w:p>
            <w:pPr>
              <w:pStyle w:val="TableContents"/>
              <w:spacing w:before="0" w:after="283"/>
              <w:ind w:left="0" w:right="0" w:firstLine="200"/>
              <w:rPr>
                <w:sz w:val="4"/>
                <w:szCs w:val="4"/>
              </w:rPr>
            </w:pPr>
            <w:r>
              <w:rPr>
                <w:sz w:val="4"/>
                <w:szCs w:val="4"/>
              </w:rPr>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711" w:type="dxa"/>
            <w:tcBorders/>
            <w:shd w:fill="auto" w:val="cle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(23,945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(23,159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(786</w:t>
            </w:r>
          </w:p>
        </w:tc>
        <w:tc>
          <w:tcPr>
            <w:tcW w:w="7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120" w:after="0"/>
        <w:jc w:val="left"/>
        <w:rPr>
          <w:rFonts w:ascii="Times New Roman;serif" w:hAnsi="Times New Roman;serif"/>
          <w:b/>
          <w:i/>
          <w:sz w:val="20"/>
        </w:rPr>
      </w:pPr>
      <w:r>
        <w:rPr>
          <w:rFonts w:ascii="Times New Roman;serif" w:hAnsi="Times New Roman;serif"/>
          <w:b/>
          <w:i/>
          <w:sz w:val="20"/>
        </w:rPr>
        <w:t>Research and Development Expenses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Research and development expenses were $19.5 million for the three months ended March 31, 2023, compared to $16.8 million for the same period in 2022, an increase of $2.7 million. The increase was driven by a net increase in external expenses of $2.3 million and higher personnel costs of $0.4 million. The net increase in external expenses was related to the advancement of ORIC-114, ORIC-944 and preclinical and other unallocated costs, offset by a decrease in ORIC-101 costs due to the discontinuation of the program in the first quarter of 2022 and lower ORIC-533 manufacturing expenses.</w:t>
      </w:r>
    </w:p>
    <w:p>
      <w:pPr>
        <w:pStyle w:val="TextBody"/>
        <w:spacing w:before="120" w:after="0"/>
        <w:jc w:val="left"/>
        <w:rPr>
          <w:rFonts w:ascii="Times New Roman" w:hAnsi="Times New Roman"/>
          <w:sz w:val="20"/>
        </w:rPr>
      </w:pPr>
      <w:r>
        <w:rPr>
          <w:rFonts w:ascii="Times New Roman;serif" w:hAnsi="Times New Roman;serif"/>
          <w:b w:val="false"/>
          <w:sz w:val="20"/>
        </w:rPr>
        <w:t>The following table summarizes our external and internal costs for the three months ended March 31, 2023 and 2022 (in thousands):</w:t>
      </w:r>
      <w:r>
        <w:rPr>
          <w:rFonts w:ascii="Times New Roman" w:hAnsi="Times New Roman"/>
          <w:sz w:val="20"/>
        </w:rPr>
        <w:t xml:space="preserve"> </w:t>
      </w:r>
    </w:p>
    <w:p>
      <w:pPr>
        <w:pStyle w:val="TextBody"/>
        <w:spacing w:before="0" w:after="0"/>
        <w:jc w:val="left"/>
        <w:rPr/>
      </w:pPr>
      <w:r>
        <w:rPr/>
        <w:t> </w:t>
      </w:r>
    </w:p>
    <w:tbl>
      <w:tblPr>
        <w:tblW w:w="7287" w:type="dxa"/>
        <w:jc w:val="left"/>
        <w:tblInd w:w="0" w:type="dxa"/>
        <w:tblCellMar>
          <w:top w:w="28" w:type="dxa"/>
          <w:left w:w="28" w:type="dxa"/>
          <w:bottom w:w="28" w:type="dxa"/>
          <w:right w:w="28" w:type="dxa"/>
        </w:tblCellMar>
      </w:tblPr>
      <w:tblGrid>
        <w:gridCol w:w="3496"/>
        <w:gridCol w:w="211"/>
        <w:gridCol w:w="676"/>
        <w:gridCol w:w="146"/>
        <w:gridCol w:w="146"/>
        <w:gridCol w:w="211"/>
        <w:gridCol w:w="676"/>
        <w:gridCol w:w="146"/>
        <w:gridCol w:w="146"/>
        <w:gridCol w:w="211"/>
        <w:gridCol w:w="631"/>
        <w:gridCol w:w="591"/>
      </w:tblGrid>
      <w:tr>
        <w:trPr/>
        <w:tc>
          <w:tcPr>
            <w:tcW w:w="34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3496" w:type="dxa"/>
            <w:tcBorders/>
            <w:shd w:fill="auto" w:val="clear"/>
            <w:vAlign w:val="center"/>
          </w:tcPr>
          <w:p>
            <w:pPr>
              <w:pStyle w:val="TableContents"/>
              <w:spacing w:before="0" w:after="0"/>
              <w:ind w:left="0" w:right="0" w:hanging="0"/>
              <w:jc w:val="center"/>
              <w:rPr/>
            </w:pPr>
            <w:r>
              <w:rPr/>
              <w:t> </w:t>
            </w:r>
          </w:p>
        </w:tc>
        <w:tc>
          <w:tcPr>
            <w:tcW w:w="2066" w:type="dxa"/>
            <w:gridSpan w:val="6"/>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hanging="0"/>
              <w:jc w:val="center"/>
              <w:rPr/>
            </w:pPr>
            <w:r>
              <w:rPr/>
              <w:t> </w:t>
            </w:r>
          </w:p>
        </w:tc>
      </w:tr>
      <w:tr>
        <w:trPr/>
        <w:tc>
          <w:tcPr>
            <w:tcW w:w="349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center"/>
              <w:rPr/>
            </w:pPr>
            <w:r>
              <w:rPr/>
              <w:t> </w:t>
            </w:r>
          </w:p>
        </w:tc>
      </w:tr>
      <w:tr>
        <w:trPr/>
        <w:tc>
          <w:tcPr>
            <w:tcW w:w="349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External costs:</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300"/>
              <w:jc w:val="left"/>
              <w:rPr/>
            </w:pPr>
            <w:r>
              <w:rPr/>
              <w:t> </w:t>
            </w:r>
          </w:p>
        </w:tc>
      </w:tr>
      <w:tr>
        <w:trPr/>
        <w:tc>
          <w:tcPr>
            <w:tcW w:w="349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ORIC-533</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(445</w:t>
            </w:r>
          </w:p>
        </w:tc>
        <w:tc>
          <w:tcPr>
            <w:tcW w:w="591" w:type="dxa"/>
            <w:tcBorders/>
            <w:shd w:fill="auto" w:val="clear"/>
            <w:vAlign w:val="center"/>
          </w:tcPr>
          <w:p>
            <w:pPr>
              <w:pStyle w:val="TableContents"/>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349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ORIC-114</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1,125</w:t>
            </w:r>
          </w:p>
        </w:tc>
        <w:tc>
          <w:tcPr>
            <w:tcW w:w="591" w:type="dxa"/>
            <w:tcBorders/>
            <w:shd w:fill="auto" w:val="clear"/>
            <w:vAlign w:val="center"/>
          </w:tcPr>
          <w:p>
            <w:pPr>
              <w:pStyle w:val="TableContents"/>
              <w:spacing w:before="0" w:after="0"/>
              <w:ind w:left="0" w:right="0" w:firstLine="300"/>
              <w:jc w:val="left"/>
              <w:rPr/>
            </w:pPr>
            <w:r>
              <w:rPr/>
              <w:t> </w:t>
            </w:r>
          </w:p>
        </w:tc>
      </w:tr>
      <w:tr>
        <w:trPr/>
        <w:tc>
          <w:tcPr>
            <w:tcW w:w="349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ORIC-944</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1,553</w:t>
            </w:r>
          </w:p>
        </w:tc>
        <w:tc>
          <w:tcPr>
            <w:tcW w:w="591" w:type="dxa"/>
            <w:tcBorders/>
            <w:shd w:fill="auto" w:val="clear"/>
            <w:vAlign w:val="center"/>
          </w:tcPr>
          <w:p>
            <w:pPr>
              <w:pStyle w:val="TableContents"/>
              <w:spacing w:before="0" w:after="0"/>
              <w:ind w:left="0" w:right="0" w:firstLine="300"/>
              <w:jc w:val="left"/>
              <w:rPr/>
            </w:pPr>
            <w:r>
              <w:rPr/>
              <w:t> </w:t>
            </w:r>
          </w:p>
        </w:tc>
      </w:tr>
      <w:tr>
        <w:trPr/>
        <w:tc>
          <w:tcPr>
            <w:tcW w:w="349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ORIC-101 (discontinued)</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(1,220</w:t>
            </w:r>
          </w:p>
        </w:tc>
        <w:tc>
          <w:tcPr>
            <w:tcW w:w="591" w:type="dxa"/>
            <w:tcBorders/>
            <w:shd w:fill="auto" w:val="clear"/>
            <w:vAlign w:val="center"/>
          </w:tcPr>
          <w:p>
            <w:pPr>
              <w:pStyle w:val="TableContents"/>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349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Preclinical and other unallocated costs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6,270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4,959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349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external costs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13,791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11,467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2,324</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349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Internal costs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5,725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5,361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364</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349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research and development expenses</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19,516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16,828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2,688</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We expect our research and development expenses to increase substantially for the foreseeable future as we continue to invest in research and development activities related to developing our product candidates, including investments in manufacturing, as our programs advance into later stages of development and as we conduct additional clinical trials.</w:t>
      </w:r>
      <w:r>
        <w:rPr>
          <w:rFonts w:ascii="Times New Roman" w:hAnsi="Times New Roman"/>
          <w:sz w:val="20"/>
        </w:rPr>
        <w:t xml:space="preserve"> </w:t>
      </w:r>
    </w:p>
    <w:p>
      <w:pPr>
        <w:pStyle w:val="TextBody"/>
        <w:spacing w:before="120" w:after="0"/>
        <w:jc w:val="left"/>
        <w:rPr>
          <w:rFonts w:ascii="Times New Roman;serif" w:hAnsi="Times New Roman;serif"/>
          <w:b/>
          <w:i/>
          <w:sz w:val="20"/>
        </w:rPr>
      </w:pPr>
      <w:r>
        <w:rPr>
          <w:rFonts w:ascii="Times New Roman;serif" w:hAnsi="Times New Roman;serif"/>
          <w:b/>
          <w:i/>
          <w:sz w:val="20"/>
        </w:rPr>
        <w:t>General and Administrative Expenses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were $6.2 million for the three months ended March 31, 2023, relatively consistent with $6.4 million for the same period in 2022.</w:t>
      </w:r>
    </w:p>
    <w:p>
      <w:pPr>
        <w:pStyle w:val="TextBody"/>
        <w:spacing w:before="120" w:after="0"/>
        <w:jc w:val="left"/>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Sources of Liquidity</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December 21, 2022, we entered into a securities purchase agreement with Pfizer pursuant to which we sold 5,376,344 shares of our common stock at a price of $4.65 per share to Pfizer for gross proceeds of $25.0 million. We sold the shares to Pfizer in a registered direct offering conducted without an underwriter or placement agent and pursuant to an effective shelf registration statement. The transaction closed on December 23, 2022.</w:t>
      </w:r>
    </w:p>
    <w:p>
      <w:pPr>
        <w:pStyle w:val="TextBody"/>
        <w:spacing w:before="120" w:after="0"/>
        <w:jc w:val="left"/>
        <w:rPr>
          <w:rFonts w:ascii="Times New Roman" w:hAnsi="Times New Roman"/>
          <w:sz w:val="20"/>
        </w:rPr>
      </w:pPr>
      <w:r>
        <w:rPr>
          <w:rFonts w:ascii="Times New Roman;serif" w:hAnsi="Times New Roman;serif"/>
          <w:b w:val="false"/>
          <w:sz w:val="20"/>
        </w:rPr>
        <w:t>On May 6, 2021, we entered into an ATM sales agreement with Jefferies LLC as our sales agent, under which we may offer and sell from time to time up to $150 million of our common stock in negotiated transactions or transactions that are deemed to be an ATM offering. On July 8, 2021, we raised gross proceeds of $50.0 million, before deducting commissions and other offering</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expenses, through the sale of 2,597,402 shares in an ATM offering, with participation based on unsolicited interest received from a healthcare specialist fund. We sold such shares at a purchase price per share of $19.25, a premium to the market price at the time of sale.</w:t>
      </w:r>
    </w:p>
    <w:p>
      <w:pPr>
        <w:pStyle w:val="TextBody"/>
        <w:spacing w:before="120" w:after="0"/>
        <w:jc w:val="left"/>
        <w:rPr>
          <w:rFonts w:ascii="Times New Roman" w:hAnsi="Times New Roman"/>
          <w:sz w:val="20"/>
        </w:rPr>
      </w:pPr>
      <w:r>
        <w:rPr>
          <w:rFonts w:ascii="Times New Roman;serif" w:hAnsi="Times New Roman;serif"/>
          <w:b/>
          <w:i/>
          <w:sz w:val="20"/>
        </w:rPr>
        <w:t>Future Funding Requirements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To date, we have not generated any revenue. We do not expect to generate any meaningful revenue unless and until we obtain regulatory approval of and commercialize any of our product candidates, and we do not know when, or if at all, that will occur. We will continue to require substantial additional capital to develop our product candidates and fund operations for the foreseeable future. Moreover, we expect our expenses to increase in connection with our ongoing activities, particularly as we continue the development of and seek regulatory approvals for our product candidates. Further, we are subject to all the risks incident in the development of new pharmaceutical products, and we may encounter unforeseen expenses, difficulties, complications, delays and other unknown factors that may harm our business. Our expenses will increase if, and as, we: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advance our product candidates through preclinical and clinical development;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seek regulatory approvals for any product candidates that successfully complete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seek to discover and develop additional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establish a sales, marketing, medical affairs and distribution infrastructure to commercialize any product candidates for which we may obtain marketing approval and intend to commercialize on our own or jointly;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expand our operational, financial and management systems and increase personnel, including personnel to support our development, manufacturing and commercialization efforts and our operations as a public company;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maintain, expand, protect and enforce our intellectual property portfolio;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acquire or in-license other product candidates and technologies.</w:t>
      </w:r>
    </w:p>
    <w:p>
      <w:pPr>
        <w:pStyle w:val="TextBody"/>
        <w:spacing w:before="120" w:after="0"/>
        <w:jc w:val="left"/>
        <w:rPr>
          <w:rFonts w:ascii="Times New Roman" w:hAnsi="Times New Roman"/>
          <w:sz w:val="20"/>
        </w:rPr>
      </w:pPr>
      <w:r>
        <w:rPr>
          <w:rFonts w:ascii="Times New Roman;serif" w:hAnsi="Times New Roman;serif"/>
          <w:b w:val="false"/>
          <w:sz w:val="20"/>
        </w:rPr>
        <w:t>We expect our current cash, cash equivalents and investments will be sufficient to fund our current operating plan into the first half of 2025. However, our forecast of the period of time through which our financial resources will be adequate to support our operations is a forward-looking statement that involves risks and uncertainties, and actual results could vary materially. In order to complete the development of our product candidates and to build the sales, marketing and distribution infrastructure that we believe will be necessary to commercialize our product candidates, if approved, we will require substantial additional funding. Until we can generate a sufficient amount of revenue from the commercialization of our product candidates, we may seek to raise any necessary additional capital through the sale of equity, debt financings or other capital sources, which could include income from collaborations, strategic partnerships or marketing, distribution or licensing arrangements with third parties or from grants.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collaborations, strategic partnerships and other similar arrangements with third parties, we may be required to grant rights to develop and market product candidates that we would otherwise prefer to develop and market ourselves. We may be unable to raise additional funds or to enter into such agreements or arrangements on favorable terms, or at all. If we are unable to raise additional funds when needed, we may be required to delay, reduce or eliminate our product development or future commercialization efforts.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based our projections of operating capital requirements on our current operating plan, which is based on several assumptions that may prove to be incorrect and we may use all of our available capital resources sooner than we expect. Because of the numerous risks and uncertainties associated with research, development and commercialization of product candidates, we are unable to estimate the exact amount and timing of our working capital requirements. Our future funding requirements will depend on many factors, including:</w:t>
      </w:r>
    </w:p>
    <w:p>
      <w:pPr>
        <w:pStyle w:val="TextBody"/>
        <w:spacing w:before="0" w:after="0"/>
        <w:jc w:val="left"/>
        <w:rPr/>
      </w:pPr>
      <w:r>
        <w:rPr/>
        <w:t> </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scope, progress, results and costs of researching and developing our product candidates, and conducting preclinical studies and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costs, timing and outcome of regulatory review of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costs of future activities, including product sales, medical affairs, marketing, manufacturing and distribution, for any of our product candidates for which we receive marketing approval;</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costs of manufacturing commercial-grade products and sufficient inventory to support commercial launch;</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revenue, if any, received from commercial sale of our products, should any of our product candidates receive marketing approval;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 and timing of hiring new employees to support our continued growth;</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costs of preparing, filing and prosecuting patent applications, maintaining and enforcing our intellectual property rights and defending intellectual property-related claims;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ability to establish and maintain collaborations on favorable terms, if at all;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extent to which we acquire or in-license other product candidates and technologies;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timing, receipt and amount of sales of, or milestone payments related to or royalties on, our current or future product candidates, if any.</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 change in the outcome of any of these or other factors with respect to the development of any of our product candidates could significantly change the costs and timing associated with the development of that product candidate. Furthermore, our operating plan may change in the future, and we may need additional funds to meet operational needs and capital requirements associated with such operating plan.</w:t>
      </w:r>
    </w:p>
    <w:p>
      <w:pPr>
        <w:pStyle w:val="TextBody"/>
        <w:spacing w:before="120" w:after="0"/>
        <w:jc w:val="left"/>
        <w:rPr>
          <w:rFonts w:ascii="Times New Roman" w:hAnsi="Times New Roman"/>
          <w:sz w:val="20"/>
        </w:rPr>
      </w:pPr>
      <w:r>
        <w:rPr>
          <w:rFonts w:ascii="Times New Roman;serif" w:hAnsi="Times New Roman;serif"/>
          <w:b/>
          <w:i/>
          <w:sz w:val="20"/>
        </w:rPr>
        <w:t>Cash Flows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summarizes the sources and uses of our cash (in thousands):</w:t>
      </w:r>
    </w:p>
    <w:p>
      <w:pPr>
        <w:pStyle w:val="TextBody"/>
        <w:spacing w:before="0" w:after="0"/>
        <w:jc w:val="left"/>
        <w:rPr/>
      </w:pPr>
      <w:r>
        <w:rPr/>
        <w:t> </w:t>
      </w:r>
    </w:p>
    <w:tbl>
      <w:tblPr>
        <w:tblW w:w="7676" w:type="dxa"/>
        <w:jc w:val="left"/>
        <w:tblInd w:w="0" w:type="dxa"/>
        <w:tblCellMar>
          <w:top w:w="28" w:type="dxa"/>
          <w:left w:w="28" w:type="dxa"/>
          <w:bottom w:w="28" w:type="dxa"/>
          <w:right w:w="28" w:type="dxa"/>
        </w:tblCellMar>
      </w:tblPr>
      <w:tblGrid>
        <w:gridCol w:w="4741"/>
        <w:gridCol w:w="146"/>
        <w:gridCol w:w="219"/>
        <w:gridCol w:w="764"/>
        <w:gridCol w:w="172"/>
        <w:gridCol w:w="151"/>
        <w:gridCol w:w="219"/>
        <w:gridCol w:w="873"/>
        <w:gridCol w:w="391"/>
      </w:tblGrid>
      <w:tr>
        <w:trPr/>
        <w:tc>
          <w:tcPr>
            <w:tcW w:w="4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7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91"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8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0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(20,628</w:t>
            </w:r>
          </w:p>
        </w:tc>
        <w:tc>
          <w:tcPr>
            <w:tcW w:w="1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(22,718</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12,778</w:t>
            </w:r>
          </w:p>
        </w:tc>
        <w:tc>
          <w:tcPr>
            <w:tcW w:w="172"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(90,660</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7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decrease in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(7,850</w:t>
            </w:r>
          </w:p>
        </w:tc>
        <w:tc>
          <w:tcPr>
            <w:tcW w:w="1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shd w:fill="auto" w:val="clear"/>
            <w:vAlign w:val="center"/>
          </w:tcPr>
          <w:p>
            <w:pPr>
              <w:pStyle w:val="TableContents"/>
              <w:spacing w:before="0" w:after="0"/>
              <w:ind w:left="0" w:right="0" w:hanging="0"/>
              <w:jc w:val="left"/>
              <w:rPr/>
            </w:pPr>
            <w:r>
              <w:rPr/>
              <w:t> </w:t>
            </w:r>
          </w:p>
        </w:tc>
        <w:tc>
          <w:tcPr>
            <w:tcW w:w="2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(113,362</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Operating Activities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Net cash used in operating activities during the three months ended March 31, 2023, of $20.6 million was attributable to our net loss of $23.9 million, offset by a $0.3 million net increase from working capital and non-cash expenses of $3.0 million, which were primarily driven by stock-based compensation.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Net cash used in operating activities during the three months ended March 31, 2022, of $22.7 million was attributable to our net loss of $23.2 million and a $3.8 million net decrease in working capital primarily related to a decrease in accrued compensation, offset by non-cash expenses of $4.2 million, which were primarily driven by stock-based compensation.</w:t>
      </w:r>
    </w:p>
    <w:p>
      <w:pPr>
        <w:pStyle w:val="TextBody"/>
        <w:spacing w:before="120" w:after="0"/>
        <w:jc w:val="left"/>
        <w:rPr>
          <w:rFonts w:ascii="Times New Roman;serif" w:hAnsi="Times New Roman;serif"/>
          <w:b/>
          <w:i/>
          <w:sz w:val="20"/>
        </w:rPr>
      </w:pPr>
      <w:r>
        <w:rPr>
          <w:rFonts w:ascii="Times New Roman;serif" w:hAnsi="Times New Roman;serif"/>
          <w:b/>
          <w:i/>
          <w:sz w:val="20"/>
        </w:rPr>
        <w:t>Investing Activities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Net cash provided by investing activities during the three months ended March 31, 2023, of $12.8 million was primarily attributable to maturities of investments, net of purchases.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Net cash used in investing activities during the three months ended March 31, 2022, of $90.7 million was primarily attributable to purchases of investments, net of maturities.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i/>
          <w:sz w:val="20"/>
        </w:rPr>
        <w:t>Financing Activities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was no cash provided by or used in financing activities during the three months ended March 31, 2023.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Net cash provided by financing activities during the three months ended March 31, 2022, was less than $0.1 million and consisted of net proceeds received from stock option exercises.</w:t>
      </w:r>
    </w:p>
    <w:p>
      <w:pPr>
        <w:pStyle w:val="TextBody"/>
        <w:spacing w:before="120" w:after="0"/>
        <w:jc w:val="left"/>
        <w:rPr>
          <w:rFonts w:ascii="Times New Roman;serif" w:hAnsi="Times New Roman;serif"/>
          <w:b/>
          <w:i/>
          <w:sz w:val="20"/>
        </w:rPr>
      </w:pPr>
      <w:r>
        <w:rPr>
          <w:rFonts w:ascii="Times New Roman;serif" w:hAnsi="Times New Roman;serif"/>
          <w:b/>
          <w:i/>
          <w:sz w:val="20"/>
        </w:rPr>
        <w:t>Critical Accounting Policies and Significant Judgements and Estimates</w:t>
      </w:r>
    </w:p>
    <w:p>
      <w:pPr>
        <w:pStyle w:val="TextBody"/>
        <w:spacing w:before="120" w:after="0"/>
        <w:jc w:val="left"/>
        <w:rPr>
          <w:rFonts w:ascii="Times New Roman" w:hAnsi="Times New Roman"/>
          <w:sz w:val="20"/>
        </w:rPr>
      </w:pPr>
      <w:r>
        <w:rPr>
          <w:rFonts w:ascii="Times New Roman;serif" w:hAnsi="Times New Roman;serif"/>
          <w:b w:val="false"/>
          <w:sz w:val="20"/>
        </w:rPr>
        <w:t>Our management’s discussion and analysis of our financial condition and results of operations are based on our financial statements, which have been prepared in accordance with generally accepted accounting principles in the United States (US GAAP). The preparation of these financial statements in conformity with US GAAP requires management to make estimates and assumptions that impact the reported amounts of assets, liabilities, expenses, and the disclosure of contingent assets and liabilities in our financial statements and accompanying notes.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Actual results may differ materially from these estimates under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different assumptions or conditions. There have been no significant changes in our critical accounting policies as discussed in our Annual Report on Form 10-K for the year ended December 31, 2022.</w:t>
      </w:r>
      <w:r>
        <w:rPr>
          <w:rFonts w:ascii="Times New Roman" w:hAnsi="Times New Roman"/>
          <w:sz w:val="20"/>
        </w:rPr>
        <w:t xml:space="preserve"> </w:t>
      </w:r>
    </w:p>
    <w:p>
      <w:pPr>
        <w:pStyle w:val="TextBody"/>
        <w:spacing w:before="120" w:after="0"/>
        <w:jc w:val="left"/>
        <w:rPr>
          <w:rFonts w:ascii="Times New Roman;serif" w:hAnsi="Times New Roman;serif"/>
          <w:b/>
          <w:i/>
          <w:sz w:val="20"/>
        </w:rPr>
      </w:pPr>
      <w:r>
        <w:rPr>
          <w:rFonts w:ascii="Times New Roman;serif" w:hAnsi="Times New Roman;serif"/>
          <w:b/>
          <w:i/>
          <w:sz w:val="20"/>
        </w:rPr>
        <w:t>Emerging Growth Company and Smaller Reporting Company Status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Section 107 of the JOBS Act permits an “emerging growth company” such as us to take advantage of an extended transition time to comply with new or revised accounting standards as applicable to public companies. Thus, an emerging growth company can delay the adoption of certain accounting standards until those standards would otherwise apply to private companies. We have elected not to use the extended transition, which election is irrevocable. As a result, our financial statements may not be comparable to other emerging growth companies that elect to take advantage of the extended transition period.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will remain an emerging growth company until the earliest to occur of: (1) the last day of the fiscal year in which we have more than $1.235 billion in annual revenue; (2) the date we qualify as a “large accelerated filer,” with at least $700.0 million of equity securities held by non-affiliates; (3) the date on which we have issued more than $1.0 billion in non-convertible debt securities during the prior three-year period; and (4) December 31, 2025.</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also a smaller reporting company as defined in the Securities Exchange Act of 1934, as amended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spacing w:before="120" w:after="0"/>
        <w:jc w:val="left"/>
        <w:rPr>
          <w:rFonts w:ascii="Times New Roman;serif" w:hAnsi="Times New Roman;serif"/>
          <w:b/>
          <w:sz w:val="20"/>
        </w:rPr>
      </w:pPr>
      <w:bookmarkStart w:id="13" w:name="item_7a_quantitative_qualitative_disclos"/>
      <w:bookmarkEnd w:id="13"/>
      <w:r>
        <w:rPr>
          <w:rFonts w:ascii="Times New Roman;serif" w:hAnsi="Times New Roman;serif"/>
          <w:b/>
          <w:sz w:val="20"/>
        </w:rPr>
        <w:t>Item 3. Quantitative and Qualitative Disclosures About Market Risk.</w:t>
      </w:r>
    </w:p>
    <w:p>
      <w:pPr>
        <w:pStyle w:val="TextBody"/>
        <w:spacing w:before="120" w:after="0"/>
        <w:jc w:val="left"/>
        <w:rPr>
          <w:rFonts w:ascii="Times New Roman;serif" w:hAnsi="Times New Roman;serif"/>
          <w:b/>
          <w:i/>
          <w:sz w:val="20"/>
        </w:rPr>
      </w:pPr>
      <w:r>
        <w:rPr>
          <w:rFonts w:ascii="Times New Roman;serif" w:hAnsi="Times New Roman;serif"/>
          <w:b/>
          <w:i/>
          <w:sz w:val="20"/>
        </w:rPr>
        <w:t>Interest Rate Risk</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primary objective of our investment activities is to preserve principal and liquidity while at the same time maximizing the income we receive without significantly increasing risk. To achieve this objective, we may invest in money market funds, U.S. Treasury notes, and high-quality marketable debt instruments of corporations and government sponsored enterprises with contractual maturity dates of generally less than two years, in accordance with an investment policy approved by our audit committee. Some of the financial instruments that we invest in could be subject to market risk, meaning that a change in prevailing interest rates may cause the value of the instruments to fluctuate. For example, if we purchase a security that was issued with a fixed interest rate and the prevailing interest rate later rises, the value of that security will probably decline. To minimize this risk, we intend to maintain a portfolio which may include a variety of securities, including money market funds, government debt securities, certificates of deposit and commercial paper, all with various maturity dates. As of March 31, 2023, we had cash equivalents and investments of $208.9 million, consisting of interest-bearing money market funds, certificates of deposit, securities issued by the U.S. Treasury and marketable debt instruments of government-sponsored enterprises. Due to the nature of our cash equivalents and investments, an immediate 100 basis point change in interest rates would not have a material effect on their fair market value.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Inflation generally affects us by increasing our cost of labor, clinical trial and manufacturing costs. We do not believe that inflation, interest rate changes or exchange rate fluctuations had a significant impact on our results of operations for any periods presented herein.</w:t>
      </w:r>
    </w:p>
    <w:p>
      <w:pPr>
        <w:pStyle w:val="TextBody"/>
        <w:spacing w:before="120" w:after="0"/>
        <w:jc w:val="left"/>
        <w:rPr>
          <w:rFonts w:ascii="Times New Roman" w:hAnsi="Times New Roman"/>
          <w:sz w:val="20"/>
        </w:rPr>
      </w:pPr>
      <w:bookmarkStart w:id="14" w:name="item_9a_controls_procedures"/>
      <w:bookmarkEnd w:id="14"/>
      <w:r>
        <w:rPr>
          <w:rFonts w:ascii="Times New Roman;serif" w:hAnsi="Times New Roman;serif"/>
          <w:b/>
          <w:sz w:val="20"/>
        </w:rPr>
        <w:t>Item 4. Controls</w:t>
      </w:r>
      <w:r>
        <w:rPr>
          <w:rFonts w:ascii="Times New Roman" w:hAnsi="Times New Roman"/>
          <w:sz w:val="20"/>
        </w:rPr>
        <w:t xml:space="preserve"> </w:t>
      </w:r>
      <w:r>
        <w:rPr>
          <w:rFonts w:ascii="Times New Roman;serif" w:hAnsi="Times New Roman;serif"/>
          <w:b/>
          <w:sz w:val="20"/>
        </w:rPr>
        <w:t>and Procedures.</w:t>
      </w:r>
      <w:r>
        <w:rPr>
          <w:rFonts w:ascii="Times New Roman" w:hAnsi="Times New Roman"/>
          <w:sz w:val="20"/>
        </w:rPr>
        <w:t xml:space="preserve"> </w:t>
      </w:r>
    </w:p>
    <w:p>
      <w:pPr>
        <w:pStyle w:val="TextBody"/>
        <w:spacing w:before="120" w:after="0"/>
        <w:jc w:val="left"/>
        <w:rPr>
          <w:rFonts w:ascii="Times New Roman;serif" w:hAnsi="Times New Roman;serif"/>
          <w:b/>
          <w:i/>
          <w:sz w:val="20"/>
        </w:rPr>
      </w:pPr>
      <w:r>
        <w:rPr>
          <w:rFonts w:ascii="Times New Roman;serif" w:hAnsi="Times New Roman;serif"/>
          <w:b/>
          <w:i/>
          <w:sz w:val="20"/>
        </w:rPr>
        <w:t>Evaluation of Disclosure Controls and Procedures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maintain disclosure controls and procedures that are designed to ensure that information required to be disclosed in our reports filed or submitted under the Exchange Act is recorded, processed, summarized and reported within the time period specified in the SEC's rules and forms, and that such information is accumulated and communicated to management including our Chief Executive Officer and Chief Financial Officer, as appropriate, to allow timely decisions regarding required disclosure. As of March 31, 2023,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Based upon that evaluation, our Chief Executive Officer and Chief Financial Officer concluded that our disclosure controls and procedures were effective at a reasonable assurance level as of March 31, 2023.</w:t>
      </w:r>
    </w:p>
    <w:p>
      <w:pPr>
        <w:pStyle w:val="TextBody"/>
        <w:spacing w:before="120" w:after="0"/>
        <w:jc w:val="left"/>
        <w:rPr>
          <w:rFonts w:ascii="Times New Roman" w:hAnsi="Times New Roman"/>
          <w:sz w:val="20"/>
        </w:rPr>
      </w:pPr>
      <w:r>
        <w:rPr>
          <w:rFonts w:ascii="Times New Roman;serif" w:hAnsi="Times New Roman;serif"/>
          <w:b/>
          <w:i/>
          <w:sz w:val="20"/>
        </w:rPr>
        <w:t>Changes in Internal Control over Financial Reporting</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were no changes in our internal control over financial reporting identified in connection with the evaluation required by Rule 13a-15(d) and 15d-15(d) of the Exchange Act that occurred during the quarter ended March 31, 2023 that have materially affected, or are reasonably likely to materially affect, our internal control over financial reporting.</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15" w:name="part_ii_other_information"/>
      <w:bookmarkEnd w:id="15"/>
      <w:r>
        <w:rPr>
          <w:rFonts w:ascii="Times New Roman;serif" w:hAnsi="Times New Roman;serif"/>
          <w:b/>
          <w:sz w:val="20"/>
        </w:rPr>
        <w:t>PART II</w:t>
      </w:r>
      <w:r>
        <w:rPr>
          <w:rFonts w:ascii="Times New Roman" w:hAnsi="Times New Roman"/>
          <w:sz w:val="20"/>
        </w:rPr>
        <w:t>—</w:t>
      </w:r>
      <w:r>
        <w:rPr>
          <w:rFonts w:ascii="Times New Roman;serif" w:hAnsi="Times New Roman;serif"/>
          <w:b/>
          <w:sz w:val="20"/>
        </w:rPr>
        <w:t>OTHER INFORMATION</w:t>
      </w:r>
    </w:p>
    <w:p>
      <w:pPr>
        <w:pStyle w:val="TextBody"/>
        <w:spacing w:before="0" w:after="0"/>
        <w:jc w:val="left"/>
        <w:rPr/>
      </w:pPr>
      <w:r>
        <w:rPr/>
        <w:t> </w:t>
      </w:r>
    </w:p>
    <w:p>
      <w:pPr>
        <w:pStyle w:val="TextBody"/>
        <w:spacing w:before="0" w:after="0"/>
        <w:jc w:val="left"/>
        <w:rPr>
          <w:rFonts w:ascii="Times New Roman" w:hAnsi="Times New Roman"/>
          <w:sz w:val="20"/>
        </w:rPr>
      </w:pPr>
      <w:bookmarkStart w:id="16" w:name="item_1_legal_proceedings"/>
      <w:bookmarkEnd w:id="16"/>
      <w:r>
        <w:rPr>
          <w:rFonts w:ascii="Times New Roman;serif" w:hAnsi="Times New Roman;serif"/>
          <w:b/>
          <w:sz w:val="20"/>
        </w:rPr>
        <w:t>Item 1. Legal Proceedings.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From time to time, we may become involved in litigation or other legal proceedings arising in the ordinary course of our business. We are not currently a party to any material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reputational harm and other factors.</w:t>
      </w:r>
      <w:r>
        <w:rPr>
          <w:rFonts w:ascii="Times New Roman" w:hAnsi="Times New Roman"/>
          <w:sz w:val="20"/>
        </w:rPr>
        <w:t xml:space="preserve"> </w:t>
      </w:r>
    </w:p>
    <w:p>
      <w:pPr>
        <w:pStyle w:val="TextBody"/>
        <w:spacing w:before="120" w:after="0"/>
        <w:jc w:val="left"/>
        <w:rPr>
          <w:rFonts w:ascii="Times New Roman;serif" w:hAnsi="Times New Roman;serif"/>
          <w:b/>
          <w:sz w:val="20"/>
        </w:rPr>
      </w:pPr>
      <w:bookmarkStart w:id="17" w:name="item_1a_risk_factors"/>
      <w:bookmarkEnd w:id="17"/>
      <w:r>
        <w:rPr>
          <w:rFonts w:ascii="Times New Roman;serif" w:hAnsi="Times New Roman;serif"/>
          <w:b/>
          <w:sz w:val="20"/>
        </w:rPr>
        <w:t>Item 1A. Risk Factors.</w:t>
      </w:r>
    </w:p>
    <w:p>
      <w:pPr>
        <w:pStyle w:val="TextBody"/>
        <w:spacing w:before="120" w:after="0"/>
        <w:jc w:val="left"/>
        <w:rPr>
          <w:rFonts w:ascii="Times New Roman;serif" w:hAnsi="Times New Roman;serif"/>
          <w:b/>
          <w:sz w:val="20"/>
        </w:rPr>
      </w:pPr>
      <w:r>
        <w:rPr>
          <w:rFonts w:ascii="Times New Roman;serif" w:hAnsi="Times New Roman;serif"/>
          <w:b/>
          <w:sz w:val="20"/>
        </w:rPr>
        <w:t>Risk factors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You should carefully consider the risks described below, as well as the other information in this quarterly report on Form 10-Q, including our financial statements and related notes and the section titled “Management’s Discussion and Analysis of Financial Condition and Results of Operations,”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Additional risks and uncertainties not presently known to us or that we currently deem immaterial also may impair our business operations and the market price of our common stock.</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Risk factor summary</w:t>
      </w:r>
    </w:p>
    <w:p>
      <w:pPr>
        <w:pStyle w:val="TextBody"/>
        <w:spacing w:before="0" w:after="0"/>
        <w:jc w:val="left"/>
        <w:rPr/>
      </w:pPr>
      <w:r>
        <w:rPr/>
        <w:t> </w:t>
      </w:r>
    </w:p>
    <w:p>
      <w:pPr>
        <w:pStyle w:val="TextBody"/>
        <w:spacing w:before="0" w:after="0"/>
        <w:jc w:val="both"/>
        <w:rPr>
          <w:rFonts w:ascii="Times New Roman;serif" w:hAnsi="Times New Roman;serif"/>
          <w:b w:val="false"/>
          <w:i/>
          <w:sz w:val="20"/>
        </w:rPr>
      </w:pPr>
      <w:r>
        <w:rPr>
          <w:rFonts w:ascii="Times New Roman;serif" w:hAnsi="Times New Roman;serif"/>
          <w:b w:val="false"/>
          <w:i/>
          <w:sz w:val="20"/>
        </w:rPr>
        <w:t>The following summarizes the most material risks that make an investment in our securities risky or speculative. If any of the following risks occur or persist, our business, financial condition, results of operations and prospects could be materially harmed and the market price of our common stock could significantly decline:</w:t>
      </w:r>
    </w:p>
    <w:p>
      <w:pPr>
        <w:pStyle w:val="TextBody"/>
        <w:spacing w:before="0" w:after="0"/>
        <w:jc w:val="both"/>
        <w:rPr/>
      </w:pPr>
      <w:r>
        <w:rPr/>
        <w:t> </w:t>
      </w:r>
    </w:p>
    <w:p>
      <w:pPr>
        <w:pStyle w:val="TextBody"/>
        <w:spacing w:before="0" w:after="0"/>
        <w:jc w:val="left"/>
        <w:rPr>
          <w:rFonts w:ascii="Times New Roman" w:hAnsi="Times New Roman"/>
          <w:sz w:val="20"/>
        </w:rPr>
      </w:pPr>
      <w:r>
        <w:rPr>
          <w:rFonts w:ascii="Times New Roman;serif" w:hAnsi="Times New Roman;serif"/>
          <w:b/>
          <w:sz w:val="20"/>
        </w:rPr>
        <w:t>Risks related to our financial position and need for additional capital</w:t>
      </w:r>
      <w:r>
        <w:rPr>
          <w:rFonts w:ascii="Times New Roman" w:hAnsi="Times New Roman"/>
          <w:sz w:val="20"/>
        </w:rPr>
        <w:t xml:space="preserve"> </w:t>
      </w:r>
    </w:p>
    <w:p>
      <w:pPr>
        <w:pStyle w:val="TextBody"/>
        <w:spacing w:before="20" w:after="0"/>
        <w:jc w:val="left"/>
        <w:rPr/>
      </w:pPr>
      <w:r>
        <w:rPr/>
        <w:t>•</w:t>
      </w:r>
    </w:p>
    <w:p>
      <w:pPr>
        <w:pStyle w:val="TextBody"/>
        <w:spacing w:before="20" w:after="0"/>
        <w:jc w:val="left"/>
        <w:rPr>
          <w:rFonts w:ascii="Times New Roman;serif" w:hAnsi="Times New Roman;serif"/>
          <w:b w:val="false"/>
          <w:sz w:val="20"/>
        </w:rPr>
      </w:pPr>
      <w:r>
        <w:rPr>
          <w:rFonts w:ascii="Times New Roman;serif" w:hAnsi="Times New Roman;serif"/>
          <w:b w:val="false"/>
          <w:sz w:val="20"/>
        </w:rPr>
        <w:t>our limited operating history;</w:t>
      </w:r>
    </w:p>
    <w:p>
      <w:pPr>
        <w:pStyle w:val="TextBody"/>
        <w:spacing w:before="20" w:after="0"/>
        <w:jc w:val="left"/>
        <w:rPr/>
      </w:pPr>
      <w:r>
        <w:rPr/>
        <w:t>•</w:t>
      </w:r>
    </w:p>
    <w:p>
      <w:pPr>
        <w:pStyle w:val="TextBody"/>
        <w:spacing w:before="20" w:after="0"/>
        <w:jc w:val="left"/>
        <w:rPr>
          <w:rFonts w:ascii="Times New Roman;serif" w:hAnsi="Times New Roman;serif"/>
          <w:b w:val="false"/>
          <w:sz w:val="20"/>
        </w:rPr>
      </w:pPr>
      <w:r>
        <w:rPr>
          <w:rFonts w:ascii="Times New Roman;serif" w:hAnsi="Times New Roman;serif"/>
          <w:b w:val="false"/>
          <w:sz w:val="20"/>
        </w:rPr>
        <w:t>our past and anticipated future net losses;</w:t>
      </w:r>
    </w:p>
    <w:p>
      <w:pPr>
        <w:pStyle w:val="TextBody"/>
        <w:spacing w:before="20" w:after="0"/>
        <w:jc w:val="left"/>
        <w:rPr/>
      </w:pPr>
      <w:r>
        <w:rPr/>
        <w:t>•</w:t>
      </w:r>
    </w:p>
    <w:p>
      <w:pPr>
        <w:pStyle w:val="TextBody"/>
        <w:spacing w:before="20" w:after="0"/>
        <w:jc w:val="left"/>
        <w:rPr>
          <w:rFonts w:ascii="Times New Roman;serif" w:hAnsi="Times New Roman;serif"/>
          <w:b w:val="false"/>
          <w:sz w:val="20"/>
        </w:rPr>
      </w:pPr>
      <w:r>
        <w:rPr>
          <w:rFonts w:ascii="Times New Roman;serif" w:hAnsi="Times New Roman;serif"/>
          <w:b w:val="false"/>
          <w:sz w:val="20"/>
        </w:rPr>
        <w:t>uncertainty related to our ability to generate revenue and achieve profitability; and</w:t>
      </w:r>
    </w:p>
    <w:p>
      <w:pPr>
        <w:pStyle w:val="TextBody"/>
        <w:spacing w:before="20" w:after="0"/>
        <w:jc w:val="left"/>
        <w:rPr/>
      </w:pPr>
      <w:r>
        <w:rPr/>
        <w:t>•</w:t>
      </w:r>
    </w:p>
    <w:p>
      <w:pPr>
        <w:pStyle w:val="TextBody"/>
        <w:spacing w:before="20" w:after="283"/>
        <w:jc w:val="left"/>
        <w:rPr>
          <w:rFonts w:ascii="Times New Roman;serif" w:hAnsi="Times New Roman;serif"/>
          <w:b w:val="false"/>
          <w:sz w:val="20"/>
        </w:rPr>
      </w:pPr>
      <w:r>
        <w:rPr>
          <w:rFonts w:ascii="Times New Roman;serif" w:hAnsi="Times New Roman;serif"/>
          <w:b w:val="false"/>
          <w:sz w:val="20"/>
        </w:rPr>
        <w:t>our need for substantial additional capital to finance our operations.</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Risks related to discovery, development and commercialization of our product candidates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substantial dependence on our product candidates;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challenges in discovering, developing and commercializing additional product candidates;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limitations in regulatory approval processes and product candidate approvals;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clinical trials that may fail to satisfactorily demonstrate safety and efficacy;</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product candidates that may cause significant adverse events, toxicities or other undesirable side effects;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potentially negative clinical trial results and challenges related to FDA, EMA and other regulatory requirements;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deficiencies in audits and verification procedures of our clinical trial data;</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adverse effects due to third parties investigating the same product candidates as us in the same or different territories; </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potential delays or difficulties in enrollment and/or maintenance of patients in clinical trials;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impact of the COVID-19 pandemic on our operations;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our inability to develop effective companion diagnostic tests for our product candidates; </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unexpected difficulties in developing our potential programs;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profitability challenges related to our focus on developing our product candidates for particular indications;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significant competition in the markets in which we operate;</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production difficulties encountered by our third-party manufacturers; </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changes in methods of product candidate manufacturing or formulation;</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market unacceptance of our product candidates in the medical community; </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limited market opportunities for our product candidates; </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inability to augment our product pipeline through acquisitions and in-licenses;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potential for unfavorable third-party coverage and reimbursement practices of our product candidates; and</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limitations of our product liability and insurance coverage.</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Risks related to regulatory, legal and other compliance matters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difficulties in our ability to obtain regulatory approval of our product candidates;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FDA, EMA and other regulatory authorities’ unacceptance of data from trials conducted outside their jurisdiction;</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inability to obtain and maintain regulatory approval of our product candidates in various jurisdictions;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burdens related to post-marketing regulatory requirements and oversight of our product candidates;</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impacts of regulatory authorities’ enforcement of laws and regulations prohibiting promotion of off-label uses;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left"/>
        <w:rPr/>
      </w:pPr>
      <w:r>
        <w:rPr/>
        <w:t> </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challenges related to FDA approval of required companion diagnostic tests;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challenges related to our ability to obtain Fast Track designation from the FDA for our product candidates;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limitations to our ability to obtain orphan drug designation or maintain orphan drug exclusivity for our product candidates; </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any delays or barriers to secure approval for accelerated registration pathways;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changes to current regulations and future legislation that impact us adversely;</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inadequate funding of regulatory agencies that may hinder timely product development or commercialization;</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potential misconduct or noncompliance with regulatory standards by our employees and certain third parties; </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any potential incompliance with U.S. healthcare laws and requirements;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any potential incompliance with environmental, health and safety laws and regulations;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any potential incompliance with anti-bribery, anti-corruption, export, trade sanctions and import laws or regulations; and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any potential incompliance with California laws or Nasdaq rules governing diversity of our board of directors.</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Risks related to employee matters and management of our growth</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challenges to our ability to attract and retain highly skilled executive officers and employees;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difficulties in our ability to sell or market our product candidates;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potential inability to grow and manage growth of our organization;</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security or data privacy breaches or incidents impacting our internal systems or those of commercial third parties;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natural disasters and other catastrophic events that may cause damage or disruption;</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SEC civil enforcement action against one of our officers;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potential inability to use our net operating losses and tax credits to offset future taxable income;</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changes in tax laws and additional effort and expenses incurred as a result;</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complexities related to international marketing of our product candidates;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military conflict in Ukraine, and any resulting trade war, could result in increased manufacturing costs; and</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inflation may adversely affect us by increasing our costs.</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Risks related to intellectual property</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challenges to our ability to protect our intellectual property and proprietary technologies;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potentially narrow scope of patent protection we receive;</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potential threats to our competitive advantage;</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our ability to operate without infringing intellectual property rights and claims of infringement by third parties; </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potential inability to obtain or maintain rights to our product candidates through acquisitions and in-licenses;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costs associated with protecting or enforcing our patents and our licensors’ patents;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intellectual property litigation that may lead to unfavorable publicity;</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unfavorable outcomes from necessary derivation proceedings;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patent reform legislation and related uncertainties and costs;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changes in U.S. and international intellectual property laws and related challenges; </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claims challenging ownership of our intellectual property, including internationally;</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patent terms and access to extensions that may not adequately protect our competitive position;</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patent protection and dependence on compliance with various regulations;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potentially limited name recognition in our markets that depend on protection of our trademarks and trade names;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difficulties in protecting confidentiality of our trade secrets;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claims of wrongful disclosure of our confidential information or trade secrets;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claims of wrongful hiring or disclosure or use of competitors’ confidential information or trade secrets;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our product development and commercialization rights that are subject to unfavorable terms and conditions of licensors; </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potential business relationship disruptions due to failure to comply with license agreement obligations; </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patent protection and prosecution that may be dependent on third parties; and</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 xml:space="preserve">intellectual property discovered through government funding and potential limits on our exclusive rights. </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Risks related to dependence on third parties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dependence on third parties for production, preclinical studies and clinical trials of our product candidates;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acquisitions or strategic partnerships that may increase capital requirements, dilution and debt;</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failure to establish commercially reasonable collaborations; and</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difficulties related to collaborations for development and commercialization of product candidates.</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Risks related to the securities markets and ownership of our common stock</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market conditions and price that may limit your ability to sell our common stock;</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volatility of our stock price;</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adverse or misleading industry analyst publications regarding our business or market; </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significant fluctuations in our operating results;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principal stockholders and management that may exert significant control over stockholder approval matters;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large sales of our stock that could cause our stock price to fall;</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limitations related to our status as an emerging growth company and our transition after such status;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failure of our internal controls that could impair our ability to produce accurate financial statements;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limitations of our disclosure controls and procedures;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liabilities related to securities litigation;</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intention not to pay dividends;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provisions of our certificate of incorporation and bylaws that may prevent or delay a change in control; and</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exclusive forum provisions in our bylaws that may limit stockholder ability to obtain a favorable judicial forum.</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Risks related to our financial position and need for additional capital</w:t>
      </w:r>
    </w:p>
    <w:p>
      <w:pPr>
        <w:pStyle w:val="TextBody"/>
        <w:spacing w:before="120" w:after="0"/>
        <w:jc w:val="left"/>
        <w:rPr>
          <w:rFonts w:ascii="Times New Roman;serif" w:hAnsi="Times New Roman;serif"/>
          <w:b/>
          <w:i/>
          <w:sz w:val="20"/>
        </w:rPr>
      </w:pPr>
      <w:r>
        <w:rPr>
          <w:rFonts w:ascii="Times New Roman;serif" w:hAnsi="Times New Roman;serif"/>
          <w:b/>
          <w:i/>
          <w:sz w:val="20"/>
        </w:rPr>
        <w:t>We have a limited operating history, have not initiated or completed any large-scale or pivotal clinical trials, and have no products approved for commercial sale, which may make it difficult for you to evaluate our current business and likelihood of success and viability.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a clinical-stage biopharmaceutical company with a limited operating history upon which you can evaluate our business and prospects. We commenced operations in 2014, have no products approved for commercial sale and have not generated any revenue. Drug development is a highly uncertain undertaking and involves a substantial degree of risk. We have initiated clinical trials for a limited number of our product candidates. To date, we have devoted substantially all of our resources to research and development activities, including with respect to the preclinical and clinical development of ORIC-533, ORIC-114, ORIC-944, ORIC-101 (now discontinued) and our other product candidates, in-licensing of external programs, business planning, establishing and maintaining our intellectual property portfolio, hiring personnel, raising capital and providing general and administrative support for these operations.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not yet demonstrated our ability to successfully initiate and complete any large-scale or pivotal clinical trials,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likelihood of success and viability than it could be if we had a longer operating history.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pStyle w:val="TextBody"/>
        <w:spacing w:before="120" w:after="0"/>
        <w:jc w:val="left"/>
        <w:rPr>
          <w:rFonts w:ascii="Times New Roman;serif" w:hAnsi="Times New Roman;serif"/>
          <w:b/>
          <w:i/>
          <w:sz w:val="20"/>
        </w:rPr>
      </w:pPr>
      <w:r>
        <w:rPr>
          <w:rFonts w:ascii="Times New Roman;serif" w:hAnsi="Times New Roman;serif"/>
          <w:b/>
          <w:i/>
          <w:sz w:val="20"/>
        </w:rPr>
        <w:t>We have incurred significant net losses since our inception, and we expect to continue to incur significant net losses for the foreseeable future.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incurred significant net losses since our inception, have not generated any revenue from product sales to date and have financed our operations principally through private placements of our convertible preferred stock and the sale of our common stock in our initial public offering (IPO) in April 2020, our public offering in November 2020 and our registered direct offering in December 2022. Our net loss was $23.9 million for the three months ended March 31, 2023, and as of March 31, 2023, we had an accumulated deficit of $358.2 million. In the second quarter of 2021, the U.S. Food and Drug Administration (FDA) cleared an Investigational New Drug Application (IND) for ORIC-533 and, in the first quarter of 2023, a Clinical Trial Application (CTA) was cleared in Canada for ORIC-533. In the fourth quarter of 2021, we filed a CTA in South Korea for ORIC-114, which was cleared in the first quarter of 2022. We filed and cleared an IND with the FDA for ORIC-944 in the fourth quarter of 2021 and also filed and cleared an IND with the FDA for ORIC-114 in the third quarter of 2022. Our other programs are in preclinical discovery and research stages.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pStyle w:val="TextBody"/>
        <w:spacing w:before="120" w:after="0"/>
        <w:jc w:val="left"/>
        <w:rPr>
          <w:rFonts w:ascii="Times New Roman" w:hAnsi="Times New Roman"/>
          <w:sz w:val="20"/>
        </w:rPr>
      </w:pPr>
      <w:r>
        <w:rPr>
          <w:rFonts w:ascii="Times New Roman;serif" w:hAnsi="Times New Roman;serif"/>
          <w:b w:val="false"/>
          <w:sz w:val="20"/>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adverse effect on our working capital, our ability to fund the development of our product candidates and our ability to achieve and maintain profitability and the performance of our stock.</w:t>
      </w:r>
    </w:p>
    <w:p>
      <w:pPr>
        <w:pStyle w:val="TextBody"/>
        <w:spacing w:before="120" w:after="0"/>
        <w:jc w:val="left"/>
        <w:rPr>
          <w:rFonts w:ascii="Times New Roman;serif" w:hAnsi="Times New Roman;serif"/>
          <w:b/>
          <w:i/>
          <w:sz w:val="20"/>
        </w:rPr>
      </w:pPr>
      <w:r>
        <w:rPr>
          <w:rFonts w:ascii="Times New Roman;serif" w:hAnsi="Times New Roman;serif"/>
          <w:b/>
          <w:i/>
          <w:sz w:val="20"/>
        </w:rPr>
        <w:t>Our ability to generate revenue and achieve profitability depends significantly on our ability to achieve several objectives relating to the discovery, development and commercialization of our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business depends entirely on the successful discovery, development and commercialization of product candidates. We have no products approved for commercial sale and do not anticipate generating any revenue from product sales for the next several years, if ever. Our ability to generate revenue and achieve profitability depends significantly on our ability, or any current or future collaborator’s ability, to achieve several objectives,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successful and timely completion of preclinical and clinical development of ORIC-533, ORIC-114, ORIC-944 and our other future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establishing and maintaining relationships with contract research organizations (CROs) and clinical sites for the clinical development of ORIC-533, ORIC-114, ORIC-944 and our other future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timely receipt of marketing approvals from applicable regulatory authorities for any product candidates for which we successfully complete clinical development;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developing an efficient and scalable manufacturing process for our product candidates, including obtaining finished products that are appropriately packaged for sale;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successful commercial launch following any marketing approval, including the development of a commercial infrastructure, whether in-house or with one or more collaborators;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continued acceptable safety profile following any marketing approval of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commercial acceptance of our product candidates by patients, the medical community and third-party payors;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satisfying any required post-marketing approval commitments to applicable regulatory authorities;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identifying, assessing and developing new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obtaining, maintaining and expanding patent protection, trade secret protection and regulatory exclusivity, both in the United States and internationally;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protecting our rights in our intellectual property portfolio;</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defending against third-party interference or infringement claims, if any;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entering into, on favorable terms, any collaboration, licensing or other arrangements that may be necessary or desirable to develop, manufacture or commercialize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obtaining coverage and adequate reimbursement by third-party payors for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addressing any competing therapies and technological and market developments;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attracting, hiring and retaining qualified personnel.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p>
    <w:p>
      <w:pPr>
        <w:pStyle w:val="TextBody"/>
        <w:spacing w:before="120" w:after="0"/>
        <w:jc w:val="left"/>
        <w:rPr>
          <w:rFonts w:ascii="Times New Roman;serif" w:hAnsi="Times New Roman;serif"/>
          <w:b/>
          <w:i/>
          <w:sz w:val="20"/>
        </w:rPr>
      </w:pPr>
      <w:r>
        <w:rPr>
          <w:rFonts w:ascii="Times New Roman;serif" w:hAnsi="Times New Roman;serif"/>
          <w:b/>
          <w:i/>
          <w:sz w:val="20"/>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pStyle w:val="TextBody"/>
        <w:spacing w:before="120" w:after="0"/>
        <w:jc w:val="left"/>
        <w:rPr>
          <w:rFonts w:ascii="Times New Roman" w:hAnsi="Times New Roman"/>
          <w:sz w:val="20"/>
        </w:rPr>
      </w:pPr>
      <w:r>
        <w:rPr>
          <w:rFonts w:ascii="Times New Roman;serif" w:hAnsi="Times New Roman;serif"/>
          <w:b w:val="false"/>
          <w:sz w:val="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ORIC-533, ORIC-114 and ORIC-944 and advance our other programs.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European Medicines Agency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are not permitted to market or promote our product candidates before we receive marketing approval from the FDA. Accordingly, we will need to obtain substantial additional funding in order to continue our operations.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of March 31, 2023, we had $208.9 million in cash, cash equivalents and investments. Based on our current operating plan, we believe that our existing cash, cash equivalents and investments will be sufficient to fund our operations into the first half of 2025. Our estimate as to how long we expect our existing cash, cash equivalents, and investments,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pStyle w:val="TextBody"/>
        <w:spacing w:before="120" w:after="0"/>
        <w:jc w:val="left"/>
        <w:rPr>
          <w:rFonts w:ascii="Times New Roman;serif" w:hAnsi="Times New Roman;serif"/>
          <w:b/>
          <w:i/>
          <w:sz w:val="20"/>
        </w:rPr>
      </w:pPr>
      <w:r>
        <w:rPr>
          <w:rFonts w:ascii="Times New Roman;serif" w:hAnsi="Times New Roman;serif"/>
          <w:b/>
          <w:i/>
          <w:sz w:val="20"/>
        </w:rPr>
        <w:t>Market conditions and changing circumstances, some of which may be beyond our control, could impair our ability to access our existing cash, cash equivalents and investments and to timely pay key vendors and others.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Market conditions and changing circumstances, some of which may be beyond our control, could impair our ability to access our existing cash, cash equivalents and investments and to timely pay key vendors and others. For example, on March 10, 2023, Silicon Valley Bank (SVB), where we maintain certain accounts, was placed into receivership with the Federal Deposit Insurance Corporation (FDIC), which resulted in all funds held at SVB being temporarily inaccessible by SVB’s customers. If other banks and financial institutions with whom we have banking relationships enter receivership or become insolvent in the future, we may be unable to access, and we may lose, some or all of our existing cash, cash equivalents and investments to the extent those funds are not insured or otherwise protected by the FDIC. In addition, in such circumstances we might not be able to timely pay key vendors and others. We regularly maintain cash balances that are not insured or are in excess of the FDIC’s insurance limit. Any delay in our ability to access our cash, cash equivalents and investments (or the loss of some or all of such funds) or to timely pay key vendors and others could have a material adverse effect on our operations and cause us to need to seek additional capital sooner than planned.</w:t>
      </w:r>
    </w:p>
    <w:p>
      <w:pPr>
        <w:pStyle w:val="TextBody"/>
        <w:spacing w:before="120" w:after="0"/>
        <w:jc w:val="left"/>
        <w:rPr>
          <w:rFonts w:ascii="Times New Roman;serif" w:hAnsi="Times New Roman;serif"/>
          <w:b/>
          <w:sz w:val="20"/>
        </w:rPr>
      </w:pPr>
      <w:r>
        <w:rPr>
          <w:rFonts w:ascii="Times New Roman;serif" w:hAnsi="Times New Roman;serif"/>
          <w:b/>
          <w:sz w:val="20"/>
        </w:rPr>
        <w:t>Risks related to the discovery, development and commercialization of our product candidates</w:t>
      </w:r>
    </w:p>
    <w:p>
      <w:pPr>
        <w:pStyle w:val="TextBody"/>
        <w:spacing w:before="120" w:after="0"/>
        <w:jc w:val="left"/>
        <w:rPr>
          <w:rFonts w:ascii="Times New Roman;serif" w:hAnsi="Times New Roman;serif"/>
          <w:b/>
          <w:i/>
          <w:sz w:val="20"/>
        </w:rPr>
      </w:pPr>
      <w:r>
        <w:rPr>
          <w:rFonts w:ascii="Times New Roman;serif" w:hAnsi="Times New Roman;serif"/>
          <w:b/>
          <w:i/>
          <w:sz w:val="20"/>
        </w:rPr>
        <w:t>We are substantially dependent on the success of our product candidates, ORIC-533, ORIC-114 and ORIC-944. If we are unable to complete development of, obtain approval for and commercialize our product candidates for one or more indications in a timely manner, our business will be harmed.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allocate the majority of our efforts and financial resources to the development of ORIC-533, ORIC-114 and ORIC-944. Our future success is dependent on our ability to timely and successfully complete clinical trials, obtain marketing approval for and successfully commercialize ORIC-533, ORIC-114 and ORIC-944.</w:t>
      </w:r>
    </w:p>
    <w:p>
      <w:pPr>
        <w:pStyle w:val="TextBody"/>
        <w:spacing w:before="120" w:after="0"/>
        <w:jc w:val="left"/>
        <w:rPr>
          <w:rFonts w:ascii="Times New Roman" w:hAnsi="Times New Roman"/>
          <w:sz w:val="20"/>
        </w:rPr>
      </w:pPr>
      <w:r>
        <w:rPr>
          <w:rFonts w:ascii="Times New Roman;serif" w:hAnsi="Times New Roman;serif"/>
          <w:b w:val="false"/>
          <w:sz w:val="20"/>
        </w:rPr>
        <w:t>ORIC-533 is an orally bioavailable small molecule inhibitor of CD73 that has demonstrated more potent adenosine inhibition in vitro compared to an antibody-based approach and other small molecule CD73 inhibitors. In the second quarter of 2021, the FDA cleared the IND for ORIC-533 and, in the first quarter of 2023, a CTA was cleared in Canada for ORIC-533. We are enrolling a Phase 1b trial of ORIC-533 as a single-agent, in patients with relapsed/refractory multiple myeloma. ORIC-114 is a brain penetrant, orally bioavailable, irreversible inhibitor designed to selectively target EGFR and HER2 with high potency against exon 20 mutations. In the fourth quarter of 2021, we filed a CTA for ORIC-114 in South Korea, which was cleared in the first quarter of 2022. We also filed and cleared an IND with the FDA for ORIC-114 in the third quarter of 2022. We are enrolling a Phase 1b trial of ORIC-114 as a single-agent, in patients with advanced solid tumors with EGFR and HER2 exon 20 alterations or HER2 amplifications and allows patients with CNS metastases that are either treated or untreated but asymptomatic. ORIC-944 is a potent and selective allosteric inhibitor of PRC2 via the EED subunit and is efficacious in androgen-insensitive and enzalutamide-resistant prostate cancer models in preclinical</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studies. We filed and cleared an IND with the FDA for ORIC-944 in the fourth quarter of 2021, and we are enrolling a Phase 1b trial of ORIC-944 as a single-agent, in patients with advanced prostate cancer. These product candidates will require additional clinical development, expansion of manufacturing capabilities, marketing approval from government regulators, substantial investment and significant marketing efforts before we can generate any revenues from product sales. We are not permitted to market or promote ORIC-533, ORIC-114, ORIC-944, or any other product candidate, before we receive marketing approval from the FDA and comparable foreign regulatory authorities, and we may never receive such marketing approvals.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success of our product candidates will depend on several factors, including the following: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successful and timely completion of our ongoing clinical trials of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addressing any delays in our clinical trials and additional costs incurred as a result of the coronavirus-19 (COVID-19) pandemic, including those resulting from preclinical study delays and adjustment to our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initiation and successful patient enrollment and completion of additional clinical trials of our product candidates on a timely basis;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maintaining and establishing relationships with CROs and clinical sites for the clinical development of our product candidates both in the United States and internationally;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frequency and severity of adverse events in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demonstrating efficacy, safety and tolerability profiles that are satisfactory to the FDA, EMA or any comparable foreign regulatory authority for marketing approval;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timely receipt of marketing approvals for our product candidates from applicable regulatory authorities;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timely identification, development and approval of companion diagnostic tests, if required;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extent of any required post-marketing approval commitments to applicable regulatory authorities;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maintenance of existing or the establishment of new supply arrangements with third-party drug product suppliers and manufacturers for clinical development and, if approved, commercialization of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obtaining and maintaining patent protection, trade secret protection and regulatory exclusivity, both in the United States and internationally;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protection of our rights in our intellectual property portfolio;</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successful launch of commercial sales following any marketing approval;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continued acceptable safety profile following any marketing approval;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commercial acceptance by patients, the medical community and third-party payors;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our ability to compete with other therapies.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our product candidates, which would materially harm our business. If we do not receive marketing approvals for our product candidates, we may not be able to continue our operations.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i/>
          <w:sz w:val="20"/>
        </w:rPr>
      </w:pPr>
      <w:r>
        <w:rPr>
          <w:rFonts w:ascii="Times New Roman;serif" w:hAnsi="Times New Roman;serif"/>
          <w:b/>
          <w:i/>
          <w:sz w:val="20"/>
        </w:rPr>
        <w:t>In addition to ORIC-533, ORIC-114 and ORIC-944, our prospects depend in part upon discovering, developing and commercializing additional product candidates, which may fail in development or suffer delays that adversely affect their commercial viability.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future operating results are dependent on our ability to successfully discover, develop, obtain regulatory approval for and commercialize product candidates. All of our current programs other than ORIC-533, ORIC-114 and ORIC-944, are in research or preclinical development. A product candidate can unexpectedly fail at any stage of preclinical and/or clinical development. The historical failure rate for product candidates is high due to risks relating to safety, efficacy, clinical execution, changing standards of medical care and other unpredictable variables. The results from preclinical testing or early clinical trials of a product candidate may not be predictive of the results that will be obtained in later stage clinical trials of the product candidate.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success of other product candidates we may develop will depend on many factors, including the following: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generating sufficient data to support the initiation or continuation of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addressing any delays in our research programs resulting from factors related to the COVID-19 pandemic;</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obtaining regulatory permission to initiate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contracting with the necessary parties to conduct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successful enrollment of patients in, and the completion of, clinical trials on a timely basis;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timely manufacture of sufficient quantities of a product candidate for use in clinical trials;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adverse events in clinical trials.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Even if we successfully advance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any product candidates.</w:t>
      </w:r>
    </w:p>
    <w:p>
      <w:pPr>
        <w:pStyle w:val="TextBody"/>
        <w:spacing w:before="120" w:after="0"/>
        <w:jc w:val="left"/>
        <w:rPr>
          <w:rFonts w:ascii="Times New Roman;serif" w:hAnsi="Times New Roman;serif"/>
          <w:b/>
          <w:i/>
          <w:sz w:val="20"/>
        </w:rPr>
      </w:pPr>
      <w:r>
        <w:rPr>
          <w:rFonts w:ascii="Times New Roman;serif" w:hAnsi="Times New Roman;serif"/>
          <w:b/>
          <w:i/>
          <w:sz w:val="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Obtaining approval by the FDA, EMA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For example, 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these goals and their impact on specific clinical programs and the industry are unclear.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Applications for our product candidates could fail to receive regulatory approval for many reasons, including the following: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FDA, EMA or other comparable foreign regulatory authorities may disagree with the design, implementation or results of our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population studied in the clinical trial may not be sufficiently broad or representative to assure efficacy and safety in the full population for which we seek approval;</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FDA, EMA or other comparable foreign regulatory authorities may disagree with our interpretation of data from preclinical studies or clinical trials;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be unable to demonstrate to the FDA, EMA or other comparable foreign regulatory authorities that our product candidate’s risk-benefit ratio for its proposed indication is acceptable;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FDA, EMA or other comparable foreign regulatory authorities may fail to approve the manufacturing processes, test procedures and specifications or facilities of third-party manufacturers with which we contract for clinical and commercial supplies;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FDA, EMA or other comparable regulatory authorities may fail to approve companion diagnostic tests that are required for our product candidates;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approval policies or regulations of the FDA, EMA or other comparable foreign regulatory authorities may significantly change in a manner rendering our clinical data insufficient for approval.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pStyle w:val="TextBody"/>
        <w:spacing w:before="120" w:after="0"/>
        <w:jc w:val="left"/>
        <w:rPr>
          <w:rFonts w:ascii="Times New Roman;serif" w:hAnsi="Times New Roman;serif"/>
          <w:b/>
          <w:i/>
          <w:sz w:val="20"/>
        </w:rPr>
      </w:pPr>
      <w:r>
        <w:rPr>
          <w:rFonts w:ascii="Times New Roman;serif" w:hAnsi="Times New Roman;serif"/>
          <w:b/>
          <w:i/>
          <w:sz w:val="20"/>
        </w:rPr>
        <w:t>The clinical trials of our product candidates may not demonstrate safety and efficacy to the satisfaction of the FDA, EMA or other comparable foreign regulatory authorities or otherwise produce positive results.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Before obtaining marketing approval from the FDA, EMA or other comparable foreign regulatory authorities for the sale of our product candidates, we must complete preclinical development and extensive clinical trials to demonstrate with substantial evidence the safety and efficacy of such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experience numerous unforeseen events during, or as a result of, clinical trials that could delay or prevent receipt of marketing approval or our ability to commercialize our product candidates,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receipt of feedback from regulatory authorities that requires us to modify the design of our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negative or inconclusive clinical trial results that may require us to conduct additional clinical trials or abandon certain drug development programs;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number of patients required for clinical trials being larger than anticipated, enrollment in these clinical trials being slower than anticipated or participants dropping out of these clinical trials at a higher rate than anticipated;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third-party contractors failing to comply with regulatory requirements or meet their contractual obligations to us in a timely manner, or at all;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suspension or termination of our clinical trials for various reasons, including non-compliance with regulatory requirements or a finding that our product candidates have undesirable side effects or other unexpected characteristics or risks;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 of clinical trials of our product candidates being greater than anticipated;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supply or quality of our product candidates or other materials necessary to conduct clinical trials of our product candidates being insufficient or inadequate;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regulators revising the requirements for approving our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we are required to conduct additional clinical trials or other testing of our product candidates beyond those that we currently contemplate, if we are unable to successfully complete clinical trials of our product candidates or other testing in a timely manner, if the results of these trials or tests are not positive or are only modestly positive or if there are safety concerns, we may incur unplanned costs, be delayed in seeking and obtaining marketing approval, if we receive such approval at all, receive more limited or restrictive marketing approval, be subject to additional post-marketing testing requirements or have the drug removed from the market after obtaining marketing approval.</w:t>
      </w:r>
    </w:p>
    <w:p>
      <w:pPr>
        <w:pStyle w:val="TextBody"/>
        <w:spacing w:before="120" w:after="0"/>
        <w:jc w:val="left"/>
        <w:rPr>
          <w:rFonts w:ascii="Times New Roman;serif" w:hAnsi="Times New Roman;serif"/>
          <w:b/>
          <w:i/>
          <w:sz w:val="20"/>
        </w:rPr>
      </w:pPr>
      <w:r>
        <w:rPr>
          <w:rFonts w:ascii="Times New Roman;serif" w:hAnsi="Times New Roman;serif"/>
          <w:b/>
          <w:i/>
          <w:sz w:val="20"/>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pStyle w:val="TextBody"/>
        <w:spacing w:before="120" w:after="0"/>
        <w:jc w:val="left"/>
        <w:rPr>
          <w:rFonts w:ascii="Times New Roman" w:hAnsi="Times New Roman"/>
          <w:sz w:val="20"/>
        </w:rPr>
      </w:pPr>
      <w:r>
        <w:rPr>
          <w:rFonts w:ascii="Times New Roman;serif" w:hAnsi="Times New Roman;serif"/>
          <w:b w:val="false"/>
          <w:sz w:val="20"/>
        </w:rPr>
        <w:t>If our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financial condition and prospects significantly.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Patients in our ongoing and planned clinical trials may in the future suffer other significant adverse events or other side effects not observed in our preclinical studies or previous clinical trials. Our product candidates may be used in populations for which safety concerns may be particularly scrutinized by regulatory agencies. Patients treated with our product candidates may also be undergoing surgical, radiation and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clinical trials will die or experience major clinical events either during the course of our clinical trials or after participating in such trials, which has occurred in the past.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early-stage clinical trials.</w:t>
      </w:r>
    </w:p>
    <w:p>
      <w:pPr>
        <w:pStyle w:val="TextBody"/>
        <w:spacing w:before="120" w:after="0"/>
        <w:jc w:val="left"/>
        <w:rPr>
          <w:rFonts w:ascii="Times New Roman;serif" w:hAnsi="Times New Roman;serif"/>
          <w:b/>
          <w:i/>
          <w:sz w:val="20"/>
        </w:rPr>
      </w:pPr>
      <w:r>
        <w:rPr>
          <w:rFonts w:ascii="Times New Roman;serif" w:hAnsi="Times New Roman;serif"/>
          <w:b/>
          <w:i/>
          <w:sz w:val="20"/>
        </w:rPr>
        <w:t>The outcome of preclinical testing and early clinical trials may not be predictive of the success of later clinical trials, and the results of our clinical trials may not satisfy the requirements of the FDA, EMA or other comparable foreign regulatory authorities.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do not know whether ORIC-533, ORIC-114, ORIC-944 will perform in current or future preclinical studies or future clinical trials as they have in prior preclinical studies. Product candidates in later-stage clinical trials may fail to demonstrate sufficient safety and efficacy to the satisfaction of the FDA, EMA and other comparable foreign regulatory authorities despite having progressed through preclinical studies and early-stage clinical trials. Regulatory authorities may also limit the scope of later-stage trials until we have demonstrated satisfactory safety, which could delay regulatory approval, limit the size of the patient population to which we may market our product candidates, or prevent regulatory approval.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do not know whether any clinical trials we may conduct will demonstrate consistent or adequate efficacy and safety sufficient to obtain approval to market any of our product candidates.</w:t>
      </w:r>
    </w:p>
    <w:p>
      <w:pPr>
        <w:pStyle w:val="TextBody"/>
        <w:spacing w:before="120" w:after="0"/>
        <w:jc w:val="left"/>
        <w:rPr>
          <w:rFonts w:ascii="Times New Roman;serif" w:hAnsi="Times New Roman;serif"/>
          <w:b/>
          <w:i/>
          <w:sz w:val="20"/>
        </w:rPr>
      </w:pPr>
      <w:r>
        <w:rPr>
          <w:rFonts w:ascii="Times New Roman;serif" w:hAnsi="Times New Roman;serif"/>
          <w:b/>
          <w:i/>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spacing w:before="120" w:after="0"/>
        <w:jc w:val="left"/>
        <w:rPr>
          <w:rFonts w:ascii="Times New Roman" w:hAnsi="Times New Roman"/>
          <w:sz w:val="20"/>
        </w:rPr>
      </w:pPr>
      <w:r>
        <w:rPr>
          <w:rFonts w:ascii="Times New Roman;serif" w:hAnsi="Times New Roman;serif"/>
          <w:b w:val="false"/>
          <w:sz w:val="20"/>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For example, we may report tumor responses in certain patients that are unconfirmed at the time and which do not ultimately result in confirmed responses to treatment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any product candidates may be harmed, which could harm our business, financial condition, results of operations and prospects.</w:t>
      </w:r>
    </w:p>
    <w:p>
      <w:pPr>
        <w:pStyle w:val="TextBody"/>
        <w:spacing w:before="120" w:after="0"/>
        <w:jc w:val="left"/>
        <w:rPr>
          <w:rFonts w:ascii="Times New Roman;serif" w:hAnsi="Times New Roman;serif"/>
          <w:b/>
          <w:i/>
          <w:sz w:val="20"/>
        </w:rPr>
      </w:pPr>
      <w:r>
        <w:rPr>
          <w:rFonts w:ascii="Times New Roman;serif" w:hAnsi="Times New Roman;serif"/>
          <w:b/>
          <w:i/>
          <w:sz w:val="20"/>
        </w:rPr>
        <w:t>Adverse results of clinical trials conducted by third parties investigating the same product candidates as us in the same or different territories could adversely affect our development of such product candidate.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Lack of efficacy, adverse events, undesirable side effects or other adverse results may emerge in clinical trials conducted by third parties investigating the same product candidates as us in different territories. For example, pursuant to the Voronoi License Agreement, Voronoi retains the right to develop and commercialize the same compounds licensed to us, after a certain period, as specified in the Voronoi License Agreement, including the compound we refer to as ORIC-114, in the People’s Republic of China, Hong Kong, Macau and Taiwan and, subject to certain restrictions, to collaborate with others for such development and commercialization. We do not have control over Voronoi’s clinical trials or development program, and adverse findings from or Voronoi’s conduct of clinical trials could adversely affect our development of ORIC-114 or even the viability of ORIC-114 as a product candidate. We may be required to report Voronoi’s adverse events or unexpected side effects to the FDA or comparable foreign regulatory authorities, which could, among other things, order us to cease further development of ORIC-114.</w:t>
      </w:r>
    </w:p>
    <w:p>
      <w:pPr>
        <w:pStyle w:val="TextBody"/>
        <w:spacing w:before="120" w:after="0"/>
        <w:jc w:val="left"/>
        <w:rPr>
          <w:rFonts w:ascii="Times New Roman;serif" w:hAnsi="Times New Roman;serif"/>
          <w:b/>
          <w:i/>
          <w:sz w:val="20"/>
        </w:rPr>
      </w:pPr>
      <w:r>
        <w:rPr>
          <w:rFonts w:ascii="Times New Roman;serif" w:hAnsi="Times New Roman;serif"/>
          <w:b/>
          <w:i/>
          <w:sz w:val="20"/>
        </w:rPr>
        <w:t>If we experience delays or difficulties in the enrollment and/or maintenance of patients in clinical trials, our regulatory submissions or receipt of necessary marketing approvals could be delayed or prevented.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not be able to initiate or continue clinical trials for our product candidates if we are unable to locate and enroll a sufficient number of eligible patients to participate in these trials to such trial’s conclusion as required by the FDA, EMA or other comparable foreign regulatory authorities. Often done through biomarker testing, patient identification and enrollment are significant factors in the timing of clinical trials. Our ability to identify and enroll eligible patients may be limited or may result in slower enrollment than we anticipate. If patient identification proves unsuccessful, we may have difficulty enrolling or maintaining patients appropriate for our product candidates. Similarly, enrollment in trials for our product candidates may be limited or slower than we anticipated if any required laboratory biomarker tests are not available due to pandemic shortages of staff or reagents.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Enrollment of patients in our clinical trials and maintaining patients in our ongoing clinical trials may be delayed or limited as our clinical trial sites limit their onsite staff or temporarily close as a result of the COVID-19 pandemic. For instance, certain of our clinical trial sites in 2020 temporarily stopped or delayed enrolling new patients in response to the COVID-19 pandemic. In addition, patients may not be able to visit clinical trial sites for dosing or data collection purposes due to limitations on travel and physical distancing imposed or recommended by federal or state governments or patients’ reluctance to visit the clinical trial sites during the pandemic. These factors resulting from the COVID-19 pandemic could delay the anticipated readouts from our clinical trials and our regulatory submissions.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Patient enrollment may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Patient enrollment for our current or any future clinical trials may be affected by other factors,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size and nature of the patient population;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severity of the disease under investigation;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availability and efficacy of approved drugs for the disease under investigation;</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patient eligibility criteria for the trial in question as defined in the protocol;</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perceived risks and benefits of the product candidate under study;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clinicians’ willingness to screen their patients for biomarkers to indicate which patients may be eligible for enrollment in our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patient referral practices of physicians;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ability to monitor patients adequately during and after treatment;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proximity and availability of clinical trial sites for prospective patients;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risk that patients enrolled in clinical trials will drop out of the trials before completion or, because they may be late-stage cancer patients, will not survive the full terms of the clinical trials.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pStyle w:val="TextBody"/>
        <w:spacing w:before="120" w:after="0"/>
        <w:jc w:val="left"/>
        <w:rPr>
          <w:rFonts w:ascii="Times New Roman;serif" w:hAnsi="Times New Roman;serif"/>
          <w:b/>
          <w:i/>
          <w:sz w:val="20"/>
        </w:rPr>
      </w:pPr>
      <w:r>
        <w:rPr>
          <w:rFonts w:ascii="Times New Roman;serif" w:hAnsi="Times New Roman;serif"/>
          <w:b/>
          <w:i/>
          <w:sz w:val="20"/>
        </w:rPr>
        <w:t>Our operations and financial results could be adversely impacted by the COVID-19 pandemic in the United States and the rest of the world.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December 2019, COVID-19 was reported to have surfaced in Wuhan, China, resulting in significant disruptions to Chinese manufacturing and travel. Since then, COVID-19 has spread to numerous other countries, including extensively within the United States, resulting in the World Health Organization characterizing COVID-19 as a pandemic. As a result of measures imposed by the governments in affected regions, many commercial activities, businesses and schools were suspended as part of quarantines and other measures intended to contain this pandemic. Due to the COVID-19 pandemic, including the spread of variants, we may experience disruptions that could severely impact our business and clinical trials,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interruption of key research and discovery or other activities related to any impact of COVID-19 contraction by or transmission among our employees, including those that are essential workers and work within our laboratory;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delays or difficulties in enrolling patients in our clinical trials, or those conducted by third parties, and further incurrence of additional costs as a result of preclinical study and clinical trial delays and adjustments;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challenges related to ongoing and increased operational expenses related to the COVID-19 pandemic;</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delays or difficulties in clinical site initiation, including difficulties in recruiting clinical site investigators and clinical site staff;</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diversion of healthcare resources away from the conduct of clinical trials, including the diversion of hospitals serving as our clinical trial sites and hospital staff supporting the conduct of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interruption of key clinical trial activities, such as clinical trial site monitoring, due to limitations on travel imposed or recommended by federal or state governments, employers and others;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limitations in resources that would otherwise be focused on the conduct of our business or our clinical trials, including because of sickness or the desire to avoid contact with large groups of people or as a result of government-imposed “shelter in place” or similar working restrictions;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delays in receiving approval from local regulatory authorities to initiate our planned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delays in clinical sites receiving the supplies and materials needed to conduct our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interruption in global shipping that may affect the transport of clinical trial materials, such as investigational drug product used in our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in regulations as part of a response to the COVID-19 pandemic which may require us to change the ways in which our clinical trials are conducted, or to discontinue the clinical trials altogether, or which may result in unexpected costs;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delays in necessary interactions with regulators, ethics committees and other important agencies and contractors due to limitations in employee resources or forced furlough of government or contractor personnel; and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refusal of the FDA to accept data from clinical trials in affected geographies outside the United States.</w:t>
      </w:r>
    </w:p>
    <w:p>
      <w:pPr>
        <w:pStyle w:val="TextBody"/>
        <w:spacing w:before="120" w:after="0"/>
        <w:jc w:val="left"/>
        <w:rPr>
          <w:rFonts w:ascii="Times New Roman" w:hAnsi="Times New Roman"/>
          <w:sz w:val="20"/>
        </w:rPr>
      </w:pPr>
      <w:r>
        <w:rPr>
          <w:rFonts w:ascii="Times New Roman;serif" w:hAnsi="Times New Roman;serif"/>
          <w:b w:val="false"/>
          <w:sz w:val="20"/>
        </w:rPr>
        <w:t>We will continue to assess the impact that COVID-19 may have on our ability to effectively conduct our business operations as planned and there can be no assurance that we will be able to avoid a material impact on our business from COVID-19 or its consequences, including disruption to our business and downturns in business sentiment generally or in our industry.</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primary operations are located in South San Francisco and San Diego. As a result of county and California stay-at-home orders having been lifted, the portion of our employees that were telecommuting have returned to our physical locations at both sites on a full-time or hybrid work schedule. As a result, our employees may be exposed to COVID-19 (including variants), and we may face claims by such employees or regulatory authorities that we have not provided adequate protection to our employees with respect to the spread of COVID-19 at our physical locations, which may affect our business, results of operations and reputation.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Additionally, certain third parties with whom we engage or conduct business, including our collaborators, contract organizations, third party manufacturers, suppliers, clinical trial sites, regulators and others are similarly adjusting their operations and assessing their capacity in light of the COVID-19 pandemic. If these third parties experience slowdowns, shutdowns or other business disruptions, our ability to conduct our business in the manner and on the timelines presently planned could be materially and negatively impacted. For example, as a result of the COVID-19 pandemic, there could be delays in the manufacturing supply chain, which could delay or otherwise impact procurement of materials for certain of our ongoing or planned studies of ORIC-533, ORIC-114 or ORIC-944. Specifically, we have recently experienced increased difficulty shipping materials to and from China, which has delayed the receipt and delivery of such materials and resulted in increased shipping costs. Additionally, certain preclinical studies for our discovery research programs are conducted by CROs or academic institutions, some of which temporarily stopped or delayed operations during the COVID-19 pandemic. Disruptions of this nature could negatively impact the timelines of our preclinical programs. In the event of a resurgence of, or seasonal spikes in, COVID-19 infections, it is likely that the disproportionate impact of COVID-19 on hospitals and clinical sites will have an impact on recruitment and retention for our clinical trials. For instance, we are aware of certain clinical trial sites that have temporarily stopped or delayed enrolling new patients during the COVID-19 pandemic. In addition, certain of our clinical trial sites have experienced, and others may experience in the future, delays in collecting, receiving and analyzing data from patients enrolled in our clinical trials due to limited staff at such sites, limitation or suspension of on-site visits by patients, or patients’ reluctance to visit the clinical trial sites during the pandemic. We and our CROs have also made certain adjustments to the operation of such trials in an effort to ensure the monitoring and safety of patients and minimize risks to trial integrity during the pandemic in accordance with the guidance issued by the FDA on March 18, 2020 and generally, and may need to make further adjustments in the future, including adjustments based on recently issued FDA guidance on manufacturing, supply chain, and pharmaceutical product inspections; resuming normal pharmaceutical manufacturing operations; and updates on conducting clinical trials during the COVID-19 public health emergency. Many of these adjustments are new and untested, may not be effective, and may have unforeseen effects on the enrollment, progress and completion of these trials and the findings from these trials. While we are currently continuing our clinical trials and seeking to add new clinical trial sites, we may not be successful in adding trial sites, may experience delays in patient enrollment or in the progression of our clinical trials, may need to suspend our clinical trials, and may encounter other negative impacts to our trials, due to the effects of the COVID-19 pandemic. In April 2023, President Biden signed legislation that will end the COVID-19 national emergency on May 11, 2023. The full impact of this termination of the national emergency and the wind-down of the public health emergency on FDA and other regulatory policies and operations are unclear.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global outbreak of COVID-19 continues to evolve. While the extent of the impact of the COVID-19 pandemic on our business and financial results is uncertain, a continued and prolonged public health crisis such as the COVID-19 pandemic could have a material negative impact on our business, financial condition and operating results.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To the extent the COVID-19 pandemic adversely affects our business, financial condition and operating results, it may also have the effect of heightening many of the risks described in this “Risk factors” section.</w:t>
      </w:r>
    </w:p>
    <w:p>
      <w:pPr>
        <w:pStyle w:val="TextBody"/>
        <w:spacing w:before="120" w:after="0"/>
        <w:jc w:val="left"/>
        <w:rPr>
          <w:rFonts w:ascii="Times New Roman;serif" w:hAnsi="Times New Roman;serif"/>
          <w:b/>
          <w:i/>
          <w:sz w:val="20"/>
        </w:rPr>
      </w:pPr>
      <w:r>
        <w:rPr>
          <w:rFonts w:ascii="Times New Roman;serif" w:hAnsi="Times New Roman;serif"/>
          <w:b/>
          <w:i/>
          <w:sz w:val="20"/>
        </w:rPr>
        <w:t>If we are unable to successfully develop any required companion diagnostic tests for our product candidates, experience significant delays in doing so, or rely on third parties in the development of such companion diagnostic tests, we may not realize the full commercial potential of our product candidates.</w:t>
      </w:r>
    </w:p>
    <w:p>
      <w:pPr>
        <w:pStyle w:val="TextBody"/>
        <w:spacing w:before="120" w:after="0"/>
        <w:jc w:val="left"/>
        <w:rPr>
          <w:rFonts w:ascii="Times New Roman" w:hAnsi="Times New Roman"/>
          <w:sz w:val="20"/>
        </w:rPr>
      </w:pPr>
      <w:r>
        <w:rPr>
          <w:rFonts w:ascii="Times New Roman;serif" w:hAnsi="Times New Roman;serif"/>
          <w:b w:val="false"/>
          <w:sz w:val="20"/>
        </w:rPr>
        <w:t>We are exploring predictive biomarkers to determine patient selection for our clinical trials and to evaluate whether a companion diagnostic test will be required for any of our product candidates. In general, the FDA expects to review and approve simultaneously NDA and pre-market approval submissions for a therapeutic and its companion diagnostic, respectively, so any delay in diagnostic approval could delay drug approval. On April 13,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issuances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any of our companion diagnostic</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development plans or we may not be able to compete effectively upon approval, which could adversely impact our ability to generate revenue from the sale of our approved products and our business operations.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rely on third parties for the design, development and manufacture of companion diagnostic tests for our product candidates that require such tests. To be successful, we or our collaborators will need to address a number of scientific, technical, regulatory and logistical challenges. If we or such third parties are unable to successfully develop companion diagnostics, or experience delays in doing so, we may be unable to enroll enough patients for our current and planned clinical trials, the development of our product candidates may be adversely affected or we may not obtain marketing approval, and we may not realize the full commercial potential of our product candidates.</w:t>
      </w:r>
    </w:p>
    <w:p>
      <w:pPr>
        <w:pStyle w:val="TextBody"/>
        <w:spacing w:before="120" w:after="0"/>
        <w:jc w:val="left"/>
        <w:rPr>
          <w:rFonts w:ascii="Times New Roman;serif" w:hAnsi="Times New Roman;serif"/>
          <w:b/>
          <w:i/>
          <w:sz w:val="20"/>
        </w:rPr>
      </w:pPr>
      <w:r>
        <w:rPr>
          <w:rFonts w:ascii="Times New Roman;serif" w:hAnsi="Times New Roman;serif"/>
          <w:b/>
          <w:i/>
          <w:sz w:val="20"/>
        </w:rPr>
        <w:t>We may develop our programs in combination with other therapies, which exposes us to additional risks.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develop our programs, in combination with one or more currently approved cancer therapies or therapies in development. Patients may not be able to tolerate our product candidates in combination with other therapies or dosing of our product candidates in combination with other therapies may have unexpected consequences. Even if any of our product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also evaluate our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marketing approval.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the FDA, EMA or other comparable foreign regulatory authorities do not approve or revoke their approval of these other therapies, or if safety, efficacy, commercial adoption, manufacturing or supply issues arise with the therapies we choose to evaluate in combination with our product candidates, we may be unable to obtain approval of or successfully market any one or all of the product candidates we develop.</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pStyle w:val="TextBody"/>
        <w:spacing w:before="120" w:after="0"/>
        <w:jc w:val="left"/>
        <w:rPr>
          <w:rFonts w:ascii="Times New Roman;serif" w:hAnsi="Times New Roman;serif"/>
          <w:b/>
          <w:i/>
          <w:sz w:val="20"/>
        </w:rPr>
      </w:pPr>
      <w:r>
        <w:rPr>
          <w:rFonts w:ascii="Times New Roman;serif" w:hAnsi="Times New Roman;serif"/>
          <w:b/>
          <w:i/>
          <w:sz w:val="20"/>
        </w:rPr>
        <w:t>We have limited resources and are focusing our efforts on developing ORIC-533, ORIC-114 and ORIC-944, and advancing our preclinical programs. As a result, we may fail to capitalize on other indications or product candidates that may ultimately have proven to be more profitable.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focus our resources and efforts on developing ORIC-533, ORIC-114 and ORIC-944, and advancing our preclinical programs. As a result, because we have limited resources, we may forgo or delay pursuit of opportunities for other indications or with other product candidates that may have greater commercial potential. Our resource allocation decisions may cause us to fail to capitalize on viable commercial drugs or profitable market opportunities. Our spending on current and future research and development activities for ORIC-533, ORIC-114, ORIC-944 and other preclinical programs, may not yield any commercially viable drugs. If we do not accurately evaluate the commercial potential or target markets for ORIC-533, ORIC-114, ORIC-944 or any of our other programs, we may relinquish valuable rights to that product candidate or program through collaboration, licensing or other strategic arrangements in cases in which it would have been more advantageous for us to retain sole development and commercialization rights to such product candidate or program.</w:t>
      </w:r>
    </w:p>
    <w:p>
      <w:pPr>
        <w:pStyle w:val="TextBody"/>
        <w:spacing w:before="120" w:after="0"/>
        <w:jc w:val="left"/>
        <w:rPr>
          <w:rFonts w:ascii="Times New Roman;serif" w:hAnsi="Times New Roman;serif"/>
          <w:b/>
          <w:i/>
          <w:sz w:val="20"/>
        </w:rPr>
      </w:pPr>
      <w:r>
        <w:rPr>
          <w:rFonts w:ascii="Times New Roman;serif" w:hAnsi="Times New Roman;serif"/>
          <w:b/>
          <w:i/>
          <w:sz w:val="20"/>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biotechnology and pharmaceutical industries are characterized by rapidly advancing technologies, intense competition and a strong emphasis on proprietary and novel products and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addition, our products may need to compete with drugs physicians use off-label to treat the indications for which we seek approval. This may make it difficult for us to replace existing therapies with our products.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universities and other research institutions.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 We expect to face competition from existing products and products in development for each of our programs.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ORIC-533, we are aware of several companies developing antibodies against this target that are in clinical trials, including AstraZeneca, Bristol-Myers Squibb, Novartis, Incyte Corporation, Corvus Pharmaceuticals, Innate Pharma, Tracon Pharmaceuticals in collaboration with I-Mab Biopharma, Akeso, Symphogen, Innovent, Henlius Biotech, Jacobio Pharmaceuticals and Phanes Therapeutics. Other companies, such as Arcus Biosciences in collaboration with Gilead Sciences and Antengene, have small-molecule programs in clinical trials against this target. To our knowledge, only Antengene has an orally available, small molecule CD73 inhibitor in an active clinical trial for patients with cancer.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ORIC-114, we are aware of two companies with an FDA-approved product for patients with EGFR exon 20 insertion mutations, including Takeda and The Janssen Pharmaceutical Companies of Johnson &amp; Johnson. We are also aware of several companies developing inhibitors against EGFR or HER2 exon 20 insertion mutations that are currently in clinical trials, including Jiangsu Hengrui Medicine Co., Daiichi Sankyo, Dizal Pharmaceuticals, Cullinan Oncology in collaboration with Taiho Pharmaceutical, Bayer, ArriVent BioPharma in collaboration with Allist Pharmaceuticals, Boehringer Ingelheim, Junshi Biosciences, Blueprint Medicines, Nalo Therapeutics, Avistone Biotechnology and Enliven Therapeutics. Additionally, Seattle Genetics has an FDA-approved product for the treatment of patients with HER2-positive breast cancer, including patients with brain metastases. We are also aware that Dizal Pharmaceuticals and Zion Pharma are developing brain penetrant inhibitors currently in clinical trials for patients with HER2-positive breast cancer.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ORIC-944, we are aware of several companies developing inhibitors against PRC2 via EZH2 inhibition that are currently in clinical trials, including Ipsen, Morphosys, Daiichi Sankyo, Pfizer, Shanghai HaiHe Pharmaceutical and Jiangsu Hengrui Medicine Co. To our knowledge, Novartis and Ascentage Pharma have allosteric PRC2 inhibitors in clinical trials for patients with cancer.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pStyle w:val="TextBody"/>
        <w:spacing w:before="120" w:after="0"/>
        <w:jc w:val="left"/>
        <w:rPr>
          <w:rFonts w:ascii="Times New Roman;serif" w:hAnsi="Times New Roman;serif"/>
          <w:b/>
          <w:i/>
          <w:sz w:val="20"/>
        </w:rPr>
      </w:pPr>
      <w:r>
        <w:rPr>
          <w:rFonts w:ascii="Times New Roman;serif" w:hAnsi="Times New Roman;serif"/>
          <w:b/>
          <w:i/>
          <w:sz w:val="20"/>
        </w:rPr>
        <w:t>The manufacture of drugs is complex, and our third-party manufacturers may encounter difficulties in production or supply chain. If any of our third-party manufacturers encounter such difficulties, our ability to provide adequate supply of our product candidates for clinical trials or our products for patients, if approved, could be delayed or prevented.</w:t>
      </w:r>
    </w:p>
    <w:p>
      <w:pPr>
        <w:pStyle w:val="TextBody"/>
        <w:spacing w:before="120" w:after="0"/>
        <w:jc w:val="left"/>
        <w:rPr>
          <w:rFonts w:ascii="Times New Roman" w:hAnsi="Times New Roman"/>
          <w:sz w:val="20"/>
        </w:rPr>
      </w:pPr>
      <w:r>
        <w:rPr>
          <w:rFonts w:ascii="Times New Roman;serif" w:hAnsi="Times New Roman;serif"/>
          <w:b w:val="false"/>
          <w:sz w:val="20"/>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as well as sophisticated quality assurance and quality control procedures. Slight deviations anywhere in the manufacturing process, including filling, labeling, packaging, storage and shipping and quality control and testing, may result in lot failures, product recalls or spoilage. When changes are made to the manufacturing</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process, we may be required to provide preclinical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adversely harm our business. The use of biologically derived ingredients can also lead to allegations of harm, including infections or allergic reactions, or closure of product facilities due to possible contamination. Additionally, we may experience supply chain disruptions or slowdowns, including related manufacturing, logistics, labor supply or other factors related to the supply chains of products and materials that we use. If our third-party manufacturers are unable to produce sufficient quantities for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pStyle w:val="TextBody"/>
        <w:spacing w:before="120" w:after="0"/>
        <w:jc w:val="left"/>
        <w:rPr>
          <w:rFonts w:ascii="Times New Roman;serif" w:hAnsi="Times New Roman;serif"/>
          <w:b/>
          <w:i/>
          <w:sz w:val="20"/>
        </w:rPr>
      </w:pPr>
      <w:r>
        <w:rPr>
          <w:rFonts w:ascii="Times New Roman;serif" w:hAnsi="Times New Roman;serif"/>
          <w:b/>
          <w:i/>
          <w:sz w:val="20"/>
        </w:rPr>
        <w:t>Changes in methods of product candidate manufacturing or formulation may result in additional costs or delay.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pStyle w:val="TextBody"/>
        <w:spacing w:before="120" w:after="0"/>
        <w:jc w:val="left"/>
        <w:rPr>
          <w:rFonts w:ascii="Times New Roman;serif" w:hAnsi="Times New Roman;serif"/>
          <w:b/>
          <w:i/>
          <w:sz w:val="20"/>
        </w:rPr>
      </w:pPr>
      <w:r>
        <w:rPr>
          <w:rFonts w:ascii="Times New Roman;serif" w:hAnsi="Times New Roman;serif"/>
          <w:b/>
          <w:i/>
          <w:sz w:val="20"/>
        </w:rPr>
        <w:t>Our product candidates may not achieve adequate market acceptance among physicians, patients, healthcare payors and others in the medical community necessary for commercial success.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Even if our product candidates receive regulatory approval, they may not gain adequate market acceptance among physicians, patients, third-party payors and others in the medical community. The degree of market acceptance of any of our approved product candidates will depend on a number of factors,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efficacy and safety profile as demonstrated in clinical trials compared to alternative treatments;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timing of market introduction of the product candidate as well as competitive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clinical indications for which a product candidate is approved;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potential and perceived advantages of our product candidates over alternative treatments;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 of treatment in relation to alternative treatments;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availability of coverage and adequate reimbursement by third-party payors, including government authorities;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availability of an approved product candidate for use as a combination therapy;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relative convenience and ease of administration;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willingness of the target patient population to try new therapies and undergo required diagnostic screening to determine treatment eligibility and of physicians to prescribe these therapies and diagnostic tests;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effectiveness of sales and marketing efforts;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unfavorable publicity relating to our product candidates;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approval of other new therapies for the same indications.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pStyle w:val="TextBody"/>
        <w:spacing w:before="120" w:after="0"/>
        <w:jc w:val="left"/>
        <w:rPr>
          <w:rFonts w:ascii="Times New Roman;serif" w:hAnsi="Times New Roman;serif"/>
          <w:b/>
          <w:i/>
          <w:sz w:val="20"/>
        </w:rPr>
      </w:pPr>
      <w:r>
        <w:rPr>
          <w:rFonts w:ascii="Times New Roman;serif" w:hAnsi="Times New Roman;serif"/>
          <w:b/>
          <w:i/>
          <w:sz w:val="20"/>
        </w:rPr>
        <w:t>The market opportunities for our product candidates we develop, if approved, may be limited to certain smaller patient subsets.</w:t>
      </w:r>
    </w:p>
    <w:p>
      <w:pPr>
        <w:pStyle w:val="TextBody"/>
        <w:spacing w:before="120" w:after="0"/>
        <w:jc w:val="left"/>
        <w:rPr>
          <w:rFonts w:ascii="Times New Roman" w:hAnsi="Times New Roman"/>
          <w:sz w:val="20"/>
        </w:rPr>
      </w:pPr>
      <w:r>
        <w:rPr>
          <w:rFonts w:ascii="Times New Roman;serif" w:hAnsi="Times New Roman;serif"/>
          <w:b w:val="false"/>
          <w:sz w:val="20"/>
        </w:rPr>
        <w:t>Cancer therapies are sometimes characterized as first-line, second-line or third-line, and the FDA often approves new therapies initially only for a particular line of use. When cancer is detected early enough, first-line therapy, such as chemotherapy, hormone therapy, surgery, radiation therapy or a combination of these, is sometimes adequate to cure the cancer or prolong life without a cure. Second- and third-line therapies are administered to patients when prior therapy is not effective. There is no guarantee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that product candidates we develop, even if approved, would be approved for first-line therapy, and, prior to any such approvals, we may have to conduct additional clinical trials that may be costly, time-consuming and subject to risk.</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number of patients who have the cancers we are targeting may turn out to be lower than expected. Additionally, the potentially addressable patient population for the product candidates we develop may be limited or may not be amenable to treatment with our product candidates. Regulatory approval may limit the market of a product candidate to target patient populations when biomarker-driven identification and/or highly specific criteria related to the stage of disease progression are utilized.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Even if we obtain significant market share for any approved product, if the potential target populations are small, we may never achieve profitability without obtaining marketing approval for additional indications.</w:t>
      </w:r>
    </w:p>
    <w:p>
      <w:pPr>
        <w:pStyle w:val="TextBody"/>
        <w:spacing w:before="120" w:after="0"/>
        <w:jc w:val="left"/>
        <w:rPr>
          <w:rFonts w:ascii="Times New Roman;serif" w:hAnsi="Times New Roman;serif"/>
          <w:b/>
          <w:i/>
          <w:sz w:val="20"/>
        </w:rPr>
      </w:pPr>
      <w:r>
        <w:rPr>
          <w:rFonts w:ascii="Times New Roman;serif" w:hAnsi="Times New Roman;serif"/>
          <w:b/>
          <w:i/>
          <w:sz w:val="20"/>
        </w:rPr>
        <w:t>We may not be successful in augmenting our product pipeline through acquisitions and in-licenses.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believe that accessing external innovation and expertise is important to our success; and while we plan to leverage our leadership team’s prior business development experience as we evaluate potential in-licensing and acquisition opportunities to further expand our portfolio, we may not be able to identify suitable licensing or acquisition opportunities, and even if we do, we may not be able to successfully secure such licensing and acquisition opportunities. The licensing or acquisition of third-party intellectual property rights is a competitive area, and several more established companies may pursue strategies to license or acquire third-party intellectual property rights that we may consider attractive or necessary. These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license or acquire additional product candidates to expand our portfolio, our pipeline, competitive position, business, financial condition, results of operations, and prospects may be materially harmed.</w:t>
      </w:r>
    </w:p>
    <w:p>
      <w:pPr>
        <w:pStyle w:val="TextBody"/>
        <w:spacing w:before="120" w:after="0"/>
        <w:jc w:val="left"/>
        <w:rPr>
          <w:rFonts w:ascii="Times New Roman;serif" w:hAnsi="Times New Roman;serif"/>
          <w:b/>
          <w:i/>
          <w:sz w:val="20"/>
        </w:rPr>
      </w:pPr>
      <w:r>
        <w:rPr>
          <w:rFonts w:ascii="Times New Roman;serif" w:hAnsi="Times New Roman;serif"/>
          <w:b/>
          <w:i/>
          <w:sz w:val="20"/>
        </w:rPr>
        <w:t>Any product candidates we develop may become subject to unfavorable third-party coverage and reimbursement practices, as well as pricing regulations.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spacing w:before="120" w:after="0"/>
        <w:jc w:val="left"/>
        <w:rPr>
          <w:rFonts w:ascii="Times New Roman;serif" w:hAnsi="Times New Roman;serif"/>
          <w:b/>
          <w:i/>
          <w:sz w:val="20"/>
        </w:rPr>
      </w:pPr>
      <w:r>
        <w:rPr>
          <w:rFonts w:ascii="Times New Roman;serif" w:hAnsi="Times New Roman;serif"/>
          <w:b/>
          <w:i/>
          <w:sz w:val="20"/>
        </w:rPr>
        <w:t>Our business entails a significant risk of product liability and if we are unable to obtain sufficient insurance coverage such inability could have an adverse effect on our business and financial condition.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or other regulatory authority investigation of the safety and effectiveness of our products, our manufacturing processes and facilities or our marketing programs. FDA, EMA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pStyle w:val="TextBody"/>
        <w:spacing w:before="120" w:after="0"/>
        <w:jc w:val="left"/>
        <w:rPr>
          <w:rFonts w:ascii="Times New Roman;serif" w:hAnsi="Times New Roman;serif"/>
          <w:b/>
          <w:sz w:val="20"/>
        </w:rPr>
      </w:pPr>
      <w:r>
        <w:rPr>
          <w:rFonts w:ascii="Times New Roman;serif" w:hAnsi="Times New Roman;serif"/>
          <w:b/>
          <w:sz w:val="20"/>
        </w:rPr>
        <w:t>Risks related to regulatory approval and other legal compliance matters</w:t>
      </w:r>
    </w:p>
    <w:p>
      <w:pPr>
        <w:pStyle w:val="TextBody"/>
        <w:spacing w:before="120" w:after="0"/>
        <w:jc w:val="left"/>
        <w:rPr>
          <w:rFonts w:ascii="Times New Roman;serif" w:hAnsi="Times New Roman;serif"/>
          <w:b/>
          <w:i/>
          <w:sz w:val="20"/>
        </w:rPr>
      </w:pPr>
      <w:r>
        <w:rPr>
          <w:rFonts w:ascii="Times New Roman;serif" w:hAnsi="Times New Roman;serif"/>
          <w:b/>
          <w:i/>
          <w:sz w:val="20"/>
        </w:rPr>
        <w:t>We may be unable to obtain U.S. or foreign regulatory approval and, as a result, may be unable to commercialize our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and its foreign counterparts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pStyle w:val="TextBody"/>
        <w:spacing w:before="120" w:after="0"/>
        <w:jc w:val="left"/>
        <w:rPr>
          <w:rFonts w:ascii="Times New Roman;serif" w:hAnsi="Times New Roman;serif"/>
          <w:b/>
          <w:i/>
          <w:sz w:val="20"/>
        </w:rPr>
      </w:pPr>
      <w:r>
        <w:rPr>
          <w:rFonts w:ascii="Times New Roman;serif" w:hAnsi="Times New Roman;serif"/>
          <w:b/>
          <w:i/>
          <w:sz w:val="20"/>
        </w:rPr>
        <w:t>The FDA, EMA and other comparable foreign regulatory authorities may not accept data from trials conducted in locations outside of their jurisdiction.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conducted and still conduct clinical trials in the United States. We may choose to conduct additional clinical trials internationally, including a Phase 1b trial for ORIC-114 in South Korea and Australia. The acceptance of study data by the FDA, EMA or other comparable foreign regulatory authority from clinical trials conducted outside of their respective jurisdictions may be subject to certain conditions. In cases where data from United States clinical trials are intended to serve as the basis for marketing approval in the foreign countries outside the United States, the standards for clinical trials and approval may be different. There can be no assurance that any United States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Brexit and uncertainty in the regulatory framework as well as future legislation in the United Kingdom (UK), EU and other jurisdictions can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Uncertainty in the regulatory framework could also result in disruption to the supply and distribution as well as the import/export both of active pharmaceutical ingredients and finished product. Such a disruption could create supply difficulties for ongoing clinical trials. The cumulative effects of the disruption to the regulatory framework, uncertainty in future regulation, and changes to existing regulations may increase our development lead time to marketing authorization and commercialization of products in the EU and/or the UK and increase our costs. We cannot predict the impact of such changes and future regulation on our business or the results of our operations.</w:t>
      </w:r>
    </w:p>
    <w:p>
      <w:pPr>
        <w:pStyle w:val="TextBody"/>
        <w:spacing w:before="120" w:after="0"/>
        <w:jc w:val="left"/>
        <w:rPr>
          <w:rFonts w:ascii="Times New Roman;serif" w:hAnsi="Times New Roman;serif"/>
          <w:b/>
          <w:i/>
          <w:sz w:val="20"/>
        </w:rPr>
      </w:pPr>
      <w:r>
        <w:rPr>
          <w:rFonts w:ascii="Times New Roman;serif" w:hAnsi="Times New Roman;serif"/>
          <w:b/>
          <w:i/>
          <w:sz w:val="20"/>
        </w:rPr>
        <w:t>Obtaining and maintaining regulatory approval of our product candidates in one jurisdiction does not mean that we will be successful in obtaining regulatory approval of our product candidates in other jurisdictions.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Obtaining and maintaining regulatory approval of our product candidates in one jurisdiction does not guarantee that we will be able to obtain or maintain regulatory approval in any other jurisdiction. For example, even if the FDA or EMA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i/>
          <w:sz w:val="20"/>
        </w:rPr>
      </w:pPr>
      <w:r>
        <w:rPr>
          <w:rFonts w:ascii="Times New Roman;serif" w:hAnsi="Times New Roman;serif"/>
          <w:b/>
          <w:i/>
          <w:sz w:val="20"/>
        </w:rPr>
        <w:t>Even if our product candidates receive regulatory approval, they will be subject to significant post-marketing regulatory requirements and oversight.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regulatory approvals that we may receive for our product candidates will require the submission of reports to regulatory authorities and on-going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and regulatory inspection.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current good manufacturing practices (cGMPs) and good clinical practices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delays in or the rejection of product approvals;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restrictions on our ability to conduct clinical trials, including full or partial clinical holds on ongoing or planned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restrictions on the products, manufacturers or manufacturing process;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warning or untitled letters;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civil and criminal penalties;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injunctions;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suspension or withdrawal of regulatory approvals;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product seizures, detentions or import bans;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voluntary or mandatory product recalls and publicity requirements;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total or partial suspension of production;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imposition of restrictions on operations, including costly new manufacturing requirements.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occurrence of any event or penalty described above may inhibit our ability to commercialize our product candidates, if approved, and generate revenue.</w:t>
      </w:r>
    </w:p>
    <w:p>
      <w:pPr>
        <w:pStyle w:val="TextBody"/>
        <w:spacing w:before="120" w:after="0"/>
        <w:jc w:val="left"/>
        <w:rPr>
          <w:rFonts w:ascii="Times New Roman;serif" w:hAnsi="Times New Roman;serif"/>
          <w:b/>
          <w:i/>
          <w:sz w:val="20"/>
        </w:rPr>
      </w:pPr>
      <w:r>
        <w:rPr>
          <w:rFonts w:ascii="Times New Roman;serif" w:hAnsi="Times New Roman;serif"/>
          <w:b/>
          <w:i/>
          <w:sz w:val="20"/>
        </w:rPr>
        <w:t>The FDA and other regulatory agencies actively enforce the laws and regulations prohibiting the promotion of off-label uses.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For example, if we receive marketing approval for ORIC-533 as a treatment for multiple myeloma, physicians may nevertheless use our product for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i/>
          <w:sz w:val="20"/>
        </w:rPr>
      </w:pPr>
      <w:r>
        <w:rPr>
          <w:rFonts w:ascii="Times New Roman;serif" w:hAnsi="Times New Roman;serif"/>
          <w:b/>
          <w:i/>
          <w:sz w:val="20"/>
        </w:rPr>
        <w:t>If we are required by the FDA to obtain approval of a companion diagnostic test in connection with approval of any of our product candidates or a group of therapeutic products, and we do not obtain or we face delays in obtaining FDA approval of a diagnostic test, we will not be able to commercialize the product candidate and our ability to generate revenue will be materially impaired.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connection with the development of our potential product candidates, we may develop or work with collaborators to develop or obtain access to companion diagnostic tests to identify patient subsets within a disease category who may derive selective and meaningful benefit from our programs. Such companion diagnostics would be used during our clinical trials as well as in connection with the commercialization of our product candidates. To be successful in developing and commercializing product candidates in combination with these companion diagnostics, we or our collaborators will need to address a number of scientific, technical, regulatory and logistical challenges.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at the same time the product candidate is approved. To date, the FDA has required marketing approval of all companion diagnostic tests for cancer therapies. Various foreign regulatory authorities also regulate in vitro companion diagnostics as medical devices and, under those regulatory frameworks, will likely require the conduct of clinical trials to demonstrate the safety and effectiveness of our current diagnostics and any future diagnostics we may develop, which we expect will require separate regulatory clearance or approval prior to commercialization.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approval of a companion diagnostic as part of the therapeutic product’s labeling limits the use of the therapeutic product to only those patients who express certain biomarkers or the specific genetic alteration that the companion diagnostic was developed to detect. If the FDA, EMA or a comparable regulatory authority requires approval of a companion diagnostic for any of our product candidates, whether before or concurrently with approval of the product candidate, we, and/or future collaborators, may encounter difficulties in developing and obtaining approval for these companion diagnostics. Any delay or failure by us or third-party collaborators to develop or obtain regulatory approval of a companion diagnostic could delay or prevent approval or continued marketing of our related product candidates. Further, in April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issuances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operations. Additionally, we may rely on third parties for the design, development and manufacture of companion diagnostic tests for our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 and commercializing companion diagnostics similar to those we face with respect to our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our product candidates, or experience delays in doing so, the development of our product candidates may be adversely affected, our product candidates may not obtain marketing approval, and we may not realize the full commercial potential of any of our product candidates that obtain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p>
    <w:p>
      <w:pPr>
        <w:pStyle w:val="TextBody"/>
        <w:spacing w:before="120" w:after="0"/>
        <w:jc w:val="left"/>
        <w:rPr>
          <w:rFonts w:ascii="Times New Roman;serif" w:hAnsi="Times New Roman;serif"/>
          <w:b/>
          <w:i/>
          <w:sz w:val="20"/>
        </w:rPr>
      </w:pPr>
      <w:r>
        <w:rPr>
          <w:rFonts w:ascii="Times New Roman;serif" w:hAnsi="Times New Roman;serif"/>
          <w:b/>
          <w:i/>
          <w:sz w:val="20"/>
        </w:rPr>
        <w:t>We may seek Fast Track designation from the FDA for one or more of our product candidates. Even if one or more of our product candidates receive Fast Track designation, we may be unable to obtain or maintain the benefits associated with the Fast Track designation.</w:t>
      </w:r>
    </w:p>
    <w:p>
      <w:pPr>
        <w:pStyle w:val="TextBody"/>
        <w:spacing w:before="120" w:after="0"/>
        <w:jc w:val="left"/>
        <w:rPr>
          <w:rFonts w:ascii="Times New Roman" w:hAnsi="Times New Roman"/>
          <w:sz w:val="20"/>
        </w:rPr>
      </w:pPr>
      <w:r>
        <w:rPr>
          <w:rFonts w:ascii="Times New Roman;serif" w:hAnsi="Times New Roman;serif"/>
          <w:b w:val="false"/>
          <w:sz w:val="20"/>
        </w:rPr>
        <w:t>Fast Track designation is designed to facilitate the development and expedite the review of therapies for serious conditions and fill an unmet medical need. Programs with Fast Track designation may benefit from early and frequent communications with the FDA, potential priority review and the ability to submit a rolling application for regulatory review. Fast Track designation applies to both the product candidate and the specific indication for which it is being studied. If any of our product candidates receive Fast Track</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designation but do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Furthermore, Fast Track designation does not change the standards for approval. Fast Track designation alone does not guarantee qualification for the FDA’s priority review procedures.</w:t>
      </w:r>
    </w:p>
    <w:p>
      <w:pPr>
        <w:pStyle w:val="TextBody"/>
        <w:spacing w:before="120" w:after="0"/>
        <w:jc w:val="left"/>
        <w:rPr>
          <w:rFonts w:ascii="Times New Roman;serif" w:hAnsi="Times New Roman;serif"/>
          <w:b/>
          <w:i/>
          <w:sz w:val="20"/>
        </w:rPr>
      </w:pPr>
      <w:r>
        <w:rPr>
          <w:rFonts w:ascii="Times New Roman;serif" w:hAnsi="Times New Roman;serif"/>
          <w:b/>
          <w:i/>
          <w:sz w:val="20"/>
        </w:rPr>
        <w:t>We may not be able to obtain orphan drug designation or obtain or maintain orphan drug exclusivity for our product candidates and, even if we do, that exclusivity may not prevent the FDA, EMA or other comparable foreign regulatory authorities, from approving competing products.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Regulatory authorities in some jurisdictions, including the United States and the EU,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Our target indications may include diseases with large patient populations or may include orphan indications. However, there can be no assurances that we will be able to obtain orphan designations for our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10 years in Europe. The European exclusivity period can be reduced to six years if a drug no longer meets the criteria for orphan drug designation or if the drug is sufficiently profitable so that market exclusivity is no longer justified.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Even if we obtain orphan drug designation for a product candidate, we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pStyle w:val="TextBody"/>
        <w:spacing w:before="120" w:after="0"/>
        <w:jc w:val="left"/>
        <w:rPr>
          <w:rFonts w:ascii="Times New Roman;serif" w:hAnsi="Times New Roman;serif"/>
          <w:b/>
          <w:i/>
          <w:sz w:val="20"/>
        </w:rPr>
      </w:pPr>
      <w:r>
        <w:rPr>
          <w:rFonts w:ascii="Times New Roman;serif" w:hAnsi="Times New Roman;serif"/>
          <w:b/>
          <w:i/>
          <w:sz w:val="20"/>
        </w:rPr>
        <w:t>Where appropriate, we plan to secure approval from the FDA or comparable foreign regulatory authorities through the use of accelerated registration pathways.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Where possible, we plan to pursue accelerated development strategies in areas of high unmet need. We may seek an accelerated approval pathway for one or more of our product candidates.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On December 29, 2022, the Consolidated Appropriations Act, 2023, including the Food and Drug Omnibus Reform Act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w:t>
      </w:r>
    </w:p>
    <w:p>
      <w:pPr>
        <w:pStyle w:val="TextBody"/>
        <w:spacing w:before="120" w:after="0"/>
        <w:jc w:val="left"/>
        <w:rPr>
          <w:rFonts w:ascii="Times New Roman" w:hAnsi="Times New Roman"/>
          <w:sz w:val="20"/>
        </w:rPr>
      </w:pPr>
      <w:r>
        <w:rPr>
          <w:rFonts w:ascii="Times New Roman;serif" w:hAnsi="Times New Roman;serif"/>
          <w:b w:val="false"/>
          <w:sz w:val="20"/>
        </w:rPr>
        <w:t>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Prior to seeking such accelerated approval, we will seek feedback from the FDA and will otherwise evaluate our ability to seek and receive such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(e.g., breakthrough therapy designation),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pStyle w:val="TextBody"/>
        <w:spacing w:before="120" w:after="0"/>
        <w:jc w:val="left"/>
        <w:rPr>
          <w:rFonts w:ascii="Times New Roman;serif" w:hAnsi="Times New Roman;serif"/>
          <w:b/>
          <w:i/>
          <w:sz w:val="20"/>
        </w:rPr>
      </w:pPr>
      <w:r>
        <w:rPr>
          <w:rFonts w:ascii="Times New Roman;serif" w:hAnsi="Times New Roman;serif"/>
          <w:b/>
          <w:i/>
          <w:sz w:val="20"/>
        </w:rPr>
        <w:t>We may face difficulties from changes to current regulations and future legislation.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example, in March 2010, the Patient Protection and Affordable Care Act of 2010, as amended by the Health Care and Education Reconciliation Act of 2010 (collectively, the ACA), was passed, which substantially changed the way healthcare is financed by both the government and private insurers and continues to significantly impact the U.S. pharmaceutical industry. Since its enactment, there have been legislative and judicial efforts to repeal, replace, or change some or all of the ACA. In June 2021, the United States Supreme Court held that Texas and other challengers had no legal standing to challenge the ACA, dismissing the case without specifically ruling on the constitutionality of the ACA. It is unclear how future litigation and healthcare measures promulgated by the Biden administration will impact the implementation of the ACA, our business, financial condition and results of operations. Complying with any new legislation or reversing changes implemented under the ACA could be time-intensive and expensive, resulting in a material adverse effect on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other legislative changes have been proposed and adopted in the United States since the ACA was enacted. These changes included aggregate reductions to Medicare payments to providers of up to 2% per fiscal year, effective April 1, 2013, which will stay in effect through 2031, with the exception of a temporary suspension implemented under various COVID-19 relief legislation from May 1, 2020 through March 31, 2022. Under current legislation, the reduction in Medicare payments varies from 1% in 2022 up to 4% in the final fiscal year of the sequester,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pStyle w:val="TextBody"/>
        <w:spacing w:before="120" w:after="0"/>
        <w:jc w:val="left"/>
        <w:rPr>
          <w:rFonts w:ascii="Times New Roman" w:hAnsi="Times New Roman"/>
          <w:sz w:val="20"/>
        </w:rPr>
      </w:pPr>
      <w:r>
        <w:rPr>
          <w:rFonts w:ascii="Times New Roman;serif" w:hAnsi="Times New Roman;serif"/>
          <w:b w:val="false"/>
          <w:sz w:val="20"/>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Further, the Biden administration released an additional executive order in October 2022, directing the HHS to submit a report on how the Center for Medicare and Medicaid Innovation can be further leveraged to test new models for lowering drug costs for Medicare and Medicaid beneficiaries. The impact of these legislative, executive, and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administrative actions and any future healthcare measures and agency rules implemented by the Biden administration on us and the pharmaceutical industry as a whole is unclear. The implementation of cost containment measures or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 and expose us to greater liability.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w:t>
      </w:r>
      <w:r>
        <w:rPr>
          <w:rFonts w:ascii="Times New Roman" w:hAnsi="Times New Roman"/>
          <w:sz w:val="20"/>
        </w:rPr>
        <w:t xml:space="preserve"> </w:t>
      </w:r>
      <w:r>
        <w:rPr>
          <w:rFonts w:ascii="Times New Roman;serif" w:hAnsi="Times New Roman;serif"/>
          <w:b w:val="false"/>
          <w:sz w:val="20"/>
        </w:rPr>
        <w:t>We are unable to predict the future course of federal or state healthcare legislation in the United States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Further, on May 30, 2018, the Trickett Wendler, Frank Mongiello, Jordan McLinn, and Matthew Bellina Right to Try Act of 2017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It is also possible that additional governmental action is taken to address the COVID-19 pandemic.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Additionally, the collection and use of health data in the EU is governed by the General Data Protection Regulation (GDPR), which extends the geographical scope of EU data protection law to non-EU entities under certain conditions and imposes substantial obligations upon companies and new rights for individuals. Failure to comply with the GDPR and the applicable national data protection laws of EU Member States may result in fines up to €20,000,000 or up to 4% of the total worldwide annual turnover of the preceding financial year, whichever is higher, and other administrative penalties and liabilities. The GDPR has increased our responsibility and liability in relation to personal data that we may process, and we may be required to put in place additional mechanisms in an effort to comply with the GDPR or other laws and regulations relating to privacy, data protection and cybersecurity. This may be onerous and if our efforts to comply with GDPR or other applicable laws and regulations are not successful, it could adversely affect our business. Further, the European Court of Justice (ECJ) in 2020 invalidated the EU-U.S. Privacy Shield, which had enabled the transfer of personal data from the EU to the U.S. for companies that had self-certified to the Privacy Shield. To the extent that we were to rely on Privacy Shield, we will not be able to do so in the future, and the ECJ’s decision resulted in additional requirements for companies making use of standard contractual clauses issued by the European Commission (SCCs), including requirements to make use of updated SCCs. The UK also has issued updated standard contractual clauses that also are required to be implemented. The ECJ’s decision and other events with respect to cross-border data transfer may impose additional obligations with respect to the transfer of personal data from the European Economic Area, the UK and Switzerland to the U.S. and may require us to modify our policies and practices and engage in additional contractual negotiations, each of which could increase our costs and obligations and impose limitations upon our ability to efficiently transfer personal data from those regions to the U.S.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Further, the exit from the EU of the UK, often referred to as Brexit, has created uncertainty regarding data protection regulation in the UK. The UK has implemented legislation that implements and complements the GDPR, with penalties for noncompliance of up to the greater of £17.5 million or four percent of worldwide revenues. Aspects of data protection regulation in the UK, however, including with respect to cross-border data transfers, remain unclear in the medium to longer term following Brexit. The UK’s relationship with the EU may require us to incur significant costs and expenses in an effort to comply with distinct privacy and data protection requirements in the EU and UK. More generally, we may incur liabilities, expenses, costs, and other operational losses under GDPR and the privacy and data protection laws of applicable EU Member States and the UK in connection with any measures we take to comply with them.</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Finally, state and foreign laws may apply generally to the privacy and security of information we maintain, and may differ from each other in significant ways, thus complicating compliance efforts. For example, the California Consumer Privacy Act of 2018 (CCPA), which took effect on January 1, 2020, gives California residents expanded rights to access and require deletion of their personal information, opt out of certain personal information sharing, and receive detailed information about how their personal information is used. In addition, the CCPA (a) allows enforcement by the California Attorney General, with fines set at $2,500 per violation (i.e., per person) or $7,500 per intentional violation and (b) authorizes private lawsuits to recover statutory damages for certain data breaches. While it exempts some data regulated by the Health Insurance Portability and Accountability Act of 1996 (HIPAA) and certain clinical trials data, the CCPA, to the extent applicable to our business and operations, may increase our compliance costs and potential liability with respect to other personal information we collect about California residents. Additionally, the California Privacy Rights Act (CPRA) was approved by California voters in November 2020, and it becomes operative in most respects on January 1, 2023. The CPRA significantly modified the CCPA, which may require us to modify our practices and policies and may further increase our compliance costs and potential liability. Some observers note that the CCPA could mark the beginning of a trend toward more stringent privacy legislation in the U.S., which could increase our potential liability and adversely affect our business. In addition to the CCPA, numerous other states’ legislatures are considering similar laws that will require ongoing compliance efforts and investment. For example, in March 2021, Virginia enacted a Consumer Data Protection Act that will go into effect on January 1, 2023; in June 2021, Colorado enacted a Colorado Privacy Act that will go into effect on July 1, 2023; in March 2022, Utah enacted a Utah Consumer Privacy Act that will go into effect December 31, 2023; and in May 2022, Connecticut enacted An Act Concerning Personal Data Privacy and Online Monitoring that will take effect on July 1, 2023. All of these new state laws share similarities with the CCPA, CPRA, and legislation proposed in other states. Complying with emerging and changing legal and regulatory requirements relating to privacy, data protection and other matters may cause us to incur costs or require us to change our business practices, which could harm our business, financial condition, and results of operations and prospects.</w:t>
      </w:r>
    </w:p>
    <w:p>
      <w:pPr>
        <w:pStyle w:val="TextBody"/>
        <w:spacing w:before="120" w:after="0"/>
        <w:jc w:val="left"/>
        <w:rPr>
          <w:rFonts w:ascii="Times New Roman;serif" w:hAnsi="Times New Roman;serif"/>
          <w:b/>
          <w:i/>
          <w:sz w:val="20"/>
        </w:rPr>
      </w:pPr>
      <w:r>
        <w:rPr>
          <w:rFonts w:ascii="Times New Roman;serif" w:hAnsi="Times New Roman;serif"/>
          <w:b/>
          <w:i/>
          <w:sz w:val="20"/>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public health emergency, the FDA temporarily postponed inspections of foreign manufacturing facilities and routine surveillance inspections of domestic manufacturing facilities. While the FDA has largely caught up with domestic preapproval inspections, it continues to work through its backlog of foreign inspections. If a prolonged government shutdown or other disruption occurs, including due to travel restrictions, foreign COVID-19-related policies, staffing shortages or public health reasons, or if global health or other concerns continue to prevent the FDA or other regulatory authorities from conducting their regular inspections, reviews or other regulatory activities in a timely manner,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pStyle w:val="TextBody"/>
        <w:spacing w:before="120" w:after="0"/>
        <w:jc w:val="left"/>
        <w:rPr>
          <w:rFonts w:ascii="Times New Roman;serif" w:hAnsi="Times New Roman;serif"/>
          <w:b/>
          <w:i/>
          <w:sz w:val="20"/>
        </w:rPr>
      </w:pPr>
      <w:r>
        <w:rPr>
          <w:rFonts w:ascii="Times New Roman;serif" w:hAnsi="Times New Roman;serif"/>
          <w:b/>
          <w:i/>
          <w:sz w:val="20"/>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federal Anti-Kickback Statute (AKS) prohibits, among other things, persons and entities from knowingly and willfully soliciting, offering, receiving or providing remuneration, directly or indirectly, in cash or in kind, to induce or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reward, or in return for, either the referral of an individual for, or the purchase, order or recommendation of, any good or service, for which payment may be made under a federal healthcare program such as Medicare and Medicaid;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federal false claims laws, including the civil False Claims Act (FCA),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federal HIPAA, prohibits, among other things, executing or attempting to execute a scheme to defraud any healthcare benefit program or making false statements relating to healthcare matters;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HIPAA, as amended by the Health Information Technology for Economic and Clinical Health Act (HITECH) and their implementing regulations, also imposes obligations, including mandatory contractual terms, on covered entities, which are health plans, healthcare clearinghouses, and certain health care providers, as those terms are defined by HIPAA, and their respective business associates, with respect to safeguarding the privacy, security and transmission of individually identifiable health information;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covered recipients, including physicians (defined to include doctors, dentists, optometrists, podiatrists and chiropractors), certain non-physician healthcare providers (such as physician assistants and nurse practitioners), and teaching hospitals, as well as information regarding ownership and investment interests held by physicians and their immediate family members;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many of which differ from each other in significant ways and often are not preempted by HIPAA, thus complicating compliance efforts.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Efforts to ensure that our current and future business arrangements with third parties will comply with applicable healthcare and data privacy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pStyle w:val="TextBody"/>
        <w:spacing w:before="120" w:after="0"/>
        <w:jc w:val="left"/>
        <w:rPr>
          <w:rFonts w:ascii="Times New Roman;serif" w:hAnsi="Times New Roman;serif"/>
          <w:b/>
          <w:i/>
          <w:sz w:val="20"/>
        </w:rPr>
      </w:pPr>
      <w:r>
        <w:rPr>
          <w:rFonts w:ascii="Times New Roman;serif" w:hAnsi="Times New Roman;serif"/>
          <w:b/>
          <w:i/>
          <w:sz w:val="20"/>
        </w:rPr>
        <w:t>Our employees, independent contractors, consultants, commercial collaborators, principal investigators, CROs, suppliers and vendors may engage in misconduct or other improper activities, including noncompliance with regulatory standards and requirements.</w:t>
      </w:r>
    </w:p>
    <w:p>
      <w:pPr>
        <w:pStyle w:val="TextBody"/>
        <w:spacing w:before="120" w:after="0"/>
        <w:jc w:val="left"/>
        <w:rPr>
          <w:rFonts w:ascii="Times New Roman" w:hAnsi="Times New Roman"/>
          <w:sz w:val="20"/>
        </w:rPr>
      </w:pPr>
      <w:r>
        <w:rPr>
          <w:rFonts w:ascii="Times New Roman;serif" w:hAnsi="Times New Roman;serif"/>
          <w:b w:val="false"/>
          <w:sz w:val="20"/>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pStyle w:val="TextBody"/>
        <w:spacing w:before="120" w:after="0"/>
        <w:jc w:val="left"/>
        <w:rPr>
          <w:rFonts w:ascii="Times New Roman;serif" w:hAnsi="Times New Roman;serif"/>
          <w:b/>
          <w:i/>
          <w:sz w:val="20"/>
        </w:rPr>
      </w:pPr>
      <w:r>
        <w:rPr>
          <w:rFonts w:ascii="Times New Roman;serif" w:hAnsi="Times New Roman;serif"/>
          <w:b/>
          <w:i/>
          <w:sz w:val="20"/>
        </w:rPr>
        <w:t>If we fail to comply with other U.S. healthcare laws and compliance requirements, we could become subject to fines or penalties or incur costs that could have a material adverse effect on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the United States, our current and future activities with investigators, healthcare professionals, consultants, third-party payors, patient organizations and customers are subject to regulation by various federal, state and local authorities in addition to the FDA, which may include but are not limited to, CMS, other divisions of the U.S. Department of Health and Human Services (e.g., the Office of Inspector General), the U.S. Department of Justice (DOJ) and individual U.S. Attorney offices within the DOJ, and state and local governments. For example, our business practices, including our clinical research, sales, marketing and scientific/educational grant programs may be required to comply with the anti-fraud and abuse provisions of the Social Security Act, the false claims laws, the patient data privacy and security provisions of HIPAA transparency requirements, and similar state laws, each as amended, as applicable.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federal AKS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good, item, facility or service reimbursable, in whole or part, under Medicare, Medicaid or other federal healthcare programs. The term “remuneration” has been interpreted broadly to include anything of value. The federal AKS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AKS.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Additionally, the intent standard under the federal AKS was amended by the ACA, to a stricter standard such that a person or entity no longer needs to have actual knowledge of the federal AKS or specific intent to violate it in order to have committed a violation. Rather, if “one purpose” of the remuneration is to induce referrals, the federal AKS is implicated. In addition, the ACA codified case law that a claim that includes items or services resulting from a violation of the federal AKS constitutes a false or fraudulent claim for purposes of the federal civil FCA (discussed below).</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civil monetary penalties statute imposes penalties against any person or entity who, among other things, is determined to have presented or caused to be presented a claim to a federal healthcare program that the person knows or should know is for a medical or other item or service that was not provided as claimed or is false or fraudulent.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federal civil FCA prohibits, among other things, any person or entity from knowingly presenting, or causing to be presented, a false claim for payment to, or approval by, the federal government, knowingly making, using, or causing to be made or used a false record or statement material to a false or fraudulent claim to the federal government, or knowingly making a false statement to improperly avoid, decrease or conceal an obligation to pay money to the federal government. As a result of a modification made by the Fraud Enforcement and Recovery Act of 2009, a claim includes “any request or demand” for money or property presented to the U.S. government. Pharmaceutical and other healthcare companies are being investigated or, in the past,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non-reimbursable, uses.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HIPAA imposes criminal and civil liability for,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Like the AKS, the ACA amended the intent standard for certain healthcare fraud statutes under HIPAA such that a person or entity no longer needs to have actual knowledge of the statute or specific intent to violate it in order to have committed a violation.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Analogous U.S. state laws and regulations, including state anti-kickback and false claims laws, may apply to claims involving healthcare items or services reimbursed by any third-party payor, including private insurers our business practices.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45</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HIPAA, as amended by HITECH, and their implementing regulations, imposes requirements on certain types of individuals and entities relating to the privacy, security and transmission of individually identifiable health information. Among other things, HITECH makes HIPAA’s privacy and security standards directly applicable to business associates that are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covered recipients, including physicians (defined to include doctors, dentists, optometrists, podiatrists and chiropractors), certain non-physician healthcare providers (such as physician assistants and nurse practitioners) and teaching hospitals, or to entities or individuals at the request of, or designated on behalf of, such covered recipients, and to report annually certain ownership and investment interests held by physicians and their immediate family members.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State and local laws also require pharmaceutical and biotechnology companies to comply with the pharmaceutical industry’s voluntary compliance guidelines and the relevant compliance guidance promulgated by the U.S. federal government, establish marketing compliance programs, restrict payments that may be made to healthcare providers professionals and entities and other potential referral sources, file periodic reports with the state relating to pricing and marketing, make periodic public disclosures on sales, marketing, pricing, clinical trials and other activities, and/or register field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 Ensuring that our internal operations and future business arrangements with third parties comply with applicable healthcare laws and regulations will involve substantial costs.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Because of the breadth of these laws and the narrowness of the statutory exceptions and safe harbors available,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individual imprisonment, exclusion from participation in government programs, such as Medicare and Medicaid, injunctions, private “qui tam” actions brought by individual whistleblowers in the name of the government, exclusion, debarment or refusal to allow us to enter into government contracts, contractual damages, reputational harm, administrative burdens, diminished profits and future earnings, additional reporting requirements and/or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p>
    <w:p>
      <w:pPr>
        <w:pStyle w:val="TextBody"/>
        <w:spacing w:before="120" w:after="0"/>
        <w:jc w:val="left"/>
        <w:rPr>
          <w:rFonts w:ascii="Times New Roman;serif" w:hAnsi="Times New Roman;serif"/>
          <w:b/>
          <w:i/>
          <w:sz w:val="20"/>
        </w:rPr>
      </w:pPr>
      <w:r>
        <w:rPr>
          <w:rFonts w:ascii="Times New Roman;serif" w:hAnsi="Times New Roman;serif"/>
          <w:b/>
          <w:i/>
          <w:sz w:val="20"/>
        </w:rPr>
        <w:t>If we fail to comply with environmental, health and safety laws and regulations, we could become subject to fines or penalties or incur costs that could have a material adverse effect on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46</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spacing w:before="120" w:after="0"/>
        <w:jc w:val="left"/>
        <w:rPr>
          <w:rFonts w:ascii="Times New Roman;serif" w:hAnsi="Times New Roman;serif"/>
          <w:b/>
          <w:i/>
          <w:sz w:val="20"/>
        </w:rPr>
      </w:pPr>
      <w:r>
        <w:rPr>
          <w:rFonts w:ascii="Times New Roman;serif" w:hAnsi="Times New Roman;serif"/>
          <w:b/>
          <w:i/>
          <w:sz w:val="20"/>
        </w:rPr>
        <w:t>Our business activities may be subject to the U.S. Foreign Corrupt Practices Act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business activities may be subject to the FCPA and similar anti-bribery or anti-corruption laws, regulations or rules of other countries in which we operate. The FCPA generally prohibits companies and their employees and third-party intermediaries from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 Recently, the SEC and DOJ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products in one or more countries and could materially damage our reputation, our brand, our international activities, our ability to attract and retain employees and our business, prospects, operating results and financial condition.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pStyle w:val="TextBody"/>
        <w:spacing w:before="120" w:after="0"/>
        <w:jc w:val="left"/>
        <w:rPr>
          <w:rFonts w:ascii="Times New Roman" w:hAnsi="Times New Roman"/>
          <w:sz w:val="20"/>
        </w:rPr>
      </w:pPr>
      <w:r>
        <w:rPr>
          <w:rFonts w:ascii="Calibri;sans-serif" w:hAnsi="Calibri;sans-serif"/>
          <w:b/>
          <w:i/>
          <w:sz w:val="20"/>
        </w:rPr>
        <w:t>I</w:t>
      </w:r>
      <w:r>
        <w:rPr>
          <w:rFonts w:ascii="Times New Roman;serif" w:hAnsi="Times New Roman;serif"/>
          <w:b/>
          <w:i/>
          <w:sz w:val="20"/>
        </w:rPr>
        <w:t>f we fail to comply with California laws or Nasdaq rules governing the diversity of our board of directors, we could be exposed to financial penalties and suffer reputational harm.</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September 2018, California’s Senate Bill 826 was signed into law. Senate Bill 826 generally requires that a public company with a principal executive office in California have a minimum number of females on its board of directors, with such minimum number dependent on the size of such board of directors. By December 31, 2019, each public company with a principal executive office in California was required to have at least one female on its board of directors. On May 13, 2022, the Los Angeles County Superior Court in California found that Senate Bill 826 violated California’s Constitution and ruled that the State is precluded from enforcing the law with taxpayer funds or resources. This ruling may be appealed, but the injunction against enforcement will remain in place during potential appeals.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Additionally, in September 2020, Assembly Bill 979 was signed into law. Assembly Bill 979 generally required that a public company with a principal executive office in California have a minimum number of directors from underrepresented communities, with such minimum number dependent on the size of such board of directors. On April 1, 2022, the Los Angeles County Superior Court in California found that Assembly Bill 979 violated California’s Constitution and ruled that the State is precluded from enforcing the law with taxpayer funds or resources. This ruling may be appealed, but the injunction against enforcement will remain in place during potential appeals.</w:t>
      </w:r>
    </w:p>
    <w:p>
      <w:pPr>
        <w:pStyle w:val="TextBody"/>
        <w:spacing w:before="120" w:after="0"/>
        <w:jc w:val="left"/>
        <w:rPr>
          <w:rFonts w:ascii="Times New Roman" w:hAnsi="Times New Roman"/>
          <w:sz w:val="20"/>
        </w:rPr>
      </w:pPr>
      <w:r>
        <w:rPr>
          <w:rFonts w:ascii="Times New Roman;serif" w:hAnsi="Times New Roman;serif"/>
          <w:b w:val="false"/>
          <w:sz w:val="20"/>
        </w:rPr>
        <w:t>In addition, in December 2020, Nasdaq announced that it filed with the SEC a proposal to advance board diversity and enhance transparency of board diversity statistics through new listing requirements. In August 2021, the SEC approved Nasdaq's proposal, which requires certain Nasdaq-listed companies to annually disclose diversity statistics regarding their directors’ voluntary self-identified characteristics and include at least two diverse directors on their boards of directors or publicly disclose why their boards of directors do not include diverse directors. Under the rule, a diverse director is someone who self-identifies either as female, Black or African American, Hispanic or Latinx, Asian, Native American or Alaska Native, Native Hawaiian or Pacific Islander, or two or more races or ethnicities, or lesbian, gay, bisexual, transgender or a member of the queer community. Under a phase-in period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47</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companies listed on the Nasdaq Global Select Market, this disclosure requirement would require one diverse director two years after rule adoption and two diverse directors four years after rule adoption.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board of directors currently includes three female directors and two directors from an underrepresented community. Based on the current composition of our board of directors we would be in compliance with Senate Bill 826 and Assembly Bill 979 should either law be appealed and reinstated. In addition, under the Nasdaq diversity rule, if our current or future diverse directors no longer serve on our board of directors we could be out of compliance with Nasdaq. Additionally, we cannot guarantee that we can recruit, attract and/or retain qualified members of the board of directors and meet gender and diversity requirements under California law (if appealed and reinstated) or the Nasdaq rule, which may expose us to financial penalties and adversely affect our reputation.</w:t>
      </w:r>
    </w:p>
    <w:p>
      <w:pPr>
        <w:pStyle w:val="TextBody"/>
        <w:spacing w:before="120" w:after="0"/>
        <w:jc w:val="left"/>
        <w:rPr>
          <w:rFonts w:ascii="Times New Roman;serif" w:hAnsi="Times New Roman;serif"/>
          <w:b/>
          <w:sz w:val="20"/>
        </w:rPr>
      </w:pPr>
      <w:r>
        <w:rPr>
          <w:rFonts w:ascii="Times New Roman;serif" w:hAnsi="Times New Roman;serif"/>
          <w:b/>
          <w:sz w:val="20"/>
        </w:rPr>
        <w:t>Risks related to employee matters, managing our growth and other risks related to our business</w:t>
      </w:r>
    </w:p>
    <w:p>
      <w:pPr>
        <w:pStyle w:val="TextBody"/>
        <w:spacing w:before="120" w:after="0"/>
        <w:jc w:val="left"/>
        <w:rPr>
          <w:rFonts w:ascii="Times New Roman;serif" w:hAnsi="Times New Roman;serif"/>
          <w:b/>
          <w:i/>
          <w:sz w:val="20"/>
        </w:rPr>
      </w:pPr>
      <w:r>
        <w:rPr>
          <w:rFonts w:ascii="Times New Roman;serif" w:hAnsi="Times New Roman;serif"/>
          <w:b/>
          <w:i/>
          <w:sz w:val="20"/>
        </w:rPr>
        <w:t>Our success is highly dependent on our ability to attract and retain highly skilled executive officers and employees.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We could in the future have difficulty attracting and retaining experienced personnel and may be required to expend significant financial resources in our employee recruitment and retention efforts.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Additionally, we rely on our scientific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significantly harmed.</w:t>
      </w:r>
    </w:p>
    <w:p>
      <w:pPr>
        <w:pStyle w:val="TextBody"/>
        <w:spacing w:before="120" w:after="0"/>
        <w:jc w:val="left"/>
        <w:rPr>
          <w:rFonts w:ascii="Times New Roman;serif" w:hAnsi="Times New Roman;serif"/>
          <w:b/>
          <w:i/>
          <w:sz w:val="20"/>
        </w:rPr>
      </w:pPr>
      <w:r>
        <w:rPr>
          <w:rFonts w:ascii="Times New Roman;serif" w:hAnsi="Times New Roman;serif"/>
          <w:b/>
          <w:i/>
          <w:sz w:val="20"/>
        </w:rPr>
        <w:t>If we are unable to establish sales or marketing capabilities or enter into agreements with third parties to sell or market our product candidates, we may not be able to successfully sell or market our product candidates that obtain regulatory approval.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48</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i/>
          <w:sz w:val="20"/>
        </w:rPr>
      </w:pPr>
      <w:r>
        <w:rPr>
          <w:rFonts w:ascii="Times New Roman;serif" w:hAnsi="Times New Roman;serif"/>
          <w:b/>
          <w:i/>
          <w:sz w:val="20"/>
        </w:rPr>
        <w:t>In order to successfully implement our plans and strategies, we will need to grow the size of our organization, and we may experience difficulties in managing this growth.</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of March 31, 2023, we had 88 full-time employees, including 64 employees engaged in research and development. In order to successfully implement our development and commercialization plans and strategies, we expect to need additional managerial, operational, sales, marketing, financial and other personnel. Future growth would impose significant added responsibilities on members of management,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identifying, recruiting, integrating, maintaining and motivating additional employees;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managing our internal development efforts effectively, including the clinical, FDA, EMA and other comparable foreign regulatory agencies’ review process for our product candidates, while complying with any contractual obligations to contractors and other third parties we may have;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improving our operational, financial and management controls, reporting systems and procedures.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future financial performance and our ability to successfully develop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 party service providers is compromised for any reason, our clinical trials may be extended, delayed or terminated, and we may not be able to obtain marketing approval of our product candidates or otherwise advance our business. We cannot assure you that we will be able to manage our existing third-party service providers or find other competent outside contractors and consultants on economically reasonable terms, or at all.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we are not able to effectively expand our organization by hiring new employees and/or engaging additional third-party service providers, we may not be able to successfully implement the tasks necessary to further develop and commercialize our product candidates and, accordingly, may not achieve our research, development and commercialization goals.</w:t>
      </w:r>
    </w:p>
    <w:p>
      <w:pPr>
        <w:pStyle w:val="TextBody"/>
        <w:spacing w:before="120" w:after="0"/>
        <w:jc w:val="left"/>
        <w:rPr>
          <w:rFonts w:ascii="Times New Roman;serif" w:hAnsi="Times New Roman;serif"/>
          <w:b/>
          <w:i/>
          <w:sz w:val="20"/>
        </w:rPr>
      </w:pPr>
      <w:r>
        <w:rPr>
          <w:rFonts w:ascii="Times New Roman;serif" w:hAnsi="Times New Roman;serif"/>
          <w:b/>
          <w:i/>
          <w:sz w:val="20"/>
        </w:rPr>
        <w:t>Our internal computer systems, or those of any of our CROs, manufacturers, other contractors or consultants or potential future collaborators, may fail or suffer security or data privacy breaches or incidents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pStyle w:val="TextBody"/>
        <w:spacing w:before="120" w:after="0"/>
        <w:jc w:val="left"/>
        <w:rPr>
          <w:rFonts w:ascii="Times New Roman" w:hAnsi="Times New Roman"/>
          <w:sz w:val="20"/>
        </w:rPr>
      </w:pPr>
      <w:r>
        <w:rPr>
          <w:rFonts w:ascii="Times New Roman;serif" w:hAnsi="Times New Roman;serif"/>
          <w:b w:val="false"/>
          <w:sz w:val="20"/>
        </w:rPr>
        <w:t>Despite the implementation of security measures in an effort to protect systems that store our information, given their size and complexity and the increasing amounts of information maintained and otherwise processed on 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and incidents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the loss, destruction, alteration, disclosure, or dissemination of, or damage or unauthorized access to, our data or data that is processed or maintained on our behalf, or other assets. For example, we have received phishing attacks, and companies have experienced an increase in phishing and social engineering attacks from third parties in connection with the COVID-19 pandemic, and the increase in remote working further increases security threats. The military conflict in Ukraine may also increase cybersecurity threats that we and our CROs and other contractors and consultants face. If any disruption or security breach or incident were to result in any loss, destruction, unavailability, alteration, disclosure, or dissemination of, or damage to or unauthorized access, our applications, any other data processed or maintained on our behalf, or other assets, or for it to be believed or reported that any of these occurred, we could incur liability, financial harm and reputational damage and the development and commercialization of our product candidates could be delayed. We cannot assure you that our data protection efforts and our investment in information technology, or the efforts or investments of CROs, consultants or other third parties, will prevent significant breakdowns or breaches in systems or have prevented or will prevent other cyber incidents that cause loss, destruction, unavailability, alteration or dissemination of, or damage or unauthorized access to, our data or other data processed or maintained on our behalf or other assets that could have a material adverse effect upon our reputation, business, operations or financial condition.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49</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data. Furthermore, significant disruptions of our internal information technology systems or security breaches could result in the loss, misappropriation, and/or unauthorized access, use, or disclosure or dissemination of, or the prevention of access to, data (including trade secrets or other confidential information, intellectual property, proprietary business information, and personal information), which could result in financial, legal, business, and reputational harm to us. For example, any such event or any other security breach or incident that leads to loss, damage, or unauthorized access to, or use, alteration, or disclosure or dissemination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Notifications and follow-up actions related to a security breach or incident could impact our reputation and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breach. We also rely on third parties to manufacture our product candidates, and similar events relating to their computer systems could also have a material adverse effect on our business. If any disruption or security incident were to result in any disruption of our operations or loss, destruction, or alteration of, or damage or unauthorized access to, our data or other information that is processed or maintained on our behalf, or inappropriate disclosure or dissemination of any such information, we could be exposed to litigation and governmental investigations, the further development and commercialization of our product candidates could be delayed, and we could be subject to significant fines or penalties for any noncompliance with certain state, federal and/or international privacy and security laws.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insurance policies may not be adequate to compensate us for the potential losses arising from any such disruption in or, failure or security breach or incident of our systems or third-party systems where information important to our business operations or commercial development is stored or otherwise processed.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pStyle w:val="TextBody"/>
        <w:spacing w:before="120" w:after="0"/>
        <w:jc w:val="left"/>
        <w:rPr>
          <w:rFonts w:ascii="Times New Roman;serif" w:hAnsi="Times New Roman;serif"/>
          <w:b/>
          <w:i/>
          <w:sz w:val="20"/>
        </w:rPr>
      </w:pPr>
      <w:r>
        <w:rPr>
          <w:rFonts w:ascii="Times New Roman;serif" w:hAnsi="Times New Roman;serif"/>
          <w:b/>
          <w:i/>
          <w:sz w:val="20"/>
        </w:rPr>
        <w:t>Our operations are vulnerable to interruption by fire, earthquakes, power loss, telecommunications failure, terrorist activity, pandemics and other events beyond our control, which could harm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facilities are located in California. We have not undertaken a systematic analysis of the potential consequences to our business and financial results from a major flood, fire, earthquake, power loss, terrorist activity, pandemics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pStyle w:val="TextBody"/>
        <w:spacing w:before="120" w:after="0"/>
        <w:jc w:val="left"/>
        <w:rPr>
          <w:rFonts w:ascii="Times New Roman;serif" w:hAnsi="Times New Roman;serif"/>
          <w:b/>
          <w:i/>
          <w:sz w:val="20"/>
        </w:rPr>
      </w:pPr>
      <w:r>
        <w:rPr>
          <w:rFonts w:ascii="Times New Roman;serif" w:hAnsi="Times New Roman;serif"/>
          <w:b/>
          <w:i/>
          <w:sz w:val="20"/>
        </w:rPr>
        <w:t>Our Chief Financial Officer and Chief Business Officer were subpoenaed for information by the Securities and Exchange Commission on a matter unrelated to ORIC.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Chief Financial Officer and Chief Business Officer each received subpoenas for documents and information, in their personal capacities, from the SEC in March and April 2020 related to an SEC investigation into the trading of securities of certain other companies. On August 17, 2021, our Chief Financial Officer received a letter from the SEC indicating that the SEC had concluded its investigation as to him without recommending further action. On the same date, the SEC filed a civil enforcement action against our Chief Business Officer. The SEC’s civil enforcement action may become time consuming and distracting for our Chief Business Officer, and if such action is successful, he could be subject to fines, penalties and the imposition of restrictive sanctions that may affect his ability to serve as an officer of our company.</w:t>
      </w:r>
    </w:p>
    <w:p>
      <w:pPr>
        <w:pStyle w:val="TextBody"/>
        <w:spacing w:before="120" w:after="0"/>
        <w:jc w:val="left"/>
        <w:rPr>
          <w:rFonts w:ascii="Times New Roman;serif" w:hAnsi="Times New Roman;serif"/>
          <w:b/>
          <w:i/>
          <w:sz w:val="20"/>
        </w:rPr>
      </w:pPr>
      <w:r>
        <w:rPr>
          <w:rFonts w:ascii="Times New Roman;serif" w:hAnsi="Times New Roman;serif"/>
          <w:b/>
          <w:i/>
          <w:sz w:val="20"/>
        </w:rPr>
        <w:t>Our ability to utilize our net operating loss carryforwards and certain other tax attributes to offset future taxable income may be limited.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net operating loss (NOL) carryforwards may be unavailable to offset future taxable income because of restrictions under U.S. tax law. Our NOLs generated in tax years beginning prior to January 1, 2018 are only permitted to be carried forward for 20 taxable years under applicable U.S. federal tax law, and therefore could expire unused. Our federal NOLs generated in tax years beginning after December 31, 2017 may be carried forward indefinitely, but for taxable years beginning after December 31, 2020, the deductibility of federal NOLs generated in tax years beginning after December 31, 2017 is limited to 80% of our current year taxable income. As of December 31, 2022, we had available NOL carryforwards of $215.2 million, of which $173.6 million do not expire. We also had available California NOL carryforwards of approximately $268.5 million as of December 31, 2022, which begin to expire in 2034 and are subject to limitation on use. In addition, as of December 31, 2022, we had federal and California research and development credit carryforwards totaling $8.7 million and $5.0 million, respectively. The federal credits begin to expire in 2034 unless previously utilized, while the state credits do not expire.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50</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under Sections 382 and 383 of the Internal Revenue Code of 1986, as amended (Code), if a corporation undergoes an “ownership change” (generally defined as a cumulative change in the corporation’s ownership by “5-percent shareholders” that exceeds 50 percentage points over a rolling three-year period), the corporation’s ability to use its pre-change NOLs and certain other pre-change tax attributes to offset its post-change taxable income may be limited. Similar rules may apply under state tax laws. We may have experienced such ownership changes in the past, and we may experience ownership changes in the future as a result of shifts in our stock ownership, some of which are outside our control. We have not conducted any studies to determine annual limitations, if any, that could result from such changes in the ownership. Our ability to utilize our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w:t>
      </w:r>
    </w:p>
    <w:p>
      <w:pPr>
        <w:pStyle w:val="TextBody"/>
        <w:spacing w:before="120" w:after="0"/>
        <w:jc w:val="left"/>
        <w:rPr>
          <w:rFonts w:ascii="Times New Roman;serif" w:hAnsi="Times New Roman;serif"/>
          <w:b/>
          <w:i/>
          <w:sz w:val="20"/>
        </w:rPr>
      </w:pPr>
      <w:r>
        <w:rPr>
          <w:rFonts w:ascii="Times New Roman;serif" w:hAnsi="Times New Roman;serif"/>
          <w:b/>
          <w:i/>
          <w:sz w:val="20"/>
        </w:rPr>
        <w:t>Changes in tax laws could have a material adverse effect on our business, cash flow, results of operations or financial conditions.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subject to tax laws, regulations, and policies of several taxing jurisdictions. Changes in tax laws, as well as other factors, could cause us to experience fluctuations in our tax obligations and effective tax rates and otherwise adversely affect our tax positions and/or our tax liabilities. For example, the United States recently enacted a 1% excise tax on stock buybacks and a 15% alternative minimum tax on adjusted financial statement income. In addition, the current administration has proposed changes to the tax credits available for orphan drug development. Further, many countries, and organizations such as the Organization for Economic Cooperation and Development have proposed implementing changes to existing tax laws, including a proposed 15% global minimum tax. Any of these developments or changes in federal, state, or international tax laws or tax rulings could adversely affect our effective tax rate and our operating results. There can be no assurance that our effective tax rates, tax payments, or tax credits and incentives will not be adversely affected by these or other developments or changes in law.</w:t>
      </w:r>
    </w:p>
    <w:p>
      <w:pPr>
        <w:pStyle w:val="TextBody"/>
        <w:spacing w:before="120" w:after="0"/>
        <w:jc w:val="left"/>
        <w:rPr>
          <w:rFonts w:ascii="Times New Roman;serif" w:hAnsi="Times New Roman;serif"/>
          <w:b/>
          <w:i/>
          <w:sz w:val="20"/>
        </w:rPr>
      </w:pPr>
      <w:r>
        <w:rPr>
          <w:rFonts w:ascii="Times New Roman;serif" w:hAnsi="Times New Roman;serif"/>
          <w:b/>
          <w:i/>
          <w:sz w:val="20"/>
        </w:rPr>
        <w:t>A variety of risks associated with marketing our product candidates internationally could materially adversely affect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seek regulatory approval of our product candidates outside of the United States and, accordingly, we expect that we will be subject to additional risks related to operating in foreign countries if we obtain the necessary approvals,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differing regulatory requirements and reimbursement regimes in foreign countries;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unexpected changes in tariffs, trade barriers, price and exchange controls and other regulatory requirements;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economic weakness, including inflation, financial market volatility and uncertainty or political instability in particular foreign economies and markets;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compliance with tax, employment, immigration and labor laws for employees living or traveling abroad;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foreign taxes, including withholding of payroll taxes;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foreign currency fluctuations, which could result in increased operating expenses and reduced revenue, and other obligations incident to doing business in another country;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difficulties staffing and managing foreign operations;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workforce uncertainty in countries where labor unrest is more common than in the United States;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potential liability under the FCPA or comparable foreign regulations;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challenges enforcing our contractual and intellectual property rights, especially in those foreign countries that do not respect and protect intellectual property rights to the same extent as the United States;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production shortages resulting from any events affecting raw material supply or manufacturing capabilities abroad;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business interruptions resulting from geo-political actions, including war and terrorism.</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These and other risks associated with our international operations may materially adversely affect our ability to attain or maintain profitable operations.</w:t>
      </w:r>
    </w:p>
    <w:p>
      <w:pPr>
        <w:pStyle w:val="TextBody"/>
        <w:spacing w:before="120" w:after="0"/>
        <w:jc w:val="left"/>
        <w:rPr>
          <w:rFonts w:ascii="Times New Roman;serif" w:hAnsi="Times New Roman;serif"/>
          <w:b/>
          <w:i/>
          <w:sz w:val="20"/>
        </w:rPr>
      </w:pPr>
      <w:r>
        <w:rPr>
          <w:rFonts w:ascii="Times New Roman;serif" w:hAnsi="Times New Roman;serif"/>
          <w:b/>
          <w:i/>
          <w:sz w:val="20"/>
        </w:rPr>
        <w:t>Military conflict between Russia and Ukraine</w:t>
      </w:r>
    </w:p>
    <w:p>
      <w:pPr>
        <w:pStyle w:val="TextBody"/>
        <w:spacing w:before="120" w:after="0"/>
        <w:jc w:val="left"/>
        <w:rPr>
          <w:rFonts w:ascii="Times New Roman" w:hAnsi="Times New Roman"/>
          <w:sz w:val="20"/>
        </w:rPr>
      </w:pPr>
      <w:r>
        <w:rPr>
          <w:rFonts w:ascii="Times New Roman;serif" w:hAnsi="Times New Roman;serif"/>
          <w:b w:val="false"/>
          <w:sz w:val="20"/>
        </w:rPr>
        <w:t>Russia’s invasion of Ukraine has triggered significant economic sanctions from various countries. These events are contributing to volatile global economic and financial conditions. Changes in countries’ economic, trade and financial policies could trigger retaliatory actions by Russia, its allies and other affected countries, resulting in a “trade war,” “cyberwar,” escalation of the conventional military conflict, and other adverse events. The military conflict in Ukraine, and any resulting effects that may follow, could result in increased costs for, or unavailability of, certain materials used in the third-party manufacturing of our product candidates and potential product candidates in our discovery research programs. These increased costs could have a negative effect on our financial condition, and any supply interruptions could hinder our product development and make it harder for us to find favorable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51</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pricing and reliable sources for the materials needed to manufacture our product candidates and potential product candidates in our discovery research programs.</w:t>
      </w:r>
    </w:p>
    <w:p>
      <w:pPr>
        <w:pStyle w:val="TextBody"/>
        <w:spacing w:before="120" w:after="0"/>
        <w:jc w:val="left"/>
        <w:rPr>
          <w:rFonts w:ascii="Times New Roman;serif" w:hAnsi="Times New Roman;serif"/>
          <w:b/>
          <w:i/>
          <w:sz w:val="20"/>
        </w:rPr>
      </w:pPr>
      <w:r>
        <w:rPr>
          <w:rFonts w:ascii="Times New Roman;serif" w:hAnsi="Times New Roman;serif"/>
          <w:b/>
          <w:i/>
          <w:sz w:val="20"/>
        </w:rPr>
        <w:t>Inflation and market volatility may adversely affect us by increasing our costs.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Recently, inflation and market volatility have increased and caused economic uncertainty throughout the U.S. and global economy. Inflation and market volatility can adversely affect us by increasing the costs of clinical trials and research, the development of our product candidates, administration and other costs of doing business. In fact, we have experienced, and continue to experience, increases in the prices of labor and other costs of doing business. In an inflationary, volatile and economically uncertain environment, cost increases may outpace our expectations, causing us to use our cash and other liquid assets faster than forecasted. If this continues to occur or happens more frequently or at a larger scale, we may need to raise additional capital to fund our operations sooner than expected and we may not be able to secure financing on acceptable terms.</w:t>
      </w:r>
    </w:p>
    <w:p>
      <w:pPr>
        <w:pStyle w:val="TextBody"/>
        <w:spacing w:before="120" w:after="0"/>
        <w:jc w:val="left"/>
        <w:rPr>
          <w:rFonts w:ascii="Times New Roman;serif" w:hAnsi="Times New Roman;serif"/>
          <w:b/>
          <w:sz w:val="20"/>
        </w:rPr>
      </w:pPr>
      <w:r>
        <w:rPr>
          <w:rFonts w:ascii="Times New Roman;serif" w:hAnsi="Times New Roman;serif"/>
          <w:b/>
          <w:sz w:val="20"/>
        </w:rPr>
        <w:t>Risks related to our intellectual property</w:t>
      </w:r>
    </w:p>
    <w:p>
      <w:pPr>
        <w:pStyle w:val="TextBody"/>
        <w:spacing w:before="120" w:after="0"/>
        <w:jc w:val="left"/>
        <w:rPr>
          <w:rFonts w:ascii="Times New Roman;serif" w:hAnsi="Times New Roman;serif"/>
          <w:b/>
          <w:i/>
          <w:sz w:val="20"/>
        </w:rPr>
      </w:pPr>
      <w:r>
        <w:rPr>
          <w:rFonts w:ascii="Times New Roman;serif" w:hAnsi="Times New Roman;serif"/>
          <w:b/>
          <w:i/>
          <w:sz w:val="20"/>
        </w:rPr>
        <w:t>Our success depends on our ability to protect our intellectual property and our proprietary technologies.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We also seek to protect our proprietary position by acquiring or in-licensing relevant issued patents or pending applications from third parties.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licensors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Even issued patents may later be found invalid or unenforceable or may be modified or revoked in proceedings instituted by third parties before various patent offices or in courts. The degree of future protection for our and our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candidates could have a material adverse effect on our financial condition and results of operations.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Although as of March 31, 2023, we owned seven and licensed five issued patents in the United States pertaining to our three product candidates, we cannot be certain that the claims in our other U.S. pending patent applications, corresponding international patent applications and patent applications in certain foreign territories, or those of our licensors, will be considered patentable by the United States Patent and Trademark Office (USPTO), courts in the United States or by the patent offices and courts in foreign countries, nor can we be certain that the claims in our issued or licensed patents will not be found invalid or unenforceable if challenged.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patent applications may not result in any patents being issued;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patents may be challenged, invalidated, modified, revoked, circumvented, found to be unenforceable or otherwise may not provide any competitive advantage;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countries other than the United States may have patent laws less favorable to patentees than those upheld by U.S. courts, allowing foreign competitors a better opportunity to create, develop and market competing product candidates.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52</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 It is also possible that we or our licensors will fail to identify patentable aspects of our research and development output before it is too late to obtain patent protection.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pStyle w:val="TextBody"/>
        <w:spacing w:before="120" w:after="0"/>
        <w:jc w:val="left"/>
        <w:rPr>
          <w:rFonts w:ascii="Times New Roman;serif" w:hAnsi="Times New Roman;serif"/>
          <w:b/>
          <w:i/>
          <w:sz w:val="20"/>
        </w:rPr>
      </w:pPr>
      <w:r>
        <w:rPr>
          <w:rFonts w:ascii="Times New Roman;serif" w:hAnsi="Times New Roman;serif"/>
          <w:b/>
          <w:i/>
          <w:sz w:val="20"/>
        </w:rPr>
        <w:t>If the scope of any patent protection we obtain is not sufficiently broad, or if we lose any of our patent protection, our ability to prevent our competitors from commercializing similar or identical product candidates would be adversely affected.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pStyle w:val="TextBody"/>
        <w:spacing w:before="120" w:after="0"/>
        <w:jc w:val="left"/>
        <w:rPr>
          <w:rFonts w:ascii="Times New Roman" w:hAnsi="Times New Roman"/>
          <w:sz w:val="20"/>
        </w:rPr>
      </w:pPr>
      <w:r>
        <w:rPr>
          <w:rFonts w:ascii="Times New Roman;serif" w:hAnsi="Times New Roman;serif"/>
          <w:b w:val="false"/>
          <w:sz w:val="20"/>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(PGR) and </w:t>
      </w:r>
      <w:r>
        <w:rPr>
          <w:rFonts w:ascii="Times New Roman;serif" w:hAnsi="Times New Roman;serif"/>
          <w:b w:val="false"/>
          <w:i/>
          <w:sz w:val="20"/>
        </w:rPr>
        <w:t>inter partes</w:t>
      </w:r>
      <w:r>
        <w:rPr>
          <w:rFonts w:ascii="Times New Roman" w:hAnsi="Times New Roman"/>
          <w:sz w:val="20"/>
        </w:rPr>
        <w:t xml:space="preserve"> </w:t>
      </w:r>
      <w:r>
        <w:rPr>
          <w:rFonts w:ascii="Times New Roman;serif" w:hAnsi="Times New Roman;serif"/>
          <w:b w:val="false"/>
          <w:sz w:val="20"/>
        </w:rPr>
        <w:t>review (IPR), or other similar proceedings challenging our owned or in-licensed patent rights. An adverse determination in any such submission, proceeding or litigation could reduce the scope of, or invalidate or render unenforceable, our patent rights or those of our licensors, allow third parties to commercialize our product candidates and compete directly with us, without payment to us, or result in our inability to manufacture or commercialize products without infringing third-party patent rights. Moreover, our patents or the patents of our licensors may become subject to post-grant challenge proceedings, such as oppositions in a foreign patent office, that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 candidates.</w:t>
      </w:r>
    </w:p>
    <w:p>
      <w:pPr>
        <w:pStyle w:val="TextBody"/>
        <w:spacing w:before="120" w:after="0"/>
        <w:jc w:val="left"/>
        <w:rPr>
          <w:rFonts w:ascii="Times New Roman;serif" w:hAnsi="Times New Roman;serif"/>
          <w:b/>
          <w:i/>
          <w:sz w:val="20"/>
        </w:rPr>
      </w:pPr>
      <w:r>
        <w:rPr>
          <w:rFonts w:ascii="Times New Roman;serif" w:hAnsi="Times New Roman;serif"/>
          <w:b/>
          <w:i/>
          <w:sz w:val="20"/>
        </w:rPr>
        <w:t>Intellectual property rights do not necessarily address all potential threats to our competitive advantage.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others may be able to develop products that are similar to our product candidates but that are not covered by the claims of the patents that we own or license;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or our licensors or collaborators might not have been the first to make the inventions covered by the issued patents or patent application that we own or license;</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we or our licensors or collaborators might not have been the first to file patent applications covering certain of our inventions;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53</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others may independently develop similar or alternative technologies or duplicate any of our technologies without infringing our intellectual property rights;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it is possible that the pending patent applications we own or license will not lead to issued patents;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issued patents that we own or license may be held invalid or unenforceable, as a result of legal challenges by our competitors;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not develop additional proprietary technologies that are patentable;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patents of others may have an adverse effect on our business;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we may choose not to file a patent in order to maintain certain trade secrets or know-how, and a third party may subsequently file a patent covering such intellectual property.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Should any of these events occur, it could significantly harm our business, results of operations and prospects.</w:t>
      </w:r>
    </w:p>
    <w:p>
      <w:pPr>
        <w:pStyle w:val="TextBody"/>
        <w:spacing w:before="120" w:after="0"/>
        <w:jc w:val="left"/>
        <w:rPr>
          <w:rFonts w:ascii="Times New Roman;serif" w:hAnsi="Times New Roman;serif"/>
          <w:b/>
          <w:i/>
          <w:sz w:val="20"/>
        </w:rPr>
      </w:pPr>
      <w:r>
        <w:rPr>
          <w:rFonts w:ascii="Times New Roman;serif" w:hAnsi="Times New Roman;serif"/>
          <w:b/>
          <w:i/>
          <w:sz w:val="20"/>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or our licensors were the first to file a patent application related to a product candidate or technology.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result in costly litigation that may cause negative publicity;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divert the time and attention of our technical personnel and management;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cause development delays;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prevent us from commercializing any of our product candidates until the asserted patent expires or is held finally invalid, not infringed, or unenforceable in a court of law;</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require us to develop non-infringing technology, which may not be possible on a cost-effective basis;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subject us to significant liability to third parties; or</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require us to enter into royalty or licensing agreements, which may not be available on commercially reasonable terms, or at all, or which might be non-exclusive, which could result in our competitors gaining access to the same technology.</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54</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Although no third party has asserted a claim of patent infringement against us as of the date of this periodic report, others may hold proprietary rights that could prevent our product candidates from being marketed.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It is possible that a third party may assert a claim of patent infringement directed at any of our product candidates.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reasonable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pStyle w:val="TextBody"/>
        <w:spacing w:before="120" w:after="0"/>
        <w:jc w:val="left"/>
        <w:rPr>
          <w:rFonts w:ascii="Times New Roman;serif" w:hAnsi="Times New Roman;serif"/>
          <w:b/>
          <w:i/>
          <w:sz w:val="20"/>
        </w:rPr>
      </w:pPr>
      <w:r>
        <w:rPr>
          <w:rFonts w:ascii="Times New Roman;serif" w:hAnsi="Times New Roman;serif"/>
          <w:b/>
          <w:i/>
          <w:sz w:val="20"/>
        </w:rPr>
        <w:t>We may not be successful in obtaining or maintaining necessary rights to our product candidates through acquisitions and in-licenses.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Because our development programs may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or maintain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pStyle w:val="TextBody"/>
        <w:spacing w:before="120" w:after="0"/>
        <w:jc w:val="left"/>
        <w:rPr>
          <w:rFonts w:ascii="Times New Roman;serif" w:hAnsi="Times New Roman;serif"/>
          <w:b/>
          <w:i/>
          <w:sz w:val="20"/>
        </w:rPr>
      </w:pPr>
      <w:r>
        <w:rPr>
          <w:rFonts w:ascii="Times New Roman;serif" w:hAnsi="Times New Roman;serif"/>
          <w:b/>
          <w:i/>
          <w:sz w:val="20"/>
        </w:rPr>
        <w:t>We may be involved in lawsuits to protect or enforce our patents or our licensors’ patents, which could be expensive, time consuming and unsuccessful. Further, our issued patents or our licensors’ patents could be found invalid, unenforceable or not infringed if challenged in court.</w:t>
      </w:r>
    </w:p>
    <w:p>
      <w:pPr>
        <w:pStyle w:val="TextBody"/>
        <w:spacing w:before="120" w:after="0"/>
        <w:jc w:val="left"/>
        <w:rPr>
          <w:rFonts w:ascii="Times New Roman" w:hAnsi="Times New Roman"/>
          <w:sz w:val="20"/>
        </w:rPr>
      </w:pPr>
      <w:r>
        <w:rPr>
          <w:rFonts w:ascii="Times New Roman;serif" w:hAnsi="Times New Roman;serif"/>
          <w:b w:val="false"/>
          <w:sz w:val="20"/>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lack</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55</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of sufficient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The outcome following legal assertions of invalidity and/or unenforceability is unpredictable. With respect to the validity question, for example, we cannot be certain that there is no invalidating prior art, of which we, our licensors, and the patent examiners are unaware during prosecution.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 earlier than June 1, 2023, European patent applications will soon have the option, upon grant of a patent, of becoming a Unitary Patent, which will be subject to the jurisdiction of the Unitary Patent Court (UPC). The option of a Unitary Patent will be a significant change in European patent practice. As the UPC is a new court system, there is no precedent for the court, increasing the uncertainty of any litigation in the UPC.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the issuance of a patent does not give us the right to practice the patented invention. Third parties may have blocking patents that could prevent us from marketing our own patented product and practicing our own patented technology.</w:t>
      </w:r>
    </w:p>
    <w:p>
      <w:pPr>
        <w:pStyle w:val="TextBody"/>
        <w:spacing w:before="120" w:after="0"/>
        <w:jc w:val="left"/>
        <w:rPr>
          <w:rFonts w:ascii="Times New Roman;serif" w:hAnsi="Times New Roman;serif"/>
          <w:b/>
          <w:i/>
          <w:sz w:val="20"/>
        </w:rPr>
      </w:pPr>
      <w:r>
        <w:rPr>
          <w:rFonts w:ascii="Times New Roman;serif" w:hAnsi="Times New Roman;serif"/>
          <w:b/>
          <w:i/>
          <w:sz w:val="20"/>
        </w:rPr>
        <w:t>Intellectual property litigation may lead to unfavorable publicity that harms our reputation and causes the market price of our common shares to decline.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pStyle w:val="TextBody"/>
        <w:spacing w:before="120" w:after="0"/>
        <w:jc w:val="left"/>
        <w:rPr>
          <w:rFonts w:ascii="Times New Roman;serif" w:hAnsi="Times New Roman;serif"/>
          <w:b/>
          <w:i/>
          <w:sz w:val="20"/>
        </w:rPr>
      </w:pPr>
      <w:r>
        <w:rPr>
          <w:rFonts w:ascii="Times New Roman;serif" w:hAnsi="Times New Roman;serif"/>
          <w:b/>
          <w:i/>
          <w:sz w:val="20"/>
        </w:rPr>
        <w:t>Derivation proceedings may be necessary to determine priority of inventions, and an unfavorable outcome may require us to cease using the related technology or to attempt to license rights from the prevailing party.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56</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i/>
          <w:sz w:val="20"/>
        </w:rPr>
      </w:pPr>
      <w:r>
        <w:rPr>
          <w:rFonts w:ascii="Times New Roman;serif" w:hAnsi="Times New Roman;serif"/>
          <w:b/>
          <w:i/>
          <w:sz w:val="20"/>
        </w:rPr>
        <w:t>Recent patent reform legislation could increase the uncertainties and costs surrounding the prosecution of our patent applications or those of our licensors and the enforcement or defense of our issued patents or those of our licensors.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September 16, 2011, the Leahy-Smith America Invents Act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our product candidates or (2) invent any of the inventions claimed in the patents or patent applications.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have a material adverse effect on our business, financial condition, results of operations and prospects.</w:t>
      </w:r>
    </w:p>
    <w:p>
      <w:pPr>
        <w:pStyle w:val="TextBody"/>
        <w:spacing w:before="120" w:after="0"/>
        <w:jc w:val="left"/>
        <w:rPr>
          <w:rFonts w:ascii="Times New Roman;serif" w:hAnsi="Times New Roman;serif"/>
          <w:b/>
          <w:i/>
          <w:sz w:val="20"/>
        </w:rPr>
      </w:pPr>
      <w:r>
        <w:rPr>
          <w:rFonts w:ascii="Times New Roman;serif" w:hAnsi="Times New Roman;serif"/>
          <w:b/>
          <w:i/>
          <w:sz w:val="20"/>
        </w:rPr>
        <w:t>Changes in U.S. patent law, or laws in other countries, could diminish the value of patents in general, thereby impairing our ability to protect our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is the case with other pharmaceutical companies, our success is heavily dependent on intellectual property, particularly patents. Obtaining and enforcing patents in the pharmaceutical industry involve a high degree of technological and legal complexity. Therefore, obtaining and enforcing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those of our licensors or in third-party patents. In addition, Congress or other foreign legislative bodies may pass patent reform legislation that is unfavorable to us.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those of our licensors and the patents we might obtain or license in the future.</w:t>
      </w:r>
    </w:p>
    <w:p>
      <w:pPr>
        <w:pStyle w:val="TextBody"/>
        <w:spacing w:before="120" w:after="0"/>
        <w:jc w:val="left"/>
        <w:rPr>
          <w:rFonts w:ascii="Times New Roman;serif" w:hAnsi="Times New Roman;serif"/>
          <w:b/>
          <w:i/>
          <w:sz w:val="20"/>
        </w:rPr>
      </w:pPr>
      <w:r>
        <w:rPr>
          <w:rFonts w:ascii="Times New Roman;serif" w:hAnsi="Times New Roman;serif"/>
          <w:b/>
          <w:i/>
          <w:sz w:val="20"/>
        </w:rPr>
        <w:t>We may be subject to claims challenging the inventorship or ownership of our patents and other intellectual property.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also be subject to claims that former employees or other third parties have an ownership interest in our patents or those of our licensors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pStyle w:val="TextBody"/>
        <w:spacing w:before="120" w:after="0"/>
        <w:jc w:val="left"/>
        <w:rPr>
          <w:rFonts w:ascii="Times New Roman;serif" w:hAnsi="Times New Roman;serif"/>
          <w:b/>
          <w:i/>
          <w:sz w:val="20"/>
        </w:rPr>
      </w:pPr>
      <w:r>
        <w:rPr>
          <w:rFonts w:ascii="Times New Roman;serif" w:hAnsi="Times New Roman;serif"/>
          <w:b/>
          <w:i/>
          <w:sz w:val="20"/>
        </w:rPr>
        <w:t>Patent terms may be inadequate to protect our competitive position on our product candidates for an adequate amount of time.</w:t>
      </w:r>
    </w:p>
    <w:p>
      <w:pPr>
        <w:pStyle w:val="TextBody"/>
        <w:spacing w:before="120" w:after="0"/>
        <w:jc w:val="left"/>
        <w:rPr>
          <w:rFonts w:ascii="Times New Roman" w:hAnsi="Times New Roman"/>
          <w:sz w:val="20"/>
        </w:rPr>
      </w:pPr>
      <w:r>
        <w:rPr>
          <w:rFonts w:ascii="Times New Roman;serif" w:hAnsi="Times New Roman;serif"/>
          <w:b w:val="false"/>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57</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pStyle w:val="TextBody"/>
        <w:spacing w:before="120" w:after="0"/>
        <w:jc w:val="left"/>
        <w:rPr>
          <w:rFonts w:ascii="Times New Roman;serif" w:hAnsi="Times New Roman;serif"/>
          <w:b/>
          <w:i/>
          <w:sz w:val="20"/>
        </w:rPr>
      </w:pPr>
      <w:r>
        <w:rPr>
          <w:rFonts w:ascii="Times New Roman;serif" w:hAnsi="Times New Roman;serif"/>
          <w:b/>
          <w:i/>
          <w:sz w:val="20"/>
        </w:rPr>
        <w:t>If we do not obtain patent term extension for our product candidates, our business may be materially harmed.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Depending upon the timing, duration and specifics of FDA marketing approval of our product candidates, one or more of our U.S. patents or those of our licensors may be eligible for limited patent term restoration under the Drug Price Competition and Patent Term Restoration Act of 1984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pStyle w:val="TextBody"/>
        <w:spacing w:before="120" w:after="0"/>
        <w:jc w:val="left"/>
        <w:rPr>
          <w:rFonts w:ascii="Times New Roman;serif" w:hAnsi="Times New Roman;serif"/>
          <w:b/>
          <w:i/>
          <w:sz w:val="20"/>
        </w:rPr>
      </w:pPr>
      <w:r>
        <w:rPr>
          <w:rFonts w:ascii="Times New Roman;serif" w:hAnsi="Times New Roman;serif"/>
          <w:b/>
          <w:i/>
          <w:sz w:val="20"/>
        </w:rPr>
        <w:t>We may not be able to protect our intellectual property rights throughout the world.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Although as of March 31, 2023, we owned seven and licensed five issued patents in the United States pertaining to our three product candidates and pending patent applications in the United States and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our licensors, or other intellectual property rights may not be effective or sufficient to prevent them from competing.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and those of our licensors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license, or obtain.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patents.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spacing w:before="120" w:after="0"/>
        <w:jc w:val="left"/>
        <w:rPr>
          <w:rFonts w:ascii="Times New Roman" w:hAnsi="Times New Roman"/>
          <w:sz w:val="20"/>
        </w:rPr>
      </w:pPr>
      <w:r>
        <w:rPr>
          <w:rFonts w:ascii="Times New Roman;serif" w:hAnsi="Times New Roman;serif"/>
          <w:b w:val="false"/>
          <w:sz w:val="20"/>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58</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spacing w:before="120" w:after="0"/>
        <w:jc w:val="left"/>
        <w:rPr>
          <w:rFonts w:ascii="Times New Roman;serif" w:hAnsi="Times New Roman;serif"/>
          <w:b/>
          <w:i/>
          <w:sz w:val="20"/>
        </w:rPr>
      </w:pPr>
      <w:r>
        <w:rPr>
          <w:rFonts w:ascii="Times New Roman;serif" w:hAnsi="Times New Roman;serif"/>
          <w:b/>
          <w:i/>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Periodic maintenance fees, renewal fees, annuity fees and various other governmental fees on patents and/or patent applications will be due to the USPTO and various foreign patent offices at various points over the lifetime of our patents and/or patent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pStyle w:val="TextBody"/>
        <w:spacing w:before="120" w:after="0"/>
        <w:jc w:val="left"/>
        <w:rPr>
          <w:rFonts w:ascii="Times New Roman;serif" w:hAnsi="Times New Roman;serif"/>
          <w:b/>
          <w:i/>
          <w:sz w:val="20"/>
        </w:rPr>
      </w:pPr>
      <w:r>
        <w:rPr>
          <w:rFonts w:ascii="Times New Roman;serif" w:hAnsi="Times New Roman;serif"/>
          <w:b/>
          <w:i/>
          <w:sz w:val="20"/>
        </w:rPr>
        <w:t>If our trademarks and trade names are not adequately protected, then we may not be able to build name recognition in our markets of interest and our business may be adversely affected.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intend to use registered or unregistered trademarks or trade names to brand and market ourselves and our products. As of March 31, 2023, we had two pending United States trademark applications. Our trademark applications may not result in any trademark registrations being issued, and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pStyle w:val="TextBody"/>
        <w:spacing w:before="120" w:after="0"/>
        <w:jc w:val="left"/>
        <w:rPr>
          <w:rFonts w:ascii="Times New Roman;serif" w:hAnsi="Times New Roman;serif"/>
          <w:b/>
          <w:i/>
          <w:sz w:val="20"/>
        </w:rPr>
      </w:pPr>
      <w:r>
        <w:rPr>
          <w:rFonts w:ascii="Times New Roman;serif" w:hAnsi="Times New Roman;serif"/>
          <w:b/>
          <w:i/>
          <w:sz w:val="20"/>
        </w:rPr>
        <w:t>If we are unable to protect the confidentiality of our trade secrets, our business and competitive position would be harmed.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pStyle w:val="TextBody"/>
        <w:spacing w:before="120" w:after="0"/>
        <w:jc w:val="left"/>
        <w:rPr>
          <w:rFonts w:ascii="Times New Roman;serif" w:hAnsi="Times New Roman;serif"/>
          <w:b/>
          <w:i/>
          <w:sz w:val="20"/>
        </w:rPr>
      </w:pPr>
      <w:r>
        <w:rPr>
          <w:rFonts w:ascii="Times New Roman;serif" w:hAnsi="Times New Roman;serif"/>
          <w:b/>
          <w:i/>
          <w:sz w:val="20"/>
        </w:rPr>
        <w:t>We may be subject to claims that we or our employees have wrongfully used or disclosed alleged confidential information or trade secrets.</w:t>
      </w:r>
    </w:p>
    <w:p>
      <w:pPr>
        <w:pStyle w:val="TextBody"/>
        <w:spacing w:before="120" w:after="0"/>
        <w:jc w:val="left"/>
        <w:rPr>
          <w:rFonts w:ascii="Times New Roman" w:hAnsi="Times New Roman"/>
          <w:sz w:val="20"/>
        </w:rPr>
      </w:pPr>
      <w:r>
        <w:rPr>
          <w:rFonts w:ascii="Times New Roman;serif" w:hAnsi="Times New Roman;serif"/>
          <w:b w:val="false"/>
          <w:sz w:val="20"/>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trade secrets or other information proprietary to the third parties. A third party has inquired about a potential breach of a non-disclosure and confidentiality agreement in view of our developments in the CD73 inhibitor program. The inquiry may progress to a claim that we or our employees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59</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inadvertently or otherwise breached the agreement and used trade secrets or other information proprietary to the third party.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pStyle w:val="TextBody"/>
        <w:spacing w:before="120" w:after="0"/>
        <w:jc w:val="left"/>
        <w:rPr>
          <w:rFonts w:ascii="Times New Roman;serif" w:hAnsi="Times New Roman;serif"/>
          <w:b/>
          <w:i/>
          <w:sz w:val="20"/>
        </w:rPr>
      </w:pPr>
      <w:r>
        <w:rPr>
          <w:rFonts w:ascii="Times New Roman;serif" w:hAnsi="Times New Roman;serif"/>
          <w:b/>
          <w:i/>
          <w:sz w:val="20"/>
        </w:rPr>
        <w:t>We may be subject to claims that we have wrongfully hired an employee from a competitor or that we or our employees have wrongfully used or disclosed alleged confidential information or trade secrets of their former employers.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is common in the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pStyle w:val="TextBody"/>
        <w:spacing w:before="120" w:after="0"/>
        <w:jc w:val="left"/>
        <w:rPr>
          <w:rFonts w:ascii="Times New Roman;serif" w:hAnsi="Times New Roman;serif"/>
          <w:b/>
          <w:i/>
          <w:sz w:val="20"/>
        </w:rPr>
      </w:pPr>
      <w:r>
        <w:rPr>
          <w:rFonts w:ascii="Times New Roman;serif" w:hAnsi="Times New Roman;serif"/>
          <w:b/>
          <w:i/>
          <w:sz w:val="20"/>
        </w:rPr>
        <w:t>Our rights to develop and commercialize our technology and product candidates may be subject, in part, to the terms and conditions of licenses granted to us by others.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entered into license agreements with third parties and we may enter into additional license agreements in the future with others to advance our research or allow commercialization of product candidates. These and other licenses may not provide exclusive rights to use such intellectual property and technology in all relevant fields of use and in all territories in which we may wish to develop or commercialize our technology and products in the future.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licensors may have relied on third 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60</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i/>
          <w:sz w:val="20"/>
        </w:rPr>
      </w:pPr>
      <w:r>
        <w:rPr>
          <w:rFonts w:ascii="Times New Roman;serif" w:hAnsi="Times New Roman;serif"/>
          <w:b/>
          <w:i/>
          <w:sz w:val="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existing license agreements, and we expect that our future agreements will, impose various development, diligence, commercialization, and other obligations on us. Certain of our license agreements also require us to meet development timelines, or to exercise commercially reasonable efforts to develop and commercialize licensed products, in order to maintain the license.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Moreover, disputes may arise between us and our licensors regarding intellectual property subject to a license agreement,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scope of rights granted under the license agreement and other interpretation-related issues;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whether and the extent to which our technology and processes infringe on intellectual property of the licensor that is not subject to the licensing agreement;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right to sublicense patents and other rights to third parties;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diligence obligations under the license agreement and what activities satisfy those diligence obligations;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right to transfer or assign the license;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inventorship and ownership of inventions and know-how resulting from the joint creation or use of intellectual property by our licensors and us and our partners;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priority of invention of patented technology.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reasonable terms, we may be unable to successfully develop and commercialize the affected product candidates, which could have a material adverse effect on our business, financial conditions, results of operations, and prospects.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spite of our best efforts, our licensors might conclude that we have materially breached our obligations under such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and we may be required to cease our development and commercialization of certain of our product candidates. For example, if Mirati terminates the Mirati License Agreement, we may be required to cease our development and commercialization of licensed products directed to PRC2 and would be obligated to assign to Mirati, or grant an exclusive license to Mirati with respect to, certain of our patents, know-how and regulatory filings. Likewise, if Voronoi terminates the Voronoi License Agreement, we may be required to cease our development and commercialization of licensed products directed to epidermal growth factor receptor (EGFR, or ErbB1) and human epidermal growth factor receptor 2 (HER2, or ErbB2) with exon 20 insertion mutations and we would be obligated to grant a nonexclusive license to Voronoi under certain of our patents and know-how, and to assign to Voronoi certain of our regulatory filings. Any of the foregoing could have a material adverse effect on our competitive position, business, financial conditions, results of operations, and prospects.</w:t>
      </w:r>
    </w:p>
    <w:p>
      <w:pPr>
        <w:pStyle w:val="TextBody"/>
        <w:spacing w:before="120" w:after="0"/>
        <w:jc w:val="left"/>
        <w:rPr>
          <w:rFonts w:ascii="Times New Roman;serif" w:hAnsi="Times New Roman;serif"/>
          <w:b/>
          <w:i/>
          <w:sz w:val="20"/>
        </w:rPr>
      </w:pPr>
      <w:r>
        <w:rPr>
          <w:rFonts w:ascii="Times New Roman;serif" w:hAnsi="Times New Roman;serif"/>
          <w:b/>
          <w:i/>
          <w:sz w:val="20"/>
        </w:rPr>
        <w:t>The patent protection and patent prosecution for some of our product candidates may be dependent on third parties.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While we normally seek to obtain the right to control the preparation, filing, prosecution, maintenance, enforcement, and defense of the patent applications and patents relating to our product candidates, there may be times when the preparation, filing, prosecution, maintenance, enforcement and defense activities for patents and patent applications relating to our product candidates are controlled by our licensors or collaboration partners. If any of our licensors or collaboration partners fail to prepare, file, prosecute, maintain, enforce, and defend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the preparation, filing, prosecution, maintenance, enforcement, and defense of patents and patent applications we have licensed to and from third parties, we may still be adversely affected or prejudiced by actions or inactions of our licensees, our licensors and their counsel that took place prior to the date upon which we assumed control over such activities.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61</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i/>
          <w:sz w:val="20"/>
        </w:rPr>
      </w:pPr>
      <w:r>
        <w:rPr>
          <w:rFonts w:ascii="Times New Roman;serif" w:hAnsi="Times New Roman;serif"/>
          <w:b/>
          <w:i/>
          <w:sz w:val="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Although we do not currently own issued patents or pending patent applications that have been generated through the use of U.S. government funding,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pStyle w:val="TextBody"/>
        <w:spacing w:before="120" w:after="0"/>
        <w:jc w:val="left"/>
        <w:rPr>
          <w:rFonts w:ascii="Times New Roman;serif" w:hAnsi="Times New Roman;serif"/>
          <w:b/>
          <w:sz w:val="20"/>
        </w:rPr>
      </w:pPr>
      <w:r>
        <w:rPr>
          <w:rFonts w:ascii="Times New Roman;serif" w:hAnsi="Times New Roman;serif"/>
          <w:b/>
          <w:sz w:val="20"/>
        </w:rPr>
        <w:t>Risks related to our dependence on third parties</w:t>
      </w:r>
    </w:p>
    <w:p>
      <w:pPr>
        <w:pStyle w:val="TextBody"/>
        <w:spacing w:before="120" w:after="0"/>
        <w:jc w:val="left"/>
        <w:rPr>
          <w:rFonts w:ascii="Times New Roman;serif" w:hAnsi="Times New Roman;serif"/>
          <w:b/>
          <w:i/>
          <w:sz w:val="20"/>
        </w:rPr>
      </w:pPr>
      <w:r>
        <w:rPr>
          <w:rFonts w:ascii="Times New Roman;serif" w:hAnsi="Times New Roman;serif"/>
          <w:b/>
          <w:i/>
          <w:sz w:val="20"/>
        </w:rPr>
        <w:t>We rely on third parties to conduct our clinical trials and those third parties may not perform satisfactorily, including failing to meet deadlines for the completion of such trials, research and studies.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do not have the ability to independently conduct our clinical trials. We currently rely on third parties, such as CROs, clinical data management organizations, medical institutions and clinical investigators, to conduct our current and planned clinical trials of our product candidates. Third parties have a significant role in the conduct of our clinical trials and the subsequent collection and analysis of data. These third parties are not our employees, and except for remedies available to us under our agreements with such third parties, we have limited ability to control the amount or timing of resources that any such third party will devote to our clinical trials. The third parties we rely on for these services may also have relationships with other entities, some of which may be our competitors. Some of these third parties may terminate their engagements with us at any time. If we need to enter into alternative arrangements with a third party, it would delay our drug development activities.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reliance on these third parties for such drug development activities will reduce our control over these activities but will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reliable and accurate and that the rights, integrity and confidentiality of trial participants are protected.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substantially comply with GCP regulations. In addition, our clinical trials must be conducted with product produced under current cGMP regulations. Our failure to comply with these regulations may require us to repeat clinical trials, which would delay the marketing approval process.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pStyle w:val="TextBody"/>
        <w:spacing w:before="120" w:after="0"/>
        <w:jc w:val="left"/>
        <w:rPr>
          <w:rFonts w:ascii="Times New Roman" w:hAnsi="Times New Roman"/>
          <w:sz w:val="20"/>
        </w:rPr>
      </w:pPr>
      <w:r>
        <w:rPr>
          <w:rFonts w:ascii="Times New Roman;serif" w:hAnsi="Times New Roman;serif"/>
          <w:b/>
          <w:i/>
          <w:sz w:val="20"/>
        </w:rPr>
        <w:t>We contract with third parties for the production of our product candidates for preclinical studies and, in the case of ORIC-533, ORIC-114 and ORIC-944, our ongoing clinical trials, and expect to continue to do so for additional clinical trials and ultimately for commercialization. This reliance on third parties increases the risk that we will not have sufficient quality and quantities of our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62</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i/>
          <w:sz w:val="20"/>
        </w:rPr>
      </w:pPr>
      <w:r>
        <w:rPr>
          <w:rFonts w:ascii="Times New Roman;serif" w:hAnsi="Times New Roman;serif"/>
          <w:b/>
          <w:i/>
          <w:sz w:val="20"/>
        </w:rPr>
        <w:t>product candidates or such quantities at an acceptable cost, which could delay, prevent or impair our development or commercialization efforts.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For each of our product candidates, we rely on a single third-party manufacturer and we currently have no alternative manufacturer in place. We do not have long-term supply agreements, and we purchase our required drug product on a purchase order basis, which means that aside from any binding purchase orders we have from time to time, our supplier could cease supplying to us or change the terms on which it is willing to continue supplying to us at any time. If we were to experience an unexpected loss of supply of any product candidates for any reason, whether as a result of manufacturing, supply or storage issues or otherwise, we could experience delays, disruptions, suspensions or terminations of, or be required to restart or repeat, any pending or ongoing studies or clinical trials.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termination or nonrenewal of arrangements or agreements by our third-party contractors at a time that is costly or inconvenient for us;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breach by the third-party contractors of our agreements with them;</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failure of third-party contractors to comply with applicable regulatory requirements, including cGMPs;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failure of the third party to manufacture our product candidates according to our specifications;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mislabeling of clinical supplies, potentially resulting in the wrong dose amounts being supplied or active drug or placebo not being properly identified;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clinical supplies not being delivered to clinical sites on time, leading to clinical trial interruptions, or of drug supplies not being distributed to commercial vendors in a timely manner, resulting in lost sales;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misappropriation of our proprietary information, including our trade secrets and know-how.</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do not have complete control over all aspects of the manufacturing process of our contract manufacturing partners and are dependent on these contract manufacturing partners for compliance with cGMP regulations for manufacturing both active pharmaceutical ingredients (API) and finished drug products. To date, we have obtained API and drug product for our product candidates from single-source third party contract manufacturers. We are in the process of developing our supply chain for each of our product candidates and intend to put in place framework agreements under which third-party contract manufacturers will generally provide us with necessary quantities of API and drug product on a project-by-project basis based on our development needs. As we advance our product candidates through development, we will consider our lack of redundant supply for the API and drug product for each of our product candidates to protect against any potential supply disruptions. However, we may be unsuccessful in putting in place such framework agreements or protecting against potential supply disruptions.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EMA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EMA or a comparable foreign regulatory authority does not approve these facilities for the manufacture of our product candidates or if it withdraws any such approval in the future, we will need to find alternative manufacturing facilities, and those new facilities would need to be inspected and approved by FDA, EMA or comparable regulatory authority prior to commencing manufacturing,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current and anticipated future dependence upon others for the manufacture of our product candidates may adversely affect our future profit margins and our ability to commercialize any product candidates that receive marketing approval on a timely and competitive basis.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63</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i/>
          <w:sz w:val="20"/>
        </w:rPr>
      </w:pPr>
      <w:r>
        <w:rPr>
          <w:rFonts w:ascii="Times New Roman;serif" w:hAnsi="Times New Roman;serif"/>
          <w:b/>
          <w:i/>
          <w:sz w:val="20"/>
        </w:rPr>
        <w:t>If we engage in future acquisitions or strategic partnerships, this may increase our capital requirements, dilute our stockholders, cause us to incur debt or assume contingent liabilities, and subject us to other risks.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From time to time, we evaluate various acquisition opportunities and strategic partnerships, including licensing or acquiring complementary products, intellectual property rights, technologies or businesses. For instance, in August 2020, we entered into the Mirati License Agreement pursuant to which we licensed from Mirati exclusive worldwide development and commercialization rights to its allosteric PRC2 inhibitor program and, in October 2020, we entered into the Voronoi License Agreement pursuant to which we licensed from Voronoi exclusive development and commercialization rights to its EGFR and HER2 exon 20 insertion mutation program worldwide (other than in the People’s Republic of China, Hong Kong, Macau and Taiwan). Any such acquisition or strategic partnership may entail numerous risks,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increased operating expenses and cash requirements;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assumption of additional indebtedness or contingent liabilities;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issuance of our equity securities;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assimilation of operations, intellectual property and products of an acquired company, including difficulties associated with integrating new personnel;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diversion of our management’s attention from our existing programs and initiatives in pursuing such a strategic merger or acquisition;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retention of key employees, the loss of key personnel and uncertainties in our ability to maintain key business relationships;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risks and uncertainties associated with the other party to such a transaction, including the prospects of that party and their existing products or product candidates and marketing approvals;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our inability to generate revenue from acquired technology and/or products sufficient to meet our objectives in undertaking the acquisition or even to offset the associated acquisition and maintenance costs.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if we undertake acquisitions or pursue partnerships in the future, we may issue dilutive securities, assume or incur debt obligations, incur large one-time expenses and acquire intangible assets that could result in significant future amortization expense. For instance, in connection with the Mirati License Agreement, we issued to Mirati 588,235 shares of our common stock and, in connection with the Voronoi License Agreement, we issued Voronoi 283,259 shares of our common stock, each of which resulted in dilution to our existing stockholders.</w:t>
      </w:r>
    </w:p>
    <w:p>
      <w:pPr>
        <w:pStyle w:val="TextBody"/>
        <w:spacing w:before="120" w:after="0"/>
        <w:jc w:val="left"/>
        <w:rPr>
          <w:rFonts w:ascii="Times New Roman;serif" w:hAnsi="Times New Roman;serif"/>
          <w:b/>
          <w:i/>
          <w:sz w:val="20"/>
        </w:rPr>
      </w:pPr>
      <w:r>
        <w:rPr>
          <w:rFonts w:ascii="Times New Roman;serif" w:hAnsi="Times New Roman;serif"/>
          <w:b/>
          <w:i/>
          <w:sz w:val="20"/>
        </w:rPr>
        <w:t>If we decide to establish additional collaborations, but are not able to establish those collaborations on commercially reasonable terms, we may have to alter our development and commercialization plans.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drug development programs and the potential commercialization of our product candidates will require substantial additional cash to fund expenses. We may seek to selectively form collaborations, such as our collaboration with Pfizer,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would face significant competition in seeking additional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there have been a significant number of recent business combinations among large pharmaceutical companies that have resulted in a reduced number of potential future collaborators. Even when we are successful in entering into a collaboration, such as our collaboration with Pfizer, the terms and conditions of that collaboration may restrict us from entering into future agreements on certain terms with potential collaborators.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64</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and when we seek to enter into additional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spacing w:before="120" w:after="0"/>
        <w:jc w:val="left"/>
        <w:rPr>
          <w:rFonts w:ascii="Times New Roman;serif" w:hAnsi="Times New Roman;serif"/>
          <w:b/>
          <w:i/>
          <w:sz w:val="20"/>
        </w:rPr>
      </w:pPr>
      <w:r>
        <w:rPr>
          <w:rFonts w:ascii="Times New Roman;serif" w:hAnsi="Times New Roman;serif"/>
          <w:b/>
          <w:i/>
          <w:sz w:val="20"/>
        </w:rPr>
        <w:t>We may enter into collaborations with third parties for the development and commercialization of product candidates. If those collaborations are not successful, we may not be able to capitalize on the market potential of these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collaborators have significant discretion in determining the efforts and resources that they will apply to, and the manner in which they perform their obligations under, these collaborations and may not perform their obligations as expected;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collaborators may rely on third parties to conduct development, manufacturing, and/or commercialization activities, and except for remedies available to us under our collaboration agreements, we have limited ability to control the conduct of such activities;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collaborator with marketing and distribution rights to multiple products may not commit sufficient resources to the marketing and distribution of our product relative to other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grant exclusive rights to our collaborators that would prevent us from collaborating with others;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collaborations may be terminated and, if terminated, may result in a need for additional capital to pursue further development or commercialization of the applicable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collaboration agreements may not lead to development or commercialization of product candidates in the most efficient manner or at all;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collaborators may own or co-own intellectual property covering our products that results from our collaborating with them, and in such cases, we would not have the exclusive right to develop or commercialize such intellectual property; and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65</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 collaborator’s sales and marketing activities or other operations may not be in compliance with applicable laws resulting in civil or criminal proceedings.</w:t>
      </w:r>
    </w:p>
    <w:p>
      <w:pPr>
        <w:pStyle w:val="TextBody"/>
        <w:spacing w:before="120" w:after="0"/>
        <w:jc w:val="left"/>
        <w:rPr>
          <w:rFonts w:ascii="Times New Roman;serif" w:hAnsi="Times New Roman;serif"/>
          <w:b/>
          <w:sz w:val="20"/>
        </w:rPr>
      </w:pPr>
      <w:r>
        <w:rPr>
          <w:rFonts w:ascii="Times New Roman;serif" w:hAnsi="Times New Roman;serif"/>
          <w:b/>
          <w:sz w:val="20"/>
        </w:rPr>
        <w:t>Risks related to the securities markets and ownership of our common stock</w:t>
      </w:r>
    </w:p>
    <w:p>
      <w:pPr>
        <w:pStyle w:val="TextBody"/>
        <w:spacing w:before="120" w:after="0"/>
        <w:jc w:val="left"/>
        <w:rPr>
          <w:rFonts w:ascii="Times New Roman;serif" w:hAnsi="Times New Roman;serif"/>
          <w:b/>
          <w:i/>
          <w:sz w:val="20"/>
        </w:rPr>
      </w:pPr>
      <w:r>
        <w:rPr>
          <w:rFonts w:ascii="Times New Roman;serif" w:hAnsi="Times New Roman;serif"/>
          <w:b/>
          <w:i/>
          <w:sz w:val="20"/>
        </w:rPr>
        <w:t>We do not know whether an active, liquid and orderly trading market will continue for our common stock or what the market price of our common stock will be and as a result it may be difficult for you to sell your shares of our common stock.</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Prior to our IPO in April 2020, there was no public market for shares of our common stock. Shares of our common stock only recently began trading on Nasdaq, but we can provide no assurance that we will be able to sustain an active trading market for our shares.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pStyle w:val="TextBody"/>
        <w:spacing w:before="120" w:after="0"/>
        <w:jc w:val="left"/>
        <w:rPr>
          <w:rFonts w:ascii="Times New Roman;serif" w:hAnsi="Times New Roman;serif"/>
          <w:b/>
          <w:i/>
          <w:sz w:val="20"/>
        </w:rPr>
      </w:pPr>
      <w:r>
        <w:rPr>
          <w:rFonts w:ascii="Times New Roman;serif" w:hAnsi="Times New Roman;serif"/>
          <w:b/>
          <w:i/>
          <w:sz w:val="20"/>
        </w:rPr>
        <w:t>The price of our stock is volatile.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trading price of our common stock is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Broad market and industry factors may negatively affect the market price of our common stock, regardless of our actual operating performance. In addition to the factors discussed in this “Risk factors” section and elsewhere in this periodic report, these factors include: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timing and results of preclinical studies and clinical trials of our product candidates, those conducted by third parties or those of our competitors;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success of competitive products or announcements by potential competitors of their product development efforts;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regulatory actions with respect to our products or our competitors’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actual or anticipated changes in our growth rate relative to our competitors;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regulatory or legal developments in the United States and other countries;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developments or disputes concerning patent applications, issued patents or other proprietary rights;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recruitment or departure of key personnel;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announcements by us or our competitors of significant acquisitions, strategic collaborations, joint ventures, collaborations or capital commitments;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actual or anticipated changes in estimates as to financial results, development timelines or recommendations by securities analysts;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fluctuations in the valuation of companies perceived by investors to be comparable to us;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market conditions in the pharmaceutical and biotechnology sector;</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in the structure of healthcare payment systems;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share price and volume fluctuations attributable to inconsistent trading volume levels of our shares;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announcement or expectation of additional financing efforts;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sales of our common stock by us, our insiders or our other stockholders;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expiration of market stand-off or lock-up agreements;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impact of any natural disasters or public health emergencies, such as the COVID-19 pandemic;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general economic, political, industry and market conditions, including the military conflict between Russia and Ukraine and instability in the financial markets and banking industry.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realization of any of the above risks or any of a broad range of other risks, including those described in this “Risk factors” section, could have a dramatic and adverse impact on the market price of our common stock.</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66</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i/>
          <w:sz w:val="20"/>
        </w:rPr>
      </w:pPr>
      <w:r>
        <w:rPr>
          <w:rFonts w:ascii="Times New Roman;serif" w:hAnsi="Times New Roman;serif"/>
          <w:b/>
          <w:i/>
          <w:sz w:val="20"/>
        </w:rPr>
        <w:t>If securities or industry analysts do not publish research or reports, or if they publish adverse or misleading research or reports, regarding us, our business or our market, our stock price and trading volume could decline.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trading market for our common stock is influenced by the research and reports that securities or industry analysts publish about us, our business or our market. We currently have research coverage from a limited number of securities or industry analysts.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spacing w:before="120" w:after="0"/>
        <w:jc w:val="left"/>
        <w:rPr>
          <w:rFonts w:ascii="Times New Roman;serif" w:hAnsi="Times New Roman;serif"/>
          <w:b/>
          <w:i/>
          <w:sz w:val="20"/>
        </w:rPr>
      </w:pPr>
      <w:r>
        <w:rPr>
          <w:rFonts w:ascii="Times New Roman;serif" w:hAnsi="Times New Roman;serif"/>
          <w:b/>
          <w:i/>
          <w:sz w:val="20"/>
        </w:rPr>
        <w:t>Our operating results may fluctuate significantly, which makes our future operating results difficult to predict and could cause our operating results to fall below expectations or our guidance.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Furthermore, our operating results may fluctuate due to a variety of other factors, many of which are outside of our control and may be difficult to predict, including the following: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timing and cost of, and level of investment in, research and development activities relating to our current product candidates and any future product candidates and research-stage programs, which will change from time to time;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enroll patients in clinical trials and the timing of enrollment;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expenditures that we will or may incur to acquire or develop additional product candidates and technologies or other assets;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timing and outcomes of clinical trials for any of our product candidates, or competing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need to conduct unanticipated clinical trials or trials that are larger or more complex than anticipated;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competition from existing and potential future products that compete with any of our product candidates, and changes in the competitive landscape of our industry, including consolidation among our competitors or partners;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delays in regulatory review or approval of any of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level of demand for any of our product candidates, if approved, which may fluctuate significantly and be difficult to predict;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risk/benefit profile, cost and reimbursement policies with respect to our product candidates, if approved, and existing and potential future products that compete with any of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commercialize any of our product candidates, if approved, inside and outside of the United States, either independently or working with third parties;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establish and maintain collaborations, licensing or other arrangements;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adequately support future growth;</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potential unforeseen business disruptions that increase our costs or expenses;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future accounting pronouncements or changes in our accounting policies;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changing and volatile global economic and political environment.</w:t>
      </w:r>
    </w:p>
    <w:p>
      <w:pPr>
        <w:pStyle w:val="TextBody"/>
        <w:spacing w:before="120" w:after="0"/>
        <w:jc w:val="left"/>
        <w:rPr>
          <w:rFonts w:ascii="Times New Roman" w:hAnsi="Times New Roman"/>
          <w:sz w:val="20"/>
        </w:rPr>
      </w:pPr>
      <w:r>
        <w:rPr>
          <w:rFonts w:ascii="Times New Roman;serif" w:hAnsi="Times New Roman;serif"/>
          <w:b w:val="false"/>
          <w:sz w:val="20"/>
        </w:rPr>
        <w:t>The cumulative effect of these factors could result in large fluctuations and unpredictability in our quarterly and annual operating results. As a result, comparing our operating results on a period-to-period basis may not be meaningful. Investors should not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67</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spacing w:before="120" w:after="0"/>
        <w:jc w:val="left"/>
        <w:rPr>
          <w:rFonts w:ascii="Times New Roman;serif" w:hAnsi="Times New Roman;serif"/>
          <w:b/>
          <w:i/>
          <w:sz w:val="20"/>
        </w:rPr>
      </w:pPr>
      <w:r>
        <w:rPr>
          <w:rFonts w:ascii="Times New Roman;serif" w:hAnsi="Times New Roman;serif"/>
          <w:b/>
          <w:i/>
          <w:sz w:val="20"/>
        </w:rPr>
        <w:t>Our principal stockholders and management own a significant percentage of our stock and will be able to exert significant control over matters subject to stockholder approval.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of March 31, 2023, our executive officers, directors, holders of 5% or more of our common stock and their respective affiliates beneficially owned approximately 55% of our outstanding common stock. These stockholders, acting together, may be able to impact matters requiring stockholder approval. For example, they may be able to impact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pStyle w:val="TextBody"/>
        <w:spacing w:before="120" w:after="0"/>
        <w:jc w:val="left"/>
        <w:rPr>
          <w:rFonts w:ascii="Times New Roman;serif" w:hAnsi="Times New Roman;serif"/>
          <w:b/>
          <w:i/>
          <w:sz w:val="20"/>
        </w:rPr>
      </w:pPr>
      <w:r>
        <w:rPr>
          <w:rFonts w:ascii="Times New Roman;serif" w:hAnsi="Times New Roman;serif"/>
          <w:b/>
          <w:i/>
          <w:sz w:val="20"/>
        </w:rPr>
        <w:t>Sales of a substantial number of shares of our common stock in the public market could cause our stock price to fall.</w:t>
      </w:r>
    </w:p>
    <w:p>
      <w:pPr>
        <w:pStyle w:val="TextBody"/>
        <w:spacing w:before="120" w:after="0"/>
        <w:jc w:val="left"/>
        <w:rPr>
          <w:rFonts w:ascii="Times New Roman" w:hAnsi="Times New Roman"/>
          <w:sz w:val="20"/>
        </w:rPr>
      </w:pPr>
      <w:r>
        <w:rPr>
          <w:rFonts w:ascii="Times New Roman;serif" w:hAnsi="Times New Roman;serif"/>
          <w:b w:val="false"/>
          <w:sz w:val="20"/>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Certain holders of shares of our common stock have rights, subject to certain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Any sales of securities by these stockholders could have a material adverse effect on the market price for our common stock.</w:t>
      </w:r>
    </w:p>
    <w:p>
      <w:pPr>
        <w:pStyle w:val="TextBody"/>
        <w:spacing w:before="120" w:after="0"/>
        <w:jc w:val="left"/>
        <w:rPr>
          <w:rFonts w:ascii="Times New Roman;serif" w:hAnsi="Times New Roman;serif"/>
          <w:b/>
          <w:i/>
          <w:sz w:val="20"/>
        </w:rPr>
      </w:pPr>
      <w:r>
        <w:rPr>
          <w:rFonts w:ascii="Times New Roman;serif" w:hAnsi="Times New Roman;serif"/>
          <w:b/>
          <w:i/>
          <w:sz w:val="20"/>
        </w:rPr>
        <w:t>We are an “emerging growth company,” and we cannot be certain if the reduced reporting requirements applicable to emerging growth companies will make our common stock less attractive to investors.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an “emerging growth company,” as defined in the JOBS Act. For as long as we continue to be an emerging growth company, we intend to take advantage of exemptions from various reporting requirements that are applicable to other public companies that are not emerging growth companies,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being permitted to provide only two years of audited financial statements, in addition to any required unaudited interim financial statements, with correspondingly reduced “Management’s Discussion and Analysis of Financial Condition and Results of Operations” disclosure in our periodic reports;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not being required to comply with the auditor attestation requirements of Section 404 of the Sarbanes-Oxley Act of 2002, as amended (Sarbanes-Oxley Act);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reduced disclosure obligations regarding executive compensation in our periodic reports and proxy statements;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exemptions from the requirements of holding nonbinding advisory stockholder votes on executive compensation and stockholder approval of any golden parachute payments not previously approved.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Under the JOBS Act, emerging growth companies can also delay adopting new or revised accounting standards until such time as those standards apply to private companies. We have elected not to avail ourselves of this exemption from new or revised accounting standards and, therefore, will be subject to the same new or revised accounting standards as other public companies that are not emerging growth companies. As a result, our financial statements may not be comparable to emerging growth companies that elect to avail themselves of the exemption from new or revised accounting pronouncements as of public company effective dates.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68</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will remain an emerging growth company until the earliest to occur of: (1) the last day of the fiscal year in which we have more than $1.235 billion in annual revenue; (2) the date we qualify as a “large accelerated filer,” with at least $700.0 million of equity securities held by non-affiliates; (3) the date on which we have issued more than $1.0 billion in non-convertible debt securities during the prior three-year period; and (4) December 31, 2025.</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pStyle w:val="TextBody"/>
        <w:spacing w:before="120" w:after="0"/>
        <w:jc w:val="left"/>
        <w:rPr>
          <w:rFonts w:ascii="Times New Roman;serif" w:hAnsi="Times New Roman;serif"/>
          <w:b/>
          <w:i/>
          <w:sz w:val="20"/>
        </w:rPr>
      </w:pPr>
      <w:r>
        <w:rPr>
          <w:rFonts w:ascii="Times New Roman;serif" w:hAnsi="Times New Roman;serif"/>
          <w:b/>
          <w:i/>
          <w:sz w:val="20"/>
        </w:rPr>
        <w:t>We incur increased costs as a result of operating as a public company, and our management devotes substantial time to related compliance initiatives. Additionally, if we fail to maintain proper and effective internal controls, our ability to produce accurate financial statements on a timely basis could be impaired.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a public company, we incur significant legal, accounting and other expenses that we did not incur as a private company, and these expenses may increase even more after we are no longer an “emerging growth company.” We are subject to the reporting requirements of the Exchange Act, the Sarbanes-Oxley Act, the Dodd-Frank Wall Street Reform and Protection Act, as well as rules adopted, and to be adopted, by the SEC and Nasdaq. Our management and other personnel need to devote a substantial amount of time to these compliance initiatives. Moreover, we expect these rules and regulations to substantially increase our legal and financial compliance costs and to make some activities more time-consuming and costly, which will increase our operating expenses. For example, these rules and regulations make it more difficult and more expensive for us to obtain director and officer liability insurance and we may be required to incur substantial costs to maintain sufficient coverage, particularly in light of recent cost increases related to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as a public company we are required to incur additional costs and obligations in order to comply with SEC rules that implement Section 404 of the Sarbanes-Oxley Act. Under these rules, we are required to make a formal assessment of the effectiveness of our internal control over financial reporting, and once we cease to be an emerging growth company, we may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pStyle w:val="TextBody"/>
        <w:spacing w:before="120" w:after="0"/>
        <w:jc w:val="left"/>
        <w:rPr>
          <w:rFonts w:ascii="Times New Roman;serif" w:hAnsi="Times New Roman;serif"/>
          <w:b/>
          <w:i/>
          <w:sz w:val="20"/>
        </w:rPr>
      </w:pPr>
      <w:r>
        <w:rPr>
          <w:rFonts w:ascii="Times New Roman;serif" w:hAnsi="Times New Roman;serif"/>
          <w:b/>
          <w:i/>
          <w:sz w:val="20"/>
        </w:rPr>
        <w:t>Our disclosure controls and procedures may not prevent or detect all errors or acts of fraud.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69</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i/>
          <w:sz w:val="20"/>
        </w:rPr>
      </w:pPr>
      <w:r>
        <w:rPr>
          <w:rFonts w:ascii="Times New Roman;serif" w:hAnsi="Times New Roman;serif"/>
          <w:b/>
          <w:i/>
          <w:sz w:val="20"/>
        </w:rPr>
        <w:t>We may be subject to securities litigation, which is expensive and could divert management attention.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market price of our common stock is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pStyle w:val="TextBody"/>
        <w:spacing w:before="120" w:after="0"/>
        <w:jc w:val="left"/>
        <w:rPr>
          <w:rFonts w:ascii="Times New Roman;serif" w:hAnsi="Times New Roman;serif"/>
          <w:b/>
          <w:i/>
          <w:sz w:val="20"/>
        </w:rPr>
      </w:pPr>
      <w:r>
        <w:rPr>
          <w:rFonts w:ascii="Times New Roman;serif" w:hAnsi="Times New Roman;serif"/>
          <w:b/>
          <w:i/>
          <w:sz w:val="20"/>
        </w:rPr>
        <w:t>We do not intend to pay dividends on our common stock so any returns will be limited to the value of our stock.</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pStyle w:val="TextBody"/>
        <w:spacing w:before="120" w:after="0"/>
        <w:jc w:val="left"/>
        <w:rPr>
          <w:rFonts w:ascii="Times New Roman;serif" w:hAnsi="Times New Roman;serif"/>
          <w:b/>
          <w:i/>
          <w:sz w:val="20"/>
        </w:rPr>
      </w:pPr>
      <w:r>
        <w:rPr>
          <w:rFonts w:ascii="Times New Roman;serif" w:hAnsi="Times New Roman;serif"/>
          <w:b/>
          <w:i/>
          <w:sz w:val="20"/>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amended and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establish a classified board of directors so that not all members of our board are elected at one time;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permit only the board of directors to establish the number of directors and fill vacancies on the board;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provide that directors may only be removed “for cause” and only with the approval of two-thirds of our stockholders;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authorize the issuance of “blank check” preferred stock that our board could use to implement a stockholder rights plan (also known as a “poison pill”);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eliminate the ability of our stockholders to call special meetings of stockholders;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prohibit stockholder action by written consent, which requires all stockholder actions to be taken at a meeting of our stockholders;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prohibit cumulative voting;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authorize our board of directors to amend the bylaws;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establish advance notice requirements for nominations for election to our board or for proposing matters that can be acted upon by stockholders at annual stockholder meetings;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require a super-majority vote of stockholders to amend some provisions described above.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pStyle w:val="TextBody"/>
        <w:spacing w:before="120" w:after="0"/>
        <w:jc w:val="left"/>
        <w:rPr>
          <w:rFonts w:ascii="Times New Roman;serif" w:hAnsi="Times New Roman;serif"/>
          <w:b/>
          <w:i/>
          <w:sz w:val="20"/>
        </w:rPr>
      </w:pPr>
      <w:r>
        <w:rPr>
          <w:rFonts w:ascii="Times New Roman;serif" w:hAnsi="Times New Roman;serif"/>
          <w:b/>
          <w:i/>
          <w:sz w:val="20"/>
        </w:rPr>
        <w:t>Our amended and restated bylaws provide that the Court of Chancery of the State of Delaware and the federal district courts of the United States of America will be the exclusive forums for substantially all disputes between us and our stockholders, which may limit our stockholders’ ability to obtain a favorable judicial forum for disputes with us or our directors, officers or employees.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derivative action or proceeding brought on our behalf;</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any action asserting a claim of breach of fiduciary duty;</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70</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action asserting a claim against us arising under the DGCL, our amended and restated certificate of incorporation or our amended and restated bylaws;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any action asserting a claim against us that is governed by the internal-affairs doctrine.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This provision does not apply to suits brought to enforce a duty or liability created by the Exchange Act or any other claim for which the U.S. federal courts have exclusive jurisdiction.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amended and restated bylaws further provide that the federal district courts of the United States of America will be the exclusive forum for resolving any complaint asserting a cause of action arising under the Securities Act.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pStyle w:val="TextBody"/>
        <w:spacing w:before="120" w:after="0"/>
        <w:jc w:val="left"/>
        <w:rPr>
          <w:rFonts w:ascii="Times New Roman;serif" w:hAnsi="Times New Roman;serif"/>
          <w:b/>
          <w:sz w:val="20"/>
        </w:rPr>
      </w:pPr>
      <w:bookmarkStart w:id="18" w:name="item_2_unregistered_sale_equity_securiti"/>
      <w:bookmarkEnd w:id="18"/>
      <w:r>
        <w:rPr>
          <w:rFonts w:ascii="Times New Roman;serif" w:hAnsi="Times New Roman;serif"/>
          <w:b/>
          <w:sz w:val="20"/>
        </w:rPr>
        <w:t>Item 2. Unregistered Sales of Equity Securities and Use of Proceeds.</w:t>
      </w:r>
    </w:p>
    <w:p>
      <w:pPr>
        <w:pStyle w:val="TextBody"/>
        <w:spacing w:before="120" w:after="0"/>
        <w:jc w:val="left"/>
        <w:rPr>
          <w:rFonts w:ascii="Times New Roman;serif" w:hAnsi="Times New Roman;serif"/>
          <w:b/>
          <w:sz w:val="20"/>
        </w:rPr>
      </w:pPr>
      <w:r>
        <w:rPr>
          <w:rFonts w:ascii="Times New Roman;serif" w:hAnsi="Times New Roman;serif"/>
          <w:b/>
          <w:sz w:val="20"/>
        </w:rPr>
        <w:t>Recent Sales of Unregistered Securities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120" w:after="0"/>
        <w:jc w:val="left"/>
        <w:rPr>
          <w:rFonts w:ascii="Times New Roman;serif" w:hAnsi="Times New Roman;serif"/>
          <w:b/>
          <w:sz w:val="20"/>
        </w:rPr>
      </w:pPr>
      <w:r>
        <w:rPr>
          <w:rFonts w:ascii="Times New Roman;serif" w:hAnsi="Times New Roman;serif"/>
          <w:b/>
          <w:sz w:val="20"/>
        </w:rPr>
        <w:t>Use of Proceeds from Registered Securities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120" w:after="0"/>
        <w:jc w:val="left"/>
        <w:rPr>
          <w:rFonts w:ascii="Times New Roman" w:hAnsi="Times New Roman"/>
          <w:sz w:val="20"/>
        </w:rPr>
      </w:pPr>
      <w:bookmarkStart w:id="19" w:name="item_3_defaults_upon_senior_securities"/>
      <w:bookmarkEnd w:id="19"/>
      <w:r>
        <w:rPr>
          <w:rFonts w:ascii="Times New Roman;serif" w:hAnsi="Times New Roman;serif"/>
          <w:b/>
          <w:sz w:val="20"/>
        </w:rPr>
        <w:t>Item 3. Defaults Upon Senior Securities.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None.</w:t>
      </w:r>
      <w:r>
        <w:rPr>
          <w:rFonts w:ascii="Times New Roman" w:hAnsi="Times New Roman"/>
          <w:sz w:val="20"/>
        </w:rPr>
        <w:t xml:space="preserve"> </w:t>
      </w:r>
    </w:p>
    <w:p>
      <w:pPr>
        <w:pStyle w:val="TextBody"/>
        <w:spacing w:before="120" w:after="0"/>
        <w:jc w:val="left"/>
        <w:rPr>
          <w:rFonts w:ascii="Times New Roman;serif" w:hAnsi="Times New Roman;serif"/>
          <w:b/>
          <w:sz w:val="20"/>
        </w:rPr>
      </w:pPr>
      <w:bookmarkStart w:id="20" w:name="item_4_mine_safety_disclosures"/>
      <w:bookmarkEnd w:id="20"/>
      <w:r>
        <w:rPr>
          <w:rFonts w:ascii="Times New Roman;serif" w:hAnsi="Times New Roman;serif"/>
          <w:b/>
          <w:sz w:val="20"/>
        </w:rPr>
        <w:t>Item 4. Mine Safety Disclosures.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120" w:after="0"/>
        <w:jc w:val="left"/>
        <w:rPr>
          <w:rFonts w:ascii="Times New Roman" w:hAnsi="Times New Roman"/>
          <w:sz w:val="20"/>
        </w:rPr>
      </w:pPr>
      <w:bookmarkStart w:id="21" w:name="item_5_or_information"/>
      <w:bookmarkEnd w:id="21"/>
      <w:r>
        <w:rPr>
          <w:rFonts w:ascii="Times New Roman;serif" w:hAnsi="Times New Roman;serif"/>
          <w:b/>
          <w:sz w:val="20"/>
        </w:rPr>
        <w:t>Item 5. Other Information.</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71</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20"/>
        </w:rPr>
      </w:pPr>
      <w:bookmarkStart w:id="22" w:name="item_6_exhibits"/>
      <w:bookmarkEnd w:id="22"/>
      <w:r>
        <w:rPr>
          <w:rFonts w:ascii="Times New Roman;serif" w:hAnsi="Times New Roman;serif"/>
          <w:b/>
          <w:sz w:val="20"/>
        </w:rPr>
        <w:t>Item 6. Exhibits.</w:t>
      </w:r>
    </w:p>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756"/>
        <w:gridCol w:w="146"/>
        <w:gridCol w:w="5975"/>
        <w:gridCol w:w="146"/>
        <w:gridCol w:w="511"/>
        <w:gridCol w:w="146"/>
        <w:gridCol w:w="745"/>
        <w:gridCol w:w="146"/>
        <w:gridCol w:w="631"/>
        <w:gridCol w:w="146"/>
        <w:gridCol w:w="1191"/>
      </w:tblGrid>
      <w:tr>
        <w:trPr/>
        <w:tc>
          <w:tcPr>
            <w:tcW w:w="7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97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91" w:type="dxa"/>
            <w:tcBorders/>
            <w:shd w:fill="auto" w:val="clear"/>
            <w:vAlign w:val="center"/>
          </w:tcPr>
          <w:p>
            <w:pPr>
              <w:pStyle w:val="TableContents"/>
              <w:spacing w:before="0" w:after="283"/>
              <w:rPr>
                <w:sz w:val="4"/>
                <w:szCs w:val="4"/>
              </w:rPr>
            </w:pPr>
            <w:r>
              <w:rPr>
                <w:sz w:val="4"/>
                <w:szCs w:val="4"/>
              </w:rPr>
            </w:r>
          </w:p>
        </w:tc>
      </w:tr>
      <w:tr>
        <w:trPr/>
        <w:tc>
          <w:tcPr>
            <w:tcW w:w="7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7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516" w:type="dxa"/>
            <w:gridSpan w:val="7"/>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Incorporated by Reference</w:t>
            </w:r>
          </w:p>
        </w:tc>
      </w:tr>
      <w:tr>
        <w:trPr/>
        <w:tc>
          <w:tcPr>
            <w:tcW w:w="7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9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Exhibit Description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Form</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File No.</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Exhibit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Filing Date</w:t>
            </w:r>
          </w:p>
        </w:tc>
      </w:tr>
      <w:tr>
        <w:trPr/>
        <w:tc>
          <w:tcPr>
            <w:tcW w:w="7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c>
          <w:tcPr>
            <w:tcW w:w="146" w:type="dxa"/>
            <w:tcBorders/>
            <w:shd w:fill="auto" w:val="clear"/>
            <w:vAlign w:val="center"/>
          </w:tcPr>
          <w:p>
            <w:pPr>
              <w:pStyle w:val="TableContents"/>
              <w:spacing w:before="0" w:after="0"/>
              <w:ind w:left="0" w:right="0" w:hanging="0"/>
              <w:jc w:val="right"/>
              <w:rPr/>
            </w:pPr>
            <w:r>
              <w:rPr/>
              <w:t> </w:t>
            </w:r>
          </w:p>
        </w:tc>
        <w:tc>
          <w:tcPr>
            <w:tcW w:w="5975" w:type="dxa"/>
            <w:tcBorders/>
            <w:shd w:fill="auto" w:val="clear"/>
            <w:vAlign w:val="center"/>
          </w:tcPr>
          <w:p>
            <w:pPr>
              <w:pStyle w:val="TableContents"/>
              <w:spacing w:before="0" w:after="0"/>
              <w:ind w:left="0" w:right="0" w:hanging="0"/>
              <w:jc w:val="left"/>
              <w:rPr/>
            </w:pPr>
            <w:hyperlink r:id="rId2">
              <w:r>
                <w:rPr>
                  <w:rStyle w:val="InternetLink"/>
                  <w:rFonts w:ascii="Times New Roman;serif" w:hAnsi="Times New Roman;serif"/>
                  <w:b w:val="false"/>
                  <w:sz w:val="20"/>
                  <w:u w:val="single"/>
                </w:rPr>
                <w:t>Amended and Restated Bylaws.</w:t>
              </w:r>
            </w:hyperlink>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146" w:type="dxa"/>
            <w:tcBorders/>
            <w:shd w:fill="auto" w:val="clear"/>
            <w:vAlign w:val="center"/>
          </w:tcPr>
          <w:p>
            <w:pPr>
              <w:pStyle w:val="TableContents"/>
              <w:spacing w:before="0" w:after="0"/>
              <w:ind w:left="0" w:right="0" w:hanging="0"/>
              <w:jc w:val="center"/>
              <w:rPr/>
            </w:pPr>
            <w:r>
              <w:rPr/>
              <w:t> </w:t>
            </w:r>
          </w:p>
        </w:tc>
        <w:tc>
          <w:tcPr>
            <w:tcW w:w="74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001-39269</w:t>
            </w:r>
          </w:p>
        </w:tc>
        <w:tc>
          <w:tcPr>
            <w:tcW w:w="146" w:type="dxa"/>
            <w:tcBorders/>
            <w:shd w:fill="auto" w:val="clear"/>
            <w:vAlign w:val="center"/>
          </w:tcPr>
          <w:p>
            <w:pPr>
              <w:pStyle w:val="TableContents"/>
              <w:spacing w:before="0" w:after="0"/>
              <w:ind w:left="0" w:right="0" w:hanging="0"/>
              <w:jc w:val="center"/>
              <w:rPr/>
            </w:pPr>
            <w:r>
              <w:rPr/>
              <w:t> </w:t>
            </w:r>
          </w:p>
        </w:tc>
        <w:tc>
          <w:tcPr>
            <w:tcW w:w="63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w:t>
            </w:r>
          </w:p>
        </w:tc>
        <w:tc>
          <w:tcPr>
            <w:tcW w:w="146" w:type="dxa"/>
            <w:tcBorders/>
            <w:shd w:fill="auto" w:val="clear"/>
            <w:vAlign w:val="center"/>
          </w:tcPr>
          <w:p>
            <w:pPr>
              <w:pStyle w:val="TableContents"/>
              <w:spacing w:before="0" w:after="0"/>
              <w:ind w:left="0" w:right="0" w:hanging="0"/>
              <w:jc w:val="center"/>
              <w:rPr/>
            </w:pPr>
            <w:r>
              <w:rPr/>
              <w:t> </w:t>
            </w:r>
          </w:p>
        </w:tc>
        <w:tc>
          <w:tcPr>
            <w:tcW w:w="11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3/24/23</w:t>
            </w:r>
          </w:p>
        </w:tc>
      </w:tr>
      <w:tr>
        <w:trPr/>
        <w:tc>
          <w:tcPr>
            <w:tcW w:w="7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975" w:type="dxa"/>
            <w:tcBorders/>
            <w:shd w:fill="auto" w:val="clear"/>
            <w:vAlign w:val="center"/>
          </w:tcPr>
          <w:p>
            <w:pPr>
              <w:pStyle w:val="TableContents"/>
              <w:spacing w:before="0" w:after="0"/>
              <w:ind w:left="0" w:right="0" w:hanging="0"/>
              <w:jc w:val="left"/>
              <w:rPr/>
            </w:pPr>
            <w:hyperlink w:anchor="oric-ex31_1.htm">
              <w:r>
                <w:rPr>
                  <w:rStyle w:val="InternetLink"/>
                  <w:rFonts w:ascii="Times New Roman;serif" w:hAnsi="Times New Roman;serif"/>
                  <w:b w:val="false"/>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4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Filed herewith</w:t>
            </w:r>
          </w:p>
        </w:tc>
      </w:tr>
      <w:tr>
        <w:trPr/>
        <w:tc>
          <w:tcPr>
            <w:tcW w:w="7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975" w:type="dxa"/>
            <w:tcBorders/>
            <w:shd w:fill="auto" w:val="clear"/>
            <w:vAlign w:val="center"/>
          </w:tcPr>
          <w:p>
            <w:pPr>
              <w:pStyle w:val="TableContents"/>
              <w:spacing w:before="0" w:after="0"/>
              <w:ind w:left="0" w:right="0" w:hanging="0"/>
              <w:jc w:val="left"/>
              <w:rPr/>
            </w:pPr>
            <w:hyperlink w:anchor="oric-ex31_2.htm">
              <w:r>
                <w:rPr>
                  <w:rStyle w:val="InternetLink"/>
                  <w:rFonts w:ascii="Times New Roman;serif" w:hAnsi="Times New Roman;serif"/>
                  <w:b w:val="false"/>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4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Filed herewith</w:t>
            </w:r>
          </w:p>
        </w:tc>
      </w:tr>
      <w:tr>
        <w:trPr/>
        <w:tc>
          <w:tcPr>
            <w:tcW w:w="7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975" w:type="dxa"/>
            <w:tcBorders/>
            <w:shd w:fill="auto" w:val="clear"/>
            <w:vAlign w:val="center"/>
          </w:tcPr>
          <w:p>
            <w:pPr>
              <w:pStyle w:val="TableContents"/>
              <w:spacing w:before="0" w:after="0"/>
              <w:ind w:left="0" w:right="0" w:hanging="0"/>
              <w:jc w:val="left"/>
              <w:rPr/>
            </w:pPr>
            <w:hyperlink w:anchor="oric-ex32_1.htm">
              <w:r>
                <w:rPr>
                  <w:rStyle w:val="InternetLink"/>
                  <w:rFonts w:ascii="Times New Roman;serif" w:hAnsi="Times New Roman;serif"/>
                  <w:b w:val="false"/>
                  <w:sz w:val="20"/>
                  <w:u w:val="single"/>
                </w:rPr>
                <w:t>Certification of Principal Executive Officer Pursuant to 18 U.S.C. Section 1350, as Adopted Pursuant to Section 906 of the Sarbanes-Oxley Act of 2002.</w:t>
              </w:r>
            </w:hyperlink>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4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Furnished herewith</w:t>
            </w:r>
          </w:p>
        </w:tc>
      </w:tr>
      <w:tr>
        <w:trPr/>
        <w:tc>
          <w:tcPr>
            <w:tcW w:w="7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975" w:type="dxa"/>
            <w:tcBorders/>
            <w:shd w:fill="auto" w:val="clear"/>
            <w:vAlign w:val="center"/>
          </w:tcPr>
          <w:p>
            <w:pPr>
              <w:pStyle w:val="TableContents"/>
              <w:spacing w:before="0" w:after="0"/>
              <w:ind w:left="0" w:right="0" w:hanging="0"/>
              <w:jc w:val="left"/>
              <w:rPr/>
            </w:pPr>
            <w:hyperlink w:anchor="oric-ex32_2.htm">
              <w:r>
                <w:rPr>
                  <w:rStyle w:val="InternetLink"/>
                  <w:rFonts w:ascii="Times New Roman;serif" w:hAnsi="Times New Roman;serif"/>
                  <w:b w:val="false"/>
                  <w:sz w:val="20"/>
                  <w:u w:val="single"/>
                </w:rPr>
                <w:t>Certification of Principal Financial Officer Pursuant to 18 U.S.C. Section 1350, as Adopted Pursuant to Section 906 of the Sarbanes-Oxley Act of 2002.</w:t>
              </w:r>
            </w:hyperlink>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4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Furnished herewith</w:t>
            </w:r>
          </w:p>
        </w:tc>
      </w:tr>
      <w:tr>
        <w:trPr/>
        <w:tc>
          <w:tcPr>
            <w:tcW w:w="7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9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4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Furnished herewith</w:t>
            </w:r>
          </w:p>
        </w:tc>
      </w:tr>
      <w:tr>
        <w:trPr/>
        <w:tc>
          <w:tcPr>
            <w:tcW w:w="7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shd w:fill="auto" w:val="clear"/>
            <w:vAlign w:val="center"/>
          </w:tcPr>
          <w:p>
            <w:pPr>
              <w:pStyle w:val="TableContents"/>
              <w:spacing w:before="0" w:after="0"/>
              <w:ind w:left="0" w:right="0" w:hanging="0"/>
              <w:jc w:val="right"/>
              <w:rPr/>
            </w:pPr>
            <w:r>
              <w:rPr/>
              <w:t> </w:t>
            </w:r>
          </w:p>
        </w:tc>
        <w:tc>
          <w:tcPr>
            <w:tcW w:w="59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4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Furnished herewith</w:t>
            </w:r>
          </w:p>
        </w:tc>
      </w:tr>
      <w:tr>
        <w:trPr/>
        <w:tc>
          <w:tcPr>
            <w:tcW w:w="7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shd w:fill="auto" w:val="clear"/>
            <w:vAlign w:val="center"/>
          </w:tcPr>
          <w:p>
            <w:pPr>
              <w:pStyle w:val="TableContents"/>
              <w:spacing w:before="0" w:after="0"/>
              <w:ind w:left="0" w:right="0" w:hanging="0"/>
              <w:jc w:val="right"/>
              <w:rPr/>
            </w:pPr>
            <w:r>
              <w:rPr/>
              <w:t> </w:t>
            </w:r>
          </w:p>
        </w:tc>
        <w:tc>
          <w:tcPr>
            <w:tcW w:w="59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4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Furnished herewith</w:t>
            </w:r>
          </w:p>
        </w:tc>
      </w:tr>
      <w:tr>
        <w:trPr/>
        <w:tc>
          <w:tcPr>
            <w:tcW w:w="7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shd w:fill="auto" w:val="clear"/>
            <w:vAlign w:val="center"/>
          </w:tcPr>
          <w:p>
            <w:pPr>
              <w:pStyle w:val="TableContents"/>
              <w:spacing w:before="0" w:after="0"/>
              <w:ind w:left="0" w:right="0" w:hanging="0"/>
              <w:jc w:val="right"/>
              <w:rPr/>
            </w:pPr>
            <w:r>
              <w:rPr/>
              <w:t> </w:t>
            </w:r>
          </w:p>
        </w:tc>
        <w:tc>
          <w:tcPr>
            <w:tcW w:w="59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4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Furnished herewith</w:t>
            </w:r>
          </w:p>
        </w:tc>
      </w:tr>
      <w:tr>
        <w:trPr/>
        <w:tc>
          <w:tcPr>
            <w:tcW w:w="7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shd w:fill="auto" w:val="clear"/>
            <w:vAlign w:val="center"/>
          </w:tcPr>
          <w:p>
            <w:pPr>
              <w:pStyle w:val="TableContents"/>
              <w:spacing w:before="0" w:after="0"/>
              <w:ind w:left="0" w:right="0" w:hanging="0"/>
              <w:jc w:val="right"/>
              <w:rPr/>
            </w:pPr>
            <w:r>
              <w:rPr/>
              <w:t> </w:t>
            </w:r>
          </w:p>
        </w:tc>
        <w:tc>
          <w:tcPr>
            <w:tcW w:w="59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4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Furnished herewith</w:t>
            </w:r>
          </w:p>
        </w:tc>
      </w:tr>
      <w:tr>
        <w:trPr/>
        <w:tc>
          <w:tcPr>
            <w:tcW w:w="7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shd w:fill="auto" w:val="clear"/>
            <w:vAlign w:val="center"/>
          </w:tcPr>
          <w:p>
            <w:pPr>
              <w:pStyle w:val="TableContents"/>
              <w:spacing w:before="0" w:after="0"/>
              <w:ind w:left="0" w:right="0" w:hanging="0"/>
              <w:jc w:val="right"/>
              <w:rPr/>
            </w:pPr>
            <w:r>
              <w:rPr/>
              <w:t> </w:t>
            </w:r>
          </w:p>
        </w:tc>
        <w:tc>
          <w:tcPr>
            <w:tcW w:w="59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4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Furnished herewith</w:t>
            </w:r>
          </w:p>
        </w:tc>
      </w:tr>
      <w:tr>
        <w:trPr/>
        <w:tc>
          <w:tcPr>
            <w:tcW w:w="7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vAlign w:val="center"/>
          </w:tcPr>
          <w:p>
            <w:pPr>
              <w:pStyle w:val="TableContents"/>
              <w:spacing w:before="0" w:after="0"/>
              <w:ind w:left="0" w:right="0" w:hanging="0"/>
              <w:jc w:val="right"/>
              <w:rPr/>
            </w:pPr>
            <w:r>
              <w:rPr/>
              <w:t> </w:t>
            </w:r>
          </w:p>
        </w:tc>
        <w:tc>
          <w:tcPr>
            <w:tcW w:w="59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4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Furnished herewith</w:t>
            </w:r>
          </w:p>
        </w:tc>
      </w:tr>
    </w:tbl>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226"/>
        <w:gridCol w:w="10313"/>
      </w:tblGrid>
      <w:tr>
        <w:trPr/>
        <w:tc>
          <w:tcPr>
            <w:tcW w:w="226" w:type="dxa"/>
            <w:tcBorders/>
            <w:shd w:fill="auto" w:val="clear"/>
            <w:vAlign w:val="center"/>
          </w:tcPr>
          <w:p>
            <w:pPr>
              <w:pStyle w:val="TableContents"/>
              <w:spacing w:before="0" w:after="283"/>
              <w:rPr>
                <w:sz w:val="4"/>
                <w:szCs w:val="4"/>
              </w:rPr>
            </w:pPr>
            <w:r>
              <w:rPr>
                <w:sz w:val="4"/>
                <w:szCs w:val="4"/>
              </w:rPr>
            </w:r>
          </w:p>
        </w:tc>
        <w:tc>
          <w:tcPr>
            <w:tcW w:w="10313" w:type="dxa"/>
            <w:tcBorders/>
            <w:shd w:fill="auto" w:val="clear"/>
            <w:vAlign w:val="center"/>
          </w:tcPr>
          <w:p>
            <w:pPr>
              <w:pStyle w:val="TableContents"/>
              <w:spacing w:before="0" w:after="283"/>
              <w:rPr>
                <w:sz w:val="4"/>
                <w:szCs w:val="4"/>
              </w:rPr>
            </w:pPr>
            <w:r>
              <w:rPr>
                <w:sz w:val="4"/>
                <w:szCs w:val="4"/>
              </w:rPr>
            </w:r>
          </w:p>
        </w:tc>
      </w:tr>
      <w:tr>
        <w:trPr/>
        <w:tc>
          <w:tcPr>
            <w:tcW w:w="2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031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13" w:type="dxa"/>
            <w:tcBorders/>
            <w:shd w:fill="auto" w:val="clear"/>
            <w:tcMar>
              <w:top w:w="0" w:type="dxa"/>
              <w:left w:w="0" w:type="dxa"/>
              <w:bottom w:w="0" w:type="dxa"/>
              <w:right w:w="0" w:type="dxa"/>
            </w:tcMar>
            <w:vAlign w:val="center"/>
          </w:tcPr>
          <w:p>
            <w:pPr>
              <w:pStyle w:val="TableContents"/>
              <w:spacing w:before="40" w:after="0"/>
              <w:ind w:left="0" w:right="0" w:hanging="0"/>
              <w:jc w:val="left"/>
              <w:rPr>
                <w:rFonts w:ascii="Times New Roman;serif" w:hAnsi="Times New Roman;serif"/>
                <w:b w:val="false"/>
                <w:sz w:val="20"/>
              </w:rPr>
            </w:pPr>
            <w:r>
              <w:rPr>
                <w:rFonts w:ascii="Times New Roman;serif" w:hAnsi="Times New Roman;serif"/>
                <w:b w:val="false"/>
                <w:sz w:val="20"/>
              </w:rPr>
              <w:t>The certifications attached as Exhibits 32.1 and 32.2 that accompany this quarterly report on Form 10-Q are not deemed filed with the Securities and Exchange Commission and are not to be incorporated by reference into any filing of ORIC Pharmaceuticals, Inc. under the Securities Act of 1933, as amended, or the Securities Exchange Act of 1934, as amended, whether made before or after the date of this Form 10-Q, irrespective of any general incorporation language contained in such filing.</w:t>
            </w:r>
          </w:p>
        </w:tc>
      </w:tr>
    </w:tbl>
    <w:p>
      <w:pPr>
        <w:pStyle w:val="TextBody"/>
        <w:spacing w:before="12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72</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23" w:name="signatures"/>
      <w:bookmarkEnd w:id="23"/>
      <w:r>
        <w:rPr>
          <w:rFonts w:ascii="Times New Roman;serif" w:hAnsi="Times New Roman;serif"/>
          <w:b/>
          <w:sz w:val="20"/>
        </w:rPr>
        <w:t>SIGNATURES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spacing w:before="0" w:after="0"/>
        <w:jc w:val="left"/>
        <w:rPr/>
      </w:pPr>
      <w:bookmarkStart w:id="24" w:name="part_iv"/>
      <w:bookmarkStart w:id="25" w:name="part_iii"/>
      <w:bookmarkEnd w:id="24"/>
      <w:bookmarkEnd w:id="25"/>
      <w:r>
        <w:rPr/>
        <w:t> </w:t>
      </w:r>
    </w:p>
    <w:tbl>
      <w:tblPr>
        <w:tblW w:w="4915" w:type="dxa"/>
        <w:jc w:val="left"/>
        <w:tblInd w:w="0" w:type="dxa"/>
        <w:tblCellMar>
          <w:top w:w="28" w:type="dxa"/>
          <w:left w:w="28" w:type="dxa"/>
          <w:bottom w:w="28" w:type="dxa"/>
          <w:right w:w="28" w:type="dxa"/>
        </w:tblCellMar>
      </w:tblPr>
      <w:tblGrid>
        <w:gridCol w:w="579"/>
        <w:gridCol w:w="526"/>
        <w:gridCol w:w="529"/>
        <w:gridCol w:w="109"/>
        <w:gridCol w:w="804"/>
        <w:gridCol w:w="346"/>
        <w:gridCol w:w="468"/>
        <w:gridCol w:w="468"/>
        <w:gridCol w:w="468"/>
        <w:gridCol w:w="618"/>
      </w:tblGrid>
      <w:tr>
        <w:trPr/>
        <w:tc>
          <w:tcPr>
            <w:tcW w:w="579"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172" w:type="dxa"/>
            <w:gridSpan w:val="6"/>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ORIC Pharmaceuticals, Inc.</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0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368" w:type="dxa"/>
            <w:gridSpan w:val="5"/>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8,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0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368" w:type="dxa"/>
            <w:gridSpan w:val="5"/>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Jacob M. Chacko</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0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368" w:type="dxa"/>
            <w:gridSpan w:val="5"/>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Jacob M. Chacko, M.D.</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0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368" w:type="dxa"/>
            <w:gridSpan w:val="5"/>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President and Chief Executive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0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368" w:type="dxa"/>
            <w:gridSpan w:val="5"/>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8,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0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368" w:type="dxa"/>
            <w:gridSpan w:val="5"/>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Dominic Piscitelli</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0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368" w:type="dxa"/>
            <w:gridSpan w:val="5"/>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Dominic Piscitelli</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0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368" w:type="dxa"/>
            <w:gridSpan w:val="5"/>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Chief Financial Officer</w:t>
            </w:r>
          </w:p>
        </w:tc>
      </w:tr>
      <w:tr>
        <w:trPr/>
        <w:tc>
          <w:tcPr>
            <w:tcW w:w="57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2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259" w:type="dxa"/>
            <w:gridSpan w:val="3"/>
            <w:tcBorders/>
            <w:shd w:fill="auto" w:val="clear"/>
            <w:vAlign w:val="center"/>
          </w:tcPr>
          <w:p>
            <w:pPr>
              <w:pStyle w:val="TableContents"/>
              <w:spacing w:before="0" w:after="0"/>
              <w:ind w:left="0" w:right="0" w:hanging="0"/>
              <w:jc w:val="center"/>
              <w:rPr/>
            </w:pPr>
            <w:r>
              <w:rPr/>
              <w:t> </w:t>
            </w:r>
          </w:p>
        </w:tc>
        <w:tc>
          <w:tcPr>
            <w:tcW w:w="468" w:type="dxa"/>
            <w:tcBorders/>
            <w:shd w:fill="auto" w:val="clear"/>
            <w:vAlign w:val="center"/>
          </w:tcPr>
          <w:p>
            <w:pPr>
              <w:pStyle w:val="TableContents"/>
              <w:spacing w:before="0" w:after="0"/>
              <w:ind w:left="0" w:right="0" w:hanging="0"/>
              <w:jc w:val="center"/>
              <w:rPr/>
            </w:pPr>
            <w:r>
              <w:rPr/>
              <w:t> </w:t>
            </w:r>
          </w:p>
        </w:tc>
        <w:tc>
          <w:tcPr>
            <w:tcW w:w="468" w:type="dxa"/>
            <w:tcBorders/>
            <w:shd w:fill="auto" w:val="clear"/>
            <w:vAlign w:val="center"/>
          </w:tcPr>
          <w:p>
            <w:pPr>
              <w:pStyle w:val="TableContents"/>
              <w:spacing w:before="0" w:after="0"/>
              <w:ind w:left="0" w:right="0" w:hanging="0"/>
              <w:jc w:val="center"/>
              <w:rPr/>
            </w:pPr>
            <w:r>
              <w:rPr/>
              <w:t> </w:t>
            </w:r>
          </w:p>
        </w:tc>
        <w:tc>
          <w:tcPr>
            <w:tcW w:w="468" w:type="dxa"/>
            <w:tcBorders/>
            <w:shd w:fill="auto" w:val="clear"/>
            <w:vAlign w:val="center"/>
          </w:tcPr>
          <w:p>
            <w:pPr>
              <w:pStyle w:val="TableContents"/>
              <w:spacing w:before="0" w:after="0"/>
              <w:ind w:left="0" w:right="0" w:hanging="0"/>
              <w:jc w:val="center"/>
              <w:rPr/>
            </w:pPr>
            <w:r>
              <w:rPr/>
              <w:t> </w:t>
            </w:r>
          </w:p>
        </w:tc>
        <w:tc>
          <w:tcPr>
            <w:tcW w:w="618" w:type="dxa"/>
            <w:tcBorders/>
            <w:shd w:fill="auto" w:val="clear"/>
            <w:vAlign w:val="center"/>
          </w:tcPr>
          <w:p>
            <w:pPr>
              <w:pStyle w:val="TableContents"/>
              <w:spacing w:before="0" w:after="0"/>
              <w:ind w:left="0" w:right="0" w:hanging="0"/>
              <w:jc w:val="center"/>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73</w:t>
      </w:r>
    </w:p>
    <w:p>
      <w:pPr>
        <w:pStyle w:val="HorizontalLine"/>
        <w:rPr/>
      </w:pPr>
      <w:r>
        <w:rPr/>
      </w:r>
      <w:r>
        <w:br w:type="page"/>
      </w:r>
    </w:p>
    <w:p>
      <w:pPr>
        <w:pStyle w:val="TextBody"/>
        <w:spacing w:before="0" w:after="0"/>
        <w:jc w:val="left"/>
        <w:rPr/>
      </w:pPr>
      <w:bookmarkStart w:id="26" w:name="oric-ex31_1.htm"/>
      <w:bookmarkStart w:id="27" w:name="ksoricex31_1"/>
      <w:bookmarkEnd w:id="26"/>
      <w:bookmarkEnd w:id="27"/>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31.1</w:t>
      </w:r>
    </w:p>
    <w:p>
      <w:pPr>
        <w:pStyle w:val="TextBody"/>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Jacob M. Chacko, certify that:</w:t>
      </w:r>
    </w:p>
    <w:p>
      <w:pPr>
        <w:pStyle w:val="TextBody"/>
        <w:spacing w:before="240" w:after="0"/>
        <w:jc w:val="left"/>
        <w:rPr>
          <w:rFonts w:ascii="Times New Roman" w:hAnsi="Times New Roman"/>
          <w:b w:val="false"/>
          <w:sz w:val="20"/>
        </w:rPr>
      </w:pPr>
      <w:r>
        <w:rPr>
          <w:rFonts w:ascii="Times New Roman" w:hAnsi="Times New Roman"/>
          <w:b w:val="false"/>
          <w:sz w:val="20"/>
        </w:rPr>
        <w:t>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ORIC Pharmaceuticals, Inc.;</w:t>
      </w:r>
    </w:p>
    <w:p>
      <w:pPr>
        <w:pStyle w:val="TextBody"/>
        <w:spacing w:before="240" w:after="0"/>
        <w:jc w:val="left"/>
        <w:rPr>
          <w:rFonts w:ascii="Times New Roman" w:hAnsi="Times New Roman"/>
          <w:b w:val="false"/>
          <w:sz w:val="20"/>
        </w:rPr>
      </w:pPr>
      <w:r>
        <w:rPr>
          <w:rFonts w:ascii="Times New Roman" w:hAnsi="Times New Roman"/>
          <w:b w:val="false"/>
          <w:sz w:val="20"/>
        </w:rPr>
        <w:t>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240" w:after="0"/>
        <w:jc w:val="left"/>
        <w:rPr>
          <w:rFonts w:ascii="Times New Roman" w:hAnsi="Times New Roman"/>
          <w:b w:val="false"/>
          <w:sz w:val="20"/>
        </w:rPr>
      </w:pPr>
      <w:r>
        <w:rPr>
          <w:rFonts w:ascii="Times New Roman" w:hAnsi="Times New Roman"/>
          <w:b w:val="false"/>
          <w:sz w:val="20"/>
        </w:rPr>
        <w:t>3.</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240" w:after="0"/>
        <w:jc w:val="left"/>
        <w:rPr>
          <w:rFonts w:ascii="Times New Roman" w:hAnsi="Times New Roman"/>
          <w:b w:val="false"/>
          <w:sz w:val="20"/>
        </w:rPr>
      </w:pPr>
      <w:r>
        <w:rPr>
          <w:rFonts w:ascii="Times New Roman" w:hAnsi="Times New Roman"/>
          <w:b w:val="false"/>
          <w:sz w:val="20"/>
        </w:rPr>
        <w:t>4.</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left"/>
        <w:rPr>
          <w:rFonts w:ascii="Times New Roman" w:hAnsi="Times New Roman"/>
          <w:b w:val="false"/>
          <w:sz w:val="20"/>
        </w:rPr>
      </w:pPr>
      <w:r>
        <w:rPr>
          <w:rFonts w:ascii="Times New Roman" w:hAnsi="Times New Roman"/>
          <w:b w:val="false"/>
          <w:sz w:val="20"/>
        </w:rPr>
        <w:t>(c)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20" w:after="0"/>
        <w:jc w:val="left"/>
        <w:rPr>
          <w:rFonts w:ascii="Times New Roman" w:hAnsi="Times New Roman"/>
          <w:b w:val="false"/>
          <w:sz w:val="20"/>
        </w:rPr>
      </w:pPr>
      <w:r>
        <w:rPr>
          <w:rFonts w:ascii="Times New Roman" w:hAnsi="Times New Roman"/>
          <w:b w:val="false"/>
          <w:sz w:val="20"/>
        </w:rPr>
        <w:t>(d)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240" w:after="0"/>
        <w:jc w:val="left"/>
        <w:rPr>
          <w:rFonts w:ascii="Times New Roman" w:hAnsi="Times New Roman"/>
          <w:b w:val="false"/>
          <w:sz w:val="20"/>
        </w:rPr>
      </w:pPr>
      <w:r>
        <w:rPr>
          <w:rFonts w:ascii="Times New Roman" w:hAnsi="Times New Roman"/>
          <w:b w:val="false"/>
          <w:sz w:val="20"/>
        </w:rPr>
        <w:t>5.</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5482" w:type="dxa"/>
        <w:jc w:val="left"/>
        <w:tblInd w:w="0" w:type="dxa"/>
        <w:tblCellMar>
          <w:top w:w="28" w:type="dxa"/>
          <w:left w:w="28" w:type="dxa"/>
          <w:bottom w:w="28" w:type="dxa"/>
          <w:right w:w="28" w:type="dxa"/>
        </w:tblCellMar>
      </w:tblPr>
      <w:tblGrid>
        <w:gridCol w:w="1636"/>
        <w:gridCol w:w="109"/>
        <w:gridCol w:w="406"/>
        <w:gridCol w:w="3331"/>
      </w:tblGrid>
      <w:tr>
        <w:trPr/>
        <w:tc>
          <w:tcPr>
            <w:tcW w:w="1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331"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8,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33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Jacob M. Chacko</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3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Jacob M. Chacko, M.D.</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3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President and Chief Executive Officer</w:t>
            </w:r>
          </w:p>
        </w:tc>
      </w:tr>
    </w:tbl>
    <w:p>
      <w:pPr>
        <w:pStyle w:val="TextBody"/>
        <w:spacing w:before="240" w:after="0"/>
        <w:jc w:val="left"/>
        <w:rPr/>
      </w:pPr>
      <w:r>
        <w:rPr/>
        <w:t> </w:t>
      </w:r>
    </w:p>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8" w:name="oric-ex31_2.htm"/>
      <w:bookmarkStart w:id="29" w:name="ksoricex31_2"/>
      <w:bookmarkEnd w:id="28"/>
      <w:bookmarkEnd w:id="29"/>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31.2</w:t>
      </w:r>
    </w:p>
    <w:p>
      <w:pPr>
        <w:pStyle w:val="TextBody"/>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Dominic Piscitelli, certify that:</w:t>
      </w:r>
    </w:p>
    <w:p>
      <w:pPr>
        <w:pStyle w:val="TextBody"/>
        <w:spacing w:before="240" w:after="0"/>
        <w:jc w:val="left"/>
        <w:rPr>
          <w:rFonts w:ascii="Times New Roman" w:hAnsi="Times New Roman"/>
          <w:b w:val="false"/>
          <w:sz w:val="20"/>
        </w:rPr>
      </w:pPr>
      <w:r>
        <w:rPr>
          <w:rFonts w:ascii="Times New Roman" w:hAnsi="Times New Roman"/>
          <w:b w:val="false"/>
          <w:sz w:val="20"/>
        </w:rPr>
        <w:t>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ORIC Pharmaceuticals, Inc.;</w:t>
      </w:r>
    </w:p>
    <w:p>
      <w:pPr>
        <w:pStyle w:val="TextBody"/>
        <w:spacing w:before="240" w:after="0"/>
        <w:jc w:val="left"/>
        <w:rPr>
          <w:rFonts w:ascii="Times New Roman" w:hAnsi="Times New Roman"/>
          <w:b w:val="false"/>
          <w:sz w:val="20"/>
        </w:rPr>
      </w:pPr>
      <w:r>
        <w:rPr>
          <w:rFonts w:ascii="Times New Roman" w:hAnsi="Times New Roman"/>
          <w:b w:val="false"/>
          <w:sz w:val="20"/>
        </w:rPr>
        <w:t>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240" w:after="0"/>
        <w:jc w:val="left"/>
        <w:rPr>
          <w:rFonts w:ascii="Times New Roman" w:hAnsi="Times New Roman"/>
          <w:b w:val="false"/>
          <w:sz w:val="20"/>
        </w:rPr>
      </w:pPr>
      <w:r>
        <w:rPr>
          <w:rFonts w:ascii="Times New Roman" w:hAnsi="Times New Roman"/>
          <w:b w:val="false"/>
          <w:sz w:val="20"/>
        </w:rPr>
        <w:t>3.</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240" w:after="0"/>
        <w:jc w:val="left"/>
        <w:rPr>
          <w:rFonts w:ascii="Times New Roman" w:hAnsi="Times New Roman"/>
          <w:b w:val="false"/>
          <w:sz w:val="20"/>
        </w:rPr>
      </w:pPr>
      <w:r>
        <w:rPr>
          <w:rFonts w:ascii="Times New Roman" w:hAnsi="Times New Roman"/>
          <w:b w:val="false"/>
          <w:sz w:val="20"/>
        </w:rPr>
        <w:t>4.</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left"/>
        <w:rPr>
          <w:rFonts w:ascii="Times New Roman" w:hAnsi="Times New Roman"/>
          <w:b w:val="false"/>
          <w:sz w:val="20"/>
        </w:rPr>
      </w:pPr>
      <w:r>
        <w:rPr>
          <w:rFonts w:ascii="Times New Roman" w:hAnsi="Times New Roman"/>
          <w:b w:val="false"/>
          <w:sz w:val="20"/>
        </w:rPr>
        <w:t>(c)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20" w:after="0"/>
        <w:jc w:val="left"/>
        <w:rPr>
          <w:rFonts w:ascii="Times New Roman" w:hAnsi="Times New Roman"/>
          <w:b w:val="false"/>
          <w:sz w:val="20"/>
        </w:rPr>
      </w:pPr>
      <w:r>
        <w:rPr>
          <w:rFonts w:ascii="Times New Roman" w:hAnsi="Times New Roman"/>
          <w:b w:val="false"/>
          <w:sz w:val="20"/>
        </w:rPr>
        <w:t>(d)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240" w:after="0"/>
        <w:jc w:val="left"/>
        <w:rPr>
          <w:rFonts w:ascii="Times New Roman" w:hAnsi="Times New Roman"/>
          <w:b w:val="false"/>
          <w:sz w:val="20"/>
        </w:rPr>
      </w:pPr>
      <w:r>
        <w:rPr>
          <w:rFonts w:ascii="Times New Roman" w:hAnsi="Times New Roman"/>
          <w:b w:val="false"/>
          <w:sz w:val="20"/>
        </w:rPr>
        <w:t>5.</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4252" w:type="dxa"/>
        <w:jc w:val="left"/>
        <w:tblInd w:w="0" w:type="dxa"/>
        <w:tblCellMar>
          <w:top w:w="28" w:type="dxa"/>
          <w:left w:w="28" w:type="dxa"/>
          <w:bottom w:w="28" w:type="dxa"/>
          <w:right w:w="28" w:type="dxa"/>
        </w:tblCellMar>
      </w:tblPr>
      <w:tblGrid>
        <w:gridCol w:w="1636"/>
        <w:gridCol w:w="109"/>
        <w:gridCol w:w="406"/>
        <w:gridCol w:w="2101"/>
      </w:tblGrid>
      <w:tr>
        <w:trPr/>
        <w:tc>
          <w:tcPr>
            <w:tcW w:w="1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101"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8,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10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Dominic Piscitelli</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Dominic Piscitelli</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30" w:name="oric-ex32_1.htm"/>
      <w:bookmarkStart w:id="31" w:name="ksoricex32_1"/>
      <w:bookmarkEnd w:id="30"/>
      <w:bookmarkEnd w:id="31"/>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32.1</w:t>
      </w:r>
    </w:p>
    <w:p>
      <w:pPr>
        <w:pStyle w:val="TextBody"/>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of ORIC Pharmaceuticals, Inc. (the “Company”) on Form 10-Q for the period ended March 31, 2023 as filed with the Securities and Exchange Commission on the date hereof (the “Report”), I certify, pursuant to 18 U.S.C. § 1350, as adopted pursuant to § 906 of the Sarbanes-Oxley Act of 2002, that:</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spacing w:before="0" w:after="0"/>
        <w:jc w:val="left"/>
        <w:rPr/>
      </w:pPr>
      <w:r>
        <w:rPr/>
        <w:t> </w:t>
      </w:r>
    </w:p>
    <w:tbl>
      <w:tblPr>
        <w:tblW w:w="5482" w:type="dxa"/>
        <w:jc w:val="left"/>
        <w:tblInd w:w="0" w:type="dxa"/>
        <w:tblCellMar>
          <w:top w:w="28" w:type="dxa"/>
          <w:left w:w="28" w:type="dxa"/>
          <w:bottom w:w="28" w:type="dxa"/>
          <w:right w:w="28" w:type="dxa"/>
        </w:tblCellMar>
      </w:tblPr>
      <w:tblGrid>
        <w:gridCol w:w="1636"/>
        <w:gridCol w:w="109"/>
        <w:gridCol w:w="406"/>
        <w:gridCol w:w="3331"/>
      </w:tblGrid>
      <w:tr>
        <w:trPr/>
        <w:tc>
          <w:tcPr>
            <w:tcW w:w="1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331"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8,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33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Jacob M. Chacko</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3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Jacob M. Chacko, M.D.</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3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President and Chief Executive Officer</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32" w:name="oric-ex32_2.htm"/>
      <w:bookmarkStart w:id="33" w:name="ksoricex32_2"/>
      <w:bookmarkEnd w:id="32"/>
      <w:bookmarkEnd w:id="33"/>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32.2</w:t>
      </w:r>
    </w:p>
    <w:p>
      <w:pPr>
        <w:pStyle w:val="TextBody"/>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of ORIC Pharmaceuticals, Inc. (the “Company”) on Form 10-Q for the period ended March 31, 2023 as filed with the Securities and Exchange Commission on the date hereof (the “Report”), I certify, pursuant to 18 U.S.C. § 1350, as adopted pursuant to § 906 of the Sarbanes-Oxley Act of 2002, that:</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spacing w:before="0" w:after="0"/>
        <w:jc w:val="left"/>
        <w:rPr/>
      </w:pPr>
      <w:r>
        <w:rPr/>
        <w:t> </w:t>
      </w:r>
    </w:p>
    <w:tbl>
      <w:tblPr>
        <w:tblW w:w="4252" w:type="dxa"/>
        <w:jc w:val="left"/>
        <w:tblInd w:w="0" w:type="dxa"/>
        <w:tblCellMar>
          <w:top w:w="28" w:type="dxa"/>
          <w:left w:w="28" w:type="dxa"/>
          <w:bottom w:w="28" w:type="dxa"/>
          <w:right w:w="28" w:type="dxa"/>
        </w:tblCellMar>
      </w:tblPr>
      <w:tblGrid>
        <w:gridCol w:w="1636"/>
        <w:gridCol w:w="109"/>
        <w:gridCol w:w="406"/>
        <w:gridCol w:w="2101"/>
      </w:tblGrid>
      <w:tr>
        <w:trPr/>
        <w:tc>
          <w:tcPr>
            <w:tcW w:w="1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101"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8,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10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Dominic Piscitelli</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Dominic Piscitelli</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HorizontalLine"/>
        <w:pBdr>
          <w:bottom w:val="double" w:sz="2" w:space="0" w:color="808080"/>
        </w:pBdr>
        <w:spacing w:before="0" w:after="283"/>
        <w:rPr/>
      </w:pPr>
      <w:r>
        <w:rPr/>
      </w:r>
    </w:p>
    <w:sectPr>
      <w:type w:val="nextPage"/>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Arial">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6280/000119312523079104/d487262dex3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58049</Words>
  <CharactersWithSpaces>384200</CharactersWithSpaces>
  <Paragraphs>4298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