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880" w:right="1620" w:hanging="3859"/>
        <w:spacing w:after="0" w:line="438"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284" w:lineRule="exact"/>
        <w:rPr>
          <w:sz w:val="24"/>
          <w:szCs w:val="24"/>
          <w:color w:val="auto"/>
        </w:rPr>
      </w:pPr>
    </w:p>
    <w:p>
      <w:pPr>
        <w:ind w:left="3500" w:right="1600" w:hanging="3479"/>
        <w:spacing w:after="0" w:line="399" w:lineRule="auto"/>
        <w:tabs>
          <w:tab w:leader="none" w:pos="47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w:t>
      </w: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001-39269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ORIC PHARMACEUTICALS,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8" w:lineRule="exact"/>
        <w:rPr>
          <w:sz w:val="24"/>
          <w:szCs w:val="24"/>
          <w:color w:val="auto"/>
        </w:rPr>
      </w:pPr>
    </w:p>
    <w:tbl>
      <w:tblPr>
        <w:tblLayout w:type="fixed"/>
        <w:tblInd w:w="1200" w:type="dxa"/>
        <w:tblCellMar>
          <w:top w:w="0" w:type="dxa"/>
          <w:left w:w="0" w:type="dxa"/>
          <w:bottom w:w="0" w:type="dxa"/>
          <w:right w:w="0" w:type="dxa"/>
        </w:tblCellMar>
      </w:tblPr>
      <w:tr>
        <w:trPr>
          <w:trHeight w:val="186"/>
        </w:trPr>
        <w:tc>
          <w:tcPr>
            <w:tcW w:w="4760" w:type="dxa"/>
            <w:vAlign w:val="bottom"/>
          </w:tcPr>
          <w:p>
            <w:pPr>
              <w:jc w:val="center"/>
              <w:ind w:right="1472"/>
              <w:spacing w:after="0"/>
              <w:rPr>
                <w:sz w:val="20"/>
                <w:szCs w:val="20"/>
                <w:color w:val="auto"/>
              </w:rPr>
            </w:pPr>
            <w:r>
              <w:rPr>
                <w:rFonts w:ascii="Arial" w:cs="Arial" w:eastAsia="Arial" w:hAnsi="Arial"/>
                <w:sz w:val="14"/>
                <w:szCs w:val="14"/>
                <w:b w:val="1"/>
                <w:bCs w:val="1"/>
                <w:color w:val="auto"/>
                <w:w w:val="94"/>
              </w:rPr>
              <w:t>Delaware</w:t>
            </w:r>
          </w:p>
        </w:tc>
        <w:tc>
          <w:tcPr>
            <w:tcW w:w="3440" w:type="dxa"/>
            <w:vAlign w:val="bottom"/>
          </w:tcPr>
          <w:p>
            <w:pPr>
              <w:jc w:val="right"/>
              <w:ind w:right="553"/>
              <w:spacing w:after="0"/>
              <w:rPr>
                <w:sz w:val="20"/>
                <w:szCs w:val="20"/>
                <w:color w:val="auto"/>
              </w:rPr>
            </w:pPr>
            <w:r>
              <w:rPr>
                <w:rFonts w:ascii="Arial" w:cs="Arial" w:eastAsia="Arial" w:hAnsi="Arial"/>
                <w:sz w:val="14"/>
                <w:szCs w:val="14"/>
                <w:b w:val="1"/>
                <w:bCs w:val="1"/>
                <w:color w:val="auto"/>
              </w:rPr>
              <w:t>47-1787157</w:t>
            </w:r>
          </w:p>
        </w:tc>
      </w:tr>
      <w:tr>
        <w:trPr>
          <w:trHeight w:val="185"/>
        </w:trPr>
        <w:tc>
          <w:tcPr>
            <w:tcW w:w="4760" w:type="dxa"/>
            <w:vAlign w:val="bottom"/>
          </w:tcPr>
          <w:p>
            <w:pPr>
              <w:jc w:val="center"/>
              <w:ind w:right="1452"/>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3440" w:type="dxa"/>
            <w:vAlign w:val="bottom"/>
          </w:tcPr>
          <w:p>
            <w:pPr>
              <w:jc w:val="center"/>
              <w:ind w:left="1433"/>
              <w:spacing w:after="0"/>
              <w:rPr>
                <w:sz w:val="20"/>
                <w:szCs w:val="20"/>
                <w:color w:val="auto"/>
              </w:rPr>
            </w:pPr>
            <w:r>
              <w:rPr>
                <w:rFonts w:ascii="Arial" w:cs="Arial" w:eastAsia="Arial" w:hAnsi="Arial"/>
                <w:sz w:val="13"/>
                <w:szCs w:val="13"/>
                <w:b w:val="1"/>
                <w:bCs w:val="1"/>
                <w:color w:val="auto"/>
                <w:w w:val="91"/>
              </w:rPr>
              <w:t>(I.R.S. Employer Identification No.)</w:t>
            </w:r>
          </w:p>
        </w:tc>
      </w:tr>
      <w:tr>
        <w:trPr>
          <w:trHeight w:val="250"/>
        </w:trPr>
        <w:tc>
          <w:tcPr>
            <w:tcW w:w="4760" w:type="dxa"/>
            <w:vAlign w:val="bottom"/>
          </w:tcPr>
          <w:p>
            <w:pPr>
              <w:jc w:val="center"/>
              <w:ind w:right="1472"/>
              <w:spacing w:after="0"/>
              <w:rPr>
                <w:sz w:val="20"/>
                <w:szCs w:val="20"/>
                <w:color w:val="auto"/>
              </w:rPr>
            </w:pPr>
            <w:r>
              <w:rPr>
                <w:rFonts w:ascii="Arial" w:cs="Arial" w:eastAsia="Arial" w:hAnsi="Arial"/>
                <w:sz w:val="14"/>
                <w:szCs w:val="14"/>
                <w:b w:val="1"/>
                <w:bCs w:val="1"/>
                <w:color w:val="auto"/>
                <w:w w:val="93"/>
              </w:rPr>
              <w:t>240 E. Grand Ave, 2</w:t>
            </w:r>
            <w:r>
              <w:rPr>
                <w:rFonts w:ascii="Arial" w:cs="Arial" w:eastAsia="Arial" w:hAnsi="Arial"/>
                <w:sz w:val="16"/>
                <w:szCs w:val="16"/>
                <w:b w:val="1"/>
                <w:bCs w:val="1"/>
                <w:color w:val="auto"/>
                <w:w w:val="93"/>
                <w:vertAlign w:val="superscript"/>
              </w:rPr>
              <w:t>nd</w:t>
            </w:r>
            <w:r>
              <w:rPr>
                <w:rFonts w:ascii="Arial" w:cs="Arial" w:eastAsia="Arial" w:hAnsi="Arial"/>
                <w:sz w:val="14"/>
                <w:szCs w:val="14"/>
                <w:b w:val="1"/>
                <w:bCs w:val="1"/>
                <w:color w:val="auto"/>
                <w:w w:val="93"/>
              </w:rPr>
              <w:t xml:space="preserve"> Floor</w:t>
            </w:r>
          </w:p>
        </w:tc>
        <w:tc>
          <w:tcPr>
            <w:tcW w:w="3440" w:type="dxa"/>
            <w:vAlign w:val="bottom"/>
          </w:tcPr>
          <w:p>
            <w:pPr>
              <w:spacing w:after="0"/>
              <w:rPr>
                <w:sz w:val="21"/>
                <w:szCs w:val="21"/>
                <w:color w:val="auto"/>
              </w:rPr>
            </w:pPr>
          </w:p>
        </w:tc>
      </w:tr>
      <w:tr>
        <w:trPr>
          <w:trHeight w:val="186"/>
        </w:trPr>
        <w:tc>
          <w:tcPr>
            <w:tcW w:w="4760" w:type="dxa"/>
            <w:vAlign w:val="bottom"/>
          </w:tcPr>
          <w:p>
            <w:pPr>
              <w:jc w:val="center"/>
              <w:ind w:right="1472"/>
              <w:spacing w:after="0"/>
              <w:rPr>
                <w:sz w:val="20"/>
                <w:szCs w:val="20"/>
                <w:color w:val="auto"/>
              </w:rPr>
            </w:pPr>
            <w:r>
              <w:rPr>
                <w:rFonts w:ascii="Arial" w:cs="Arial" w:eastAsia="Arial" w:hAnsi="Arial"/>
                <w:sz w:val="14"/>
                <w:szCs w:val="14"/>
                <w:b w:val="1"/>
                <w:bCs w:val="1"/>
                <w:color w:val="auto"/>
                <w:w w:val="92"/>
              </w:rPr>
              <w:t>South San Francisco, CA</w:t>
            </w:r>
          </w:p>
        </w:tc>
        <w:tc>
          <w:tcPr>
            <w:tcW w:w="3440" w:type="dxa"/>
            <w:vAlign w:val="bottom"/>
          </w:tcPr>
          <w:p>
            <w:pPr>
              <w:jc w:val="right"/>
              <w:ind w:right="713"/>
              <w:spacing w:after="0"/>
              <w:rPr>
                <w:sz w:val="20"/>
                <w:szCs w:val="20"/>
                <w:color w:val="auto"/>
              </w:rPr>
            </w:pPr>
            <w:r>
              <w:rPr>
                <w:rFonts w:ascii="Arial" w:cs="Arial" w:eastAsia="Arial" w:hAnsi="Arial"/>
                <w:sz w:val="14"/>
                <w:szCs w:val="14"/>
                <w:b w:val="1"/>
                <w:bCs w:val="1"/>
                <w:color w:val="auto"/>
              </w:rPr>
              <w:t>94080</w:t>
            </w:r>
          </w:p>
        </w:tc>
      </w:tr>
      <w:tr>
        <w:trPr>
          <w:trHeight w:val="185"/>
        </w:trPr>
        <w:tc>
          <w:tcPr>
            <w:tcW w:w="4760" w:type="dxa"/>
            <w:vAlign w:val="bottom"/>
          </w:tcPr>
          <w:p>
            <w:pPr>
              <w:jc w:val="center"/>
              <w:ind w:right="1452"/>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440" w:type="dxa"/>
            <w:vAlign w:val="bottom"/>
          </w:tcPr>
          <w:p>
            <w:pPr>
              <w:jc w:val="center"/>
              <w:ind w:left="1433"/>
              <w:spacing w:after="0"/>
              <w:rPr>
                <w:sz w:val="20"/>
                <w:szCs w:val="20"/>
                <w:color w:val="auto"/>
              </w:rPr>
            </w:pPr>
            <w:r>
              <w:rPr>
                <w:rFonts w:ascii="Arial" w:cs="Arial" w:eastAsia="Arial" w:hAnsi="Arial"/>
                <w:sz w:val="13"/>
                <w:szCs w:val="13"/>
                <w:b w:val="1"/>
                <w:bCs w:val="1"/>
                <w:color w:val="auto"/>
                <w:w w:val="90"/>
              </w:rPr>
              <w:t>(Zip Code)</w:t>
            </w:r>
          </w:p>
        </w:tc>
      </w:tr>
    </w:tbl>
    <w:p>
      <w:pPr>
        <w:spacing w:after="0" w:line="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388-5600</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0"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86"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5"/>
                <w:szCs w:val="15"/>
                <w:color w:val="auto"/>
              </w:rPr>
            </w:pPr>
          </w:p>
        </w:tc>
        <w:tc>
          <w:tcPr>
            <w:tcW w:w="4360" w:type="dxa"/>
            <w:vAlign w:val="bottom"/>
          </w:tcPr>
          <w:p>
            <w:pPr>
              <w:spacing w:after="0"/>
              <w:rPr>
                <w:sz w:val="15"/>
                <w:szCs w:val="15"/>
                <w:color w:val="auto"/>
              </w:rPr>
            </w:pPr>
          </w:p>
        </w:tc>
      </w:tr>
      <w:tr>
        <w:trPr>
          <w:trHeight w:val="192"/>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20" w:type="dxa"/>
            <w:vAlign w:val="bottom"/>
          </w:tcPr>
          <w:p>
            <w:pPr>
              <w:spacing w:after="0"/>
              <w:rPr>
                <w:sz w:val="16"/>
                <w:szCs w:val="16"/>
                <w:color w:val="auto"/>
              </w:rPr>
            </w:pPr>
          </w:p>
        </w:tc>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7"/>
        </w:trPr>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Common Stock, $0.0001 par value per share</w:t>
            </w:r>
          </w:p>
        </w:tc>
        <w:tc>
          <w:tcPr>
            <w:tcW w:w="14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ORIC</w:t>
            </w:r>
          </w:p>
        </w:tc>
        <w:tc>
          <w:tcPr>
            <w:tcW w:w="120" w:type="dxa"/>
            <w:vAlign w:val="bottom"/>
          </w:tcPr>
          <w:p>
            <w:pPr>
              <w:spacing w:after="0"/>
              <w:rPr>
                <w:sz w:val="18"/>
                <w:szCs w:val="18"/>
                <w:color w:val="auto"/>
              </w:rPr>
            </w:pPr>
          </w:p>
        </w:tc>
        <w:tc>
          <w:tcPr>
            <w:tcW w:w="4360" w:type="dxa"/>
            <w:vAlign w:val="bottom"/>
          </w:tcPr>
          <w:p>
            <w:pPr>
              <w:jc w:val="center"/>
              <w:spacing w:after="0"/>
              <w:rPr>
                <w:sz w:val="20"/>
                <w:szCs w:val="20"/>
                <w:color w:val="auto"/>
              </w:rPr>
            </w:pPr>
            <w:r>
              <w:rPr>
                <w:rFonts w:ascii="Arial" w:cs="Arial" w:eastAsia="Arial" w:hAnsi="Arial"/>
                <w:sz w:val="14"/>
                <w:szCs w:val="14"/>
                <w:b w:val="1"/>
                <w:bCs w:val="1"/>
                <w:color w:val="auto"/>
                <w:w w:val="96"/>
              </w:rPr>
              <w:t>The NASDAQ Global Select Market</w:t>
            </w:r>
          </w:p>
        </w:tc>
      </w:tr>
    </w:tbl>
    <w:p>
      <w:pPr>
        <w:spacing w:after="0" w:line="110" w:lineRule="exact"/>
        <w:rPr>
          <w:sz w:val="24"/>
          <w:szCs w:val="24"/>
          <w:color w:val="auto"/>
        </w:rPr>
      </w:pPr>
    </w:p>
    <w:p>
      <w:pPr>
        <w:jc w:val="both"/>
        <w:ind w:firstLine="599"/>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8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181"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right="2020"/>
        <w:spacing w:after="0" w:line="26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5, 2021, the registrant had 39,317,686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428625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80" w:type="dxa"/>
            <w:vAlign w:val="bottom"/>
            <w:gridSpan w:val="5"/>
          </w:tcPr>
          <w:p>
            <w:pPr>
              <w:ind w:left="10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9260" w:type="dxa"/>
            <w:vAlign w:val="bottom"/>
            <w:gridSpan w:val="18"/>
          </w:tcPr>
          <w:p>
            <w:pPr>
              <w:spacing w:after="0" w:line="182" w:lineRule="exact"/>
              <w:rPr>
                <w:rFonts w:ascii="Arial" w:cs="Arial" w:eastAsia="Arial" w:hAnsi="Arial"/>
                <w:sz w:val="18"/>
                <w:szCs w:val="18"/>
                <w:color w:val="0563C1"/>
              </w:rPr>
            </w:pPr>
            <w:hyperlink w:anchor="page5">
              <w:r>
                <w:rPr>
                  <w:rFonts w:ascii="Arial" w:cs="Arial" w:eastAsia="Arial" w:hAnsi="Arial"/>
                  <w:sz w:val="18"/>
                  <w:szCs w:val="18"/>
                  <w:color w:val="0563C1"/>
                </w:rPr>
                <w:t>FINANCIAL INFORMATION</w:t>
              </w:r>
            </w:hyperlink>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563C1"/>
            </w:tcBorders>
            <w:gridSpan w:val="11"/>
          </w:tcPr>
          <w:p>
            <w:pPr>
              <w:spacing w:after="0"/>
              <w:rPr>
                <w:rFonts w:ascii="Arial" w:cs="Arial" w:eastAsia="Arial" w:hAnsi="Arial"/>
                <w:sz w:val="18"/>
                <w:szCs w:val="18"/>
                <w:color w:val="0563C1"/>
                <w:w w:val="89"/>
              </w:rPr>
            </w:pPr>
            <w:hyperlink w:anchor="page5">
              <w:r>
                <w:rPr>
                  <w:rFonts w:ascii="Arial" w:cs="Arial" w:eastAsia="Arial" w:hAnsi="Arial"/>
                  <w:sz w:val="18"/>
                  <w:szCs w:val="18"/>
                  <w:color w:val="0563C1"/>
                  <w:w w:val="89"/>
                </w:rPr>
                <w:t>Financial Statements (Unaudited)</w:t>
              </w:r>
            </w:hyperlink>
          </w:p>
        </w:tc>
        <w:tc>
          <w:tcPr>
            <w:tcW w:w="6840" w:type="dxa"/>
            <w:vAlign w:val="bottom"/>
            <w:gridSpan w:val="7"/>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60" w:type="dxa"/>
            <w:vAlign w:val="bottom"/>
            <w:gridSpan w:val="18"/>
          </w:tcPr>
          <w:p>
            <w:pPr>
              <w:spacing w:after="0"/>
              <w:rPr>
                <w:rFonts w:ascii="Arial" w:cs="Arial" w:eastAsia="Arial" w:hAnsi="Arial"/>
                <w:sz w:val="18"/>
                <w:szCs w:val="18"/>
                <w:color w:val="0563C1"/>
              </w:rPr>
            </w:pPr>
            <w:hyperlink w:anchor="page5">
              <w:r>
                <w:rPr>
                  <w:rFonts w:ascii="Arial" w:cs="Arial" w:eastAsia="Arial" w:hAnsi="Arial"/>
                  <w:sz w:val="18"/>
                  <w:szCs w:val="18"/>
                  <w:color w:val="0563C1"/>
                </w:rPr>
                <w:t>Balance Sheets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80" w:type="dxa"/>
            <w:vAlign w:val="bottom"/>
            <w:tcBorders>
              <w:bottom w:val="single" w:sz="8" w:color="0563C1"/>
            </w:tcBorders>
            <w:gridSpan w:val="13"/>
          </w:tcPr>
          <w:p>
            <w:pPr>
              <w:spacing w:after="0"/>
              <w:rPr>
                <w:rFonts w:ascii="Arial" w:cs="Arial" w:eastAsia="Arial" w:hAnsi="Arial"/>
                <w:sz w:val="18"/>
                <w:szCs w:val="18"/>
                <w:color w:val="0563C1"/>
                <w:w w:val="88"/>
              </w:rPr>
            </w:pPr>
            <w:hyperlink w:anchor="page6">
              <w:r>
                <w:rPr>
                  <w:rFonts w:ascii="Arial" w:cs="Arial" w:eastAsia="Arial" w:hAnsi="Arial"/>
                  <w:sz w:val="18"/>
                  <w:szCs w:val="18"/>
                  <w:color w:val="0563C1"/>
                  <w:w w:val="88"/>
                </w:rPr>
                <w:t>Statements of Operations and Comprehensive Loss</w:t>
              </w:r>
            </w:hyperlink>
          </w:p>
        </w:tc>
        <w:tc>
          <w:tcPr>
            <w:tcW w:w="5580" w:type="dxa"/>
            <w:vAlign w:val="bottom"/>
            <w:gridSpan w:val="5"/>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60" w:type="dxa"/>
            <w:vAlign w:val="bottom"/>
            <w:gridSpan w:val="18"/>
          </w:tcPr>
          <w:p>
            <w:pPr>
              <w:spacing w:after="0"/>
              <w:rPr>
                <w:rFonts w:ascii="Arial" w:cs="Arial" w:eastAsia="Arial" w:hAnsi="Arial"/>
                <w:sz w:val="18"/>
                <w:szCs w:val="18"/>
                <w:color w:val="0563C1"/>
              </w:rPr>
            </w:pPr>
            <w:hyperlink w:anchor="page7">
              <w:r>
                <w:rPr>
                  <w:rFonts w:ascii="Arial" w:cs="Arial" w:eastAsia="Arial" w:hAnsi="Arial"/>
                  <w:sz w:val="18"/>
                  <w:szCs w:val="18"/>
                  <w:color w:val="0563C1"/>
                </w:rPr>
                <w:t>Statements of Convertible Preferred Stock and Stockholders’ Equity (Deficit)</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580" w:type="dxa"/>
            <w:vAlign w:val="bottom"/>
            <w:tcBorders>
              <w:top w:val="single" w:sz="8" w:color="0563C1"/>
            </w:tcBorders>
            <w:gridSpan w:val="16"/>
          </w:tcPr>
          <w:p>
            <w:pPr>
              <w:spacing w:after="0"/>
              <w:rPr>
                <w:rFonts w:ascii="Arial" w:cs="Arial" w:eastAsia="Arial" w:hAnsi="Arial"/>
                <w:sz w:val="18"/>
                <w:szCs w:val="18"/>
                <w:color w:val="0563C1"/>
              </w:rPr>
            </w:pPr>
            <w:hyperlink w:anchor="page8">
              <w:r>
                <w:rPr>
                  <w:rFonts w:ascii="Arial" w:cs="Arial" w:eastAsia="Arial" w:hAnsi="Arial"/>
                  <w:sz w:val="18"/>
                  <w:szCs w:val="18"/>
                  <w:color w:val="0563C1"/>
                </w:rPr>
                <w:t>Statements of Cash Flows</w:t>
              </w:r>
            </w:hyperlink>
          </w:p>
        </w:tc>
        <w:tc>
          <w:tcPr>
            <w:tcW w:w="3680" w:type="dxa"/>
            <w:vAlign w:val="bottom"/>
            <w:gridSpan w:val="2"/>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60" w:type="dxa"/>
            <w:vAlign w:val="bottom"/>
            <w:gridSpan w:val="18"/>
          </w:tcPr>
          <w:p>
            <w:pPr>
              <w:spacing w:after="0"/>
              <w:rPr>
                <w:rFonts w:ascii="Arial" w:cs="Arial" w:eastAsia="Arial" w:hAnsi="Arial"/>
                <w:sz w:val="18"/>
                <w:szCs w:val="18"/>
                <w:color w:val="0563C1"/>
              </w:rPr>
            </w:pPr>
            <w:hyperlink w:anchor="page9">
              <w:r>
                <w:rPr>
                  <w:rFonts w:ascii="Arial" w:cs="Arial" w:eastAsia="Arial" w:hAnsi="Arial"/>
                  <w:sz w:val="18"/>
                  <w:szCs w:val="18"/>
                  <w:color w:val="0563C1"/>
                </w:rPr>
                <w:t>Notes to Unaudited Financial Statements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20" w:type="dxa"/>
            <w:vAlign w:val="bottom"/>
            <w:gridSpan w:val="2"/>
            <w:shd w:val="clear" w:color="auto" w:fill="0563C1"/>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563C1"/>
            </w:tcBorders>
            <w:gridSpan w:val="17"/>
          </w:tcPr>
          <w:p>
            <w:pPr>
              <w:spacing w:after="0"/>
              <w:rPr>
                <w:rFonts w:ascii="Arial" w:cs="Arial" w:eastAsia="Arial" w:hAnsi="Arial"/>
                <w:sz w:val="18"/>
                <w:szCs w:val="18"/>
                <w:color w:val="0563C1"/>
                <w:w w:val="90"/>
              </w:rPr>
            </w:pPr>
            <w:hyperlink w:anchor="page17">
              <w:r>
                <w:rPr>
                  <w:rFonts w:ascii="Arial" w:cs="Arial" w:eastAsia="Arial" w:hAnsi="Arial"/>
                  <w:sz w:val="18"/>
                  <w:szCs w:val="18"/>
                  <w:color w:val="0563C1"/>
                  <w:w w:val="90"/>
                </w:rPr>
                <w:t>Management’s Discussion and Analysis of Financial Condition and Results of Operations</w:t>
              </w:r>
            </w:hyperlink>
          </w:p>
        </w:tc>
        <w:tc>
          <w:tcPr>
            <w:tcW w:w="28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563C1"/>
            </w:tcBorders>
            <w:gridSpan w:val="15"/>
          </w:tcPr>
          <w:p>
            <w:pPr>
              <w:spacing w:after="0"/>
              <w:rPr>
                <w:rFonts w:ascii="Arial" w:cs="Arial" w:eastAsia="Arial" w:hAnsi="Arial"/>
                <w:sz w:val="18"/>
                <w:szCs w:val="18"/>
                <w:color w:val="0563C1"/>
                <w:w w:val="92"/>
              </w:rPr>
            </w:pPr>
            <w:hyperlink w:anchor="page23">
              <w:r>
                <w:rPr>
                  <w:rFonts w:ascii="Arial" w:cs="Arial" w:eastAsia="Arial" w:hAnsi="Arial"/>
                  <w:sz w:val="18"/>
                  <w:szCs w:val="18"/>
                  <w:color w:val="0563C1"/>
                  <w:w w:val="92"/>
                </w:rPr>
                <w:t>Quantitative and Qualitative Disclosures About Market Risk</w:t>
              </w:r>
            </w:hyperlink>
          </w:p>
        </w:tc>
        <w:tc>
          <w:tcPr>
            <w:tcW w:w="4900" w:type="dxa"/>
            <w:vAlign w:val="bottom"/>
            <w:gridSpan w:val="3"/>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60" w:type="dxa"/>
            <w:vAlign w:val="bottom"/>
            <w:gridSpan w:val="18"/>
          </w:tcPr>
          <w:p>
            <w:pPr>
              <w:spacing w:after="0"/>
              <w:rPr>
                <w:rFonts w:ascii="Arial" w:cs="Arial" w:eastAsia="Arial" w:hAnsi="Arial"/>
                <w:sz w:val="18"/>
                <w:szCs w:val="18"/>
                <w:color w:val="0563C1"/>
              </w:rPr>
            </w:pPr>
            <w:hyperlink w:anchor="page23">
              <w:r>
                <w:rPr>
                  <w:rFonts w:ascii="Arial" w:cs="Arial" w:eastAsia="Arial" w:hAnsi="Arial"/>
                  <w:sz w:val="18"/>
                  <w:szCs w:val="18"/>
                  <w:color w:val="0563C1"/>
                </w:rPr>
                <w:t>Controls and Procedures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40" w:type="dxa"/>
            <w:vAlign w:val="bottom"/>
            <w:gridSpan w:val="2"/>
            <w:vMerge w:val="continue"/>
          </w:tcPr>
          <w:p>
            <w:pPr>
              <w:spacing w:after="0"/>
              <w:rPr>
                <w:sz w:val="24"/>
                <w:szCs w:val="24"/>
                <w:color w:val="auto"/>
              </w:rPr>
            </w:pPr>
          </w:p>
        </w:tc>
        <w:tc>
          <w:tcPr>
            <w:tcW w:w="1880" w:type="dxa"/>
            <w:vAlign w:val="bottom"/>
            <w:tcBorders>
              <w:bottom w:val="single" w:sz="8" w:color="0563C1"/>
            </w:tcBorders>
            <w:gridSpan w:val="8"/>
          </w:tcPr>
          <w:p>
            <w:pPr>
              <w:spacing w:after="0"/>
              <w:rPr>
                <w:rFonts w:ascii="Arial" w:cs="Arial" w:eastAsia="Arial" w:hAnsi="Arial"/>
                <w:sz w:val="18"/>
                <w:szCs w:val="18"/>
                <w:color w:val="0563C1"/>
                <w:w w:val="95"/>
              </w:rPr>
            </w:pPr>
            <w:hyperlink w:anchor="page25">
              <w:r>
                <w:rPr>
                  <w:rFonts w:ascii="Arial" w:cs="Arial" w:eastAsia="Arial" w:hAnsi="Arial"/>
                  <w:sz w:val="18"/>
                  <w:szCs w:val="18"/>
                  <w:color w:val="0563C1"/>
                  <w:w w:val="95"/>
                </w:rPr>
                <w:t>OTHER INFORMATION</w:t>
              </w:r>
            </w:hyperlink>
          </w:p>
        </w:tc>
        <w:tc>
          <w:tcPr>
            <w:tcW w:w="7380" w:type="dxa"/>
            <w:vAlign w:val="bottom"/>
            <w:gridSpan w:val="10"/>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18"/>
          </w:tcPr>
          <w:p>
            <w:pPr>
              <w:spacing w:after="0"/>
              <w:rPr>
                <w:rFonts w:ascii="Arial" w:cs="Arial" w:eastAsia="Arial" w:hAnsi="Arial"/>
                <w:sz w:val="18"/>
                <w:szCs w:val="18"/>
                <w:color w:val="0563C1"/>
              </w:rPr>
            </w:pPr>
            <w:hyperlink w:anchor="page25">
              <w:r>
                <w:rPr>
                  <w:rFonts w:ascii="Arial" w:cs="Arial" w:eastAsia="Arial" w:hAnsi="Arial"/>
                  <w:sz w:val="18"/>
                  <w:szCs w:val="18"/>
                  <w:color w:val="0563C1"/>
                </w:rPr>
                <w:t>Legal Proceedings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563C1"/>
            </w:tcBorders>
            <w:gridSpan w:val="5"/>
          </w:tcPr>
          <w:p>
            <w:pPr>
              <w:spacing w:after="0"/>
              <w:rPr>
                <w:rFonts w:ascii="Arial" w:cs="Arial" w:eastAsia="Arial" w:hAnsi="Arial"/>
                <w:sz w:val="18"/>
                <w:szCs w:val="18"/>
                <w:color w:val="0563C1"/>
              </w:rPr>
            </w:pPr>
            <w:hyperlink w:anchor="page25">
              <w:r>
                <w:rPr>
                  <w:rFonts w:ascii="Arial" w:cs="Arial" w:eastAsia="Arial" w:hAnsi="Arial"/>
                  <w:sz w:val="18"/>
                  <w:szCs w:val="18"/>
                  <w:color w:val="0563C1"/>
                </w:rPr>
                <w:t>Risk Factors</w:t>
              </w:r>
            </w:hyperlink>
          </w:p>
        </w:tc>
        <w:tc>
          <w:tcPr>
            <w:tcW w:w="7940" w:type="dxa"/>
            <w:vAlign w:val="bottom"/>
            <w:gridSpan w:val="13"/>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18"/>
          </w:tcPr>
          <w:p>
            <w:pPr>
              <w:spacing w:after="0"/>
              <w:rPr>
                <w:rFonts w:ascii="Arial" w:cs="Arial" w:eastAsia="Arial" w:hAnsi="Arial"/>
                <w:sz w:val="18"/>
                <w:szCs w:val="18"/>
                <w:color w:val="0563C1"/>
              </w:rPr>
            </w:pPr>
            <w:hyperlink w:anchor="page76">
              <w:r>
                <w:rPr>
                  <w:rFonts w:ascii="Arial" w:cs="Arial" w:eastAsia="Arial" w:hAnsi="Arial"/>
                  <w:sz w:val="18"/>
                  <w:szCs w:val="18"/>
                  <w:color w:val="0563C1"/>
                </w:rPr>
                <w:t>Unregistered Sales of Equity Securities and Use of Proceeds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563C1"/>
              <w:bottom w:val="single" w:sz="8" w:color="0563C1"/>
            </w:tcBorders>
            <w:gridSpan w:val="10"/>
          </w:tcPr>
          <w:p>
            <w:pPr>
              <w:spacing w:after="0"/>
              <w:rPr>
                <w:rFonts w:ascii="Arial" w:cs="Arial" w:eastAsia="Arial" w:hAnsi="Arial"/>
                <w:sz w:val="18"/>
                <w:szCs w:val="18"/>
                <w:color w:val="0563C1"/>
                <w:w w:val="90"/>
              </w:rPr>
            </w:pPr>
            <w:hyperlink w:anchor="page76">
              <w:r>
                <w:rPr>
                  <w:rFonts w:ascii="Arial" w:cs="Arial" w:eastAsia="Arial" w:hAnsi="Arial"/>
                  <w:sz w:val="18"/>
                  <w:szCs w:val="18"/>
                  <w:color w:val="0563C1"/>
                  <w:w w:val="90"/>
                </w:rPr>
                <w:t>Defaults Upon Senior Securities</w:t>
              </w:r>
            </w:hyperlink>
          </w:p>
        </w:tc>
        <w:tc>
          <w:tcPr>
            <w:tcW w:w="2020" w:type="dxa"/>
            <w:vAlign w:val="bottom"/>
            <w:tcBorders>
              <w:top w:val="single" w:sz="8" w:color="0563C1"/>
            </w:tcBorders>
            <w:gridSpan w:val="4"/>
          </w:tcPr>
          <w:p>
            <w:pPr>
              <w:spacing w:after="0"/>
              <w:rPr>
                <w:sz w:val="19"/>
                <w:szCs w:val="19"/>
                <w:color w:val="auto"/>
              </w:rPr>
            </w:pPr>
          </w:p>
        </w:tc>
        <w:tc>
          <w:tcPr>
            <w:tcW w:w="4920" w:type="dxa"/>
            <w:vAlign w:val="bottom"/>
            <w:gridSpan w:val="4"/>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60" w:type="dxa"/>
            <w:vAlign w:val="bottom"/>
            <w:gridSpan w:val="18"/>
          </w:tcPr>
          <w:p>
            <w:pPr>
              <w:spacing w:after="0"/>
              <w:rPr>
                <w:rFonts w:ascii="Arial" w:cs="Arial" w:eastAsia="Arial" w:hAnsi="Arial"/>
                <w:sz w:val="18"/>
                <w:szCs w:val="18"/>
                <w:color w:val="0563C1"/>
              </w:rPr>
            </w:pPr>
            <w:hyperlink w:anchor="page76">
              <w:r>
                <w:rPr>
                  <w:rFonts w:ascii="Arial" w:cs="Arial" w:eastAsia="Arial" w:hAnsi="Arial"/>
                  <w:sz w:val="18"/>
                  <w:szCs w:val="18"/>
                  <w:color w:val="0563C1"/>
                </w:rPr>
                <w:t>Mine Safety Disclosures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563C1"/>
            </w:tcBorders>
            <w:gridSpan w:val="6"/>
          </w:tcPr>
          <w:p>
            <w:pPr>
              <w:spacing w:after="0"/>
              <w:rPr>
                <w:rFonts w:ascii="Arial" w:cs="Arial" w:eastAsia="Arial" w:hAnsi="Arial"/>
                <w:sz w:val="18"/>
                <w:szCs w:val="18"/>
                <w:color w:val="0563C1"/>
              </w:rPr>
            </w:pPr>
            <w:hyperlink w:anchor="page76">
              <w:r>
                <w:rPr>
                  <w:rFonts w:ascii="Arial" w:cs="Arial" w:eastAsia="Arial" w:hAnsi="Arial"/>
                  <w:sz w:val="18"/>
                  <w:szCs w:val="18"/>
                  <w:color w:val="0563C1"/>
                </w:rPr>
                <w:t>Other Information</w:t>
              </w:r>
            </w:hyperlink>
          </w:p>
        </w:tc>
        <w:tc>
          <w:tcPr>
            <w:tcW w:w="7500" w:type="dxa"/>
            <w:vAlign w:val="bottom"/>
            <w:gridSpan w:val="12"/>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563C1"/>
            </w:tcBorders>
            <w:gridSpan w:val="4"/>
          </w:tcPr>
          <w:p>
            <w:pPr>
              <w:spacing w:after="0"/>
              <w:rPr>
                <w:rFonts w:ascii="Arial" w:cs="Arial" w:eastAsia="Arial" w:hAnsi="Arial"/>
                <w:sz w:val="18"/>
                <w:szCs w:val="18"/>
                <w:color w:val="0563C1"/>
              </w:rPr>
            </w:pPr>
            <w:hyperlink w:anchor="page77">
              <w:r>
                <w:rPr>
                  <w:rFonts w:ascii="Arial" w:cs="Arial" w:eastAsia="Arial" w:hAnsi="Arial"/>
                  <w:sz w:val="18"/>
                  <w:szCs w:val="18"/>
                  <w:color w:val="0563C1"/>
                </w:rPr>
                <w:t>Exhibits</w:t>
              </w:r>
            </w:hyperlink>
          </w:p>
        </w:tc>
        <w:tc>
          <w:tcPr>
            <w:tcW w:w="7960" w:type="dxa"/>
            <w:vAlign w:val="bottom"/>
            <w:gridSpan w:val="14"/>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rFonts w:ascii="Arial" w:cs="Arial" w:eastAsia="Arial" w:hAnsi="Arial"/>
                <w:sz w:val="18"/>
                <w:szCs w:val="18"/>
                <w:color w:val="0563C1"/>
                <w:w w:val="95"/>
              </w:rPr>
            </w:pPr>
            <w:hyperlink w:anchor="page78">
              <w:r>
                <w:rPr>
                  <w:rFonts w:ascii="Arial" w:cs="Arial" w:eastAsia="Arial" w:hAnsi="Arial"/>
                  <w:sz w:val="18"/>
                  <w:szCs w:val="18"/>
                  <w:color w:val="0563C1"/>
                  <w:w w:val="95"/>
                </w:rPr>
                <w:t>SIGNATURES</w:t>
              </w:r>
            </w:hyperlink>
          </w:p>
        </w:tc>
        <w:tc>
          <w:tcPr>
            <w:tcW w:w="600" w:type="dxa"/>
            <w:vAlign w:val="bottom"/>
            <w:tcBorders>
              <w:top w:val="single" w:sz="8" w:color="0563C1"/>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110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3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3" w:lineRule="exact"/>
        <w:rPr>
          <w:sz w:val="20"/>
          <w:szCs w:val="20"/>
          <w:color w:val="auto"/>
        </w:rPr>
      </w:pPr>
    </w:p>
    <w:p>
      <w:pPr>
        <w:ind w:firstLine="749"/>
        <w:spacing w:after="0" w:line="288" w:lineRule="auto"/>
        <w:rPr>
          <w:sz w:val="20"/>
          <w:szCs w:val="20"/>
          <w:color w:val="auto"/>
        </w:rPr>
      </w:pPr>
      <w:r>
        <w:rPr>
          <w:rFonts w:ascii="Arial" w:cs="Arial" w:eastAsia="Arial" w:hAnsi="Arial"/>
          <w:sz w:val="17"/>
          <w:szCs w:val="17"/>
          <w:color w:val="auto"/>
        </w:rPr>
        <w:t>This quarterly report on Form 10-Q contains forward-looking statements. All statements other than statements of historical facts contained in this quarterly report on Form10-Q,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spacing w:after="0" w:line="7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ability of our clinical trials to demonstrate safety and efficacy of our product candidates, and other positive results;</w:t>
      </w:r>
    </w:p>
    <w:p>
      <w:pPr>
        <w:spacing w:after="0" w:line="131" w:lineRule="exact"/>
        <w:rPr>
          <w:sz w:val="20"/>
          <w:szCs w:val="20"/>
          <w:color w:val="auto"/>
        </w:rPr>
      </w:pPr>
    </w:p>
    <w:p>
      <w:pPr>
        <w:ind w:left="1200" w:right="20"/>
        <w:spacing w:after="0" w:line="329" w:lineRule="auto"/>
        <w:rPr>
          <w:sz w:val="20"/>
          <w:szCs w:val="20"/>
          <w:color w:val="auto"/>
        </w:rPr>
      </w:pPr>
      <w:r>
        <w:rPr>
          <w:rFonts w:ascii="Arial" w:cs="Arial" w:eastAsia="Arial" w:hAnsi="Arial"/>
          <w:sz w:val="16"/>
          <w:szCs w:val="16"/>
          <w:color w:val="auto"/>
        </w:rPr>
        <w:t>the timing, progress and results of preclinical studies and clinical trials for ORIC-101, ORIC-533, ORIC-944, ORIC-114 and other product candidates we may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40" w:lineRule="exact"/>
        <w:rPr>
          <w:sz w:val="20"/>
          <w:szCs w:val="20"/>
          <w:color w:val="auto"/>
        </w:rPr>
      </w:pPr>
    </w:p>
    <w:p>
      <w:pPr>
        <w:ind w:left="1200" w:right="140"/>
        <w:spacing w:after="0" w:line="279" w:lineRule="auto"/>
        <w:rPr>
          <w:sz w:val="20"/>
          <w:szCs w:val="20"/>
          <w:color w:val="auto"/>
        </w:rPr>
      </w:pPr>
      <w:r>
        <w:rPr>
          <w:rFonts w:ascii="Arial" w:cs="Arial" w:eastAsia="Arial" w:hAnsi="Arial"/>
          <w:sz w:val="18"/>
          <w:szCs w:val="18"/>
          <w:color w:val="auto"/>
        </w:rPr>
        <w:t>the timing, scope and likelihood of regulatory filings and approvals, including timing of Investigational New Drug, or IND, or Clinical Trial Application, or CTA, applications and final Food and Drug Administration, or FDA, approval of ORIC-101, ORIC-533, ORIC-944, ORIC-114 and any other future product candidates;</w:t>
      </w:r>
    </w:p>
    <w:p>
      <w:pPr>
        <w:spacing w:after="0" w:line="7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timing, scope or likelihood of foreign regulatory filings and approvals;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our ability to develop and advance our current product candidates and programs into, and successfully complete, clinical studies;</w:t>
      </w:r>
    </w:p>
    <w:p>
      <w:pPr>
        <w:spacing w:after="0" w:line="14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manufacturing, commercialization, and marketing capabilities and strategy;</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our plans relating to commercializing our product candidates, if approved, including the geographic areas of focus and sales strategy;</w:t>
      </w:r>
    </w:p>
    <w:p>
      <w:pPr>
        <w:spacing w:after="0" w:line="14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need to hire additional personnel and our ability to attract and retain such personnel;</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expectations regarding the impact of the COVID-19 pandemic on our business;</w:t>
      </w:r>
    </w:p>
    <w:p>
      <w:pPr>
        <w:spacing w:after="0" w:line="131" w:lineRule="exact"/>
        <w:rPr>
          <w:sz w:val="20"/>
          <w:szCs w:val="20"/>
          <w:color w:val="auto"/>
        </w:rPr>
      </w:pPr>
    </w:p>
    <w:p>
      <w:pPr>
        <w:ind w:left="1200" w:right="560"/>
        <w:spacing w:after="0" w:line="293" w:lineRule="auto"/>
        <w:rPr>
          <w:sz w:val="20"/>
          <w:szCs w:val="20"/>
          <w:color w:val="auto"/>
        </w:rPr>
      </w:pPr>
      <w:r>
        <w:rPr>
          <w:rFonts w:ascii="Arial" w:cs="Arial" w:eastAsia="Arial" w:hAnsi="Arial"/>
          <w:sz w:val="18"/>
          <w:szCs w:val="18"/>
          <w:color w:val="auto"/>
        </w:rPr>
        <w:t>the size of the market opportunity for our product candidates, including our estimates of the number of patients who suffer from the diseases we are targeting;</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expectations regarding the approval and use of our product candidates in combination with other drugs;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competitive position and the success of competing therapies that are or may become available;</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estimates of the number of patients that we will enroll in our clinical trials;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beneficial characteristics, safety, efficacy and therapeutic effects of our product candidates;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ability to obtain and maintain regulatory approval of our product candidates;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plans relating to the further development of our product candidates, including additional indications we may pursue;</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existing regulations and regulatory developments in the United States, Europe and other jurisdictions;</w:t>
      </w:r>
    </w:p>
    <w:p>
      <w:pPr>
        <w:spacing w:after="0" w:line="131" w:lineRule="exact"/>
        <w:rPr>
          <w:sz w:val="20"/>
          <w:szCs w:val="20"/>
          <w:color w:val="auto"/>
        </w:rPr>
      </w:pPr>
    </w:p>
    <w:p>
      <w:pPr>
        <w:ind w:left="1200" w:right="40"/>
        <w:spacing w:after="0" w:line="275" w:lineRule="auto"/>
        <w:rPr>
          <w:sz w:val="20"/>
          <w:szCs w:val="20"/>
          <w:color w:val="auto"/>
        </w:rPr>
      </w:pPr>
      <w:r>
        <w:rPr>
          <w:rFonts w:ascii="Arial" w:cs="Arial" w:eastAsia="Arial" w:hAnsi="Arial"/>
          <w:sz w:val="18"/>
          <w:szCs w:val="18"/>
          <w:color w:val="auto"/>
        </w:rPr>
        <w:t>our intellectual property position, including the scope of protection we are able to establish and maintain for intellectual property rights covering ORIC-101, ORIC-533, ORIC-944, ORIC-114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77" w:lineRule="exact"/>
        <w:rPr>
          <w:sz w:val="20"/>
          <w:szCs w:val="20"/>
          <w:color w:val="auto"/>
        </w:rPr>
      </w:pPr>
    </w:p>
    <w:p>
      <w:pPr>
        <w:ind w:left="1200" w:right="560"/>
        <w:spacing w:after="0" w:line="293" w:lineRule="auto"/>
        <w:rPr>
          <w:sz w:val="20"/>
          <w:szCs w:val="20"/>
          <w:color w:val="auto"/>
        </w:rPr>
      </w:pPr>
      <w:r>
        <w:rPr>
          <w:rFonts w:ascii="Arial" w:cs="Arial" w:eastAsia="Arial" w:hAnsi="Arial"/>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62" w:lineRule="exact"/>
        <w:rPr>
          <w:sz w:val="20"/>
          <w:szCs w:val="20"/>
          <w:color w:val="auto"/>
        </w:rPr>
      </w:pPr>
    </w:p>
    <w:p>
      <w:pPr>
        <w:ind w:left="1200" w:right="640"/>
        <w:spacing w:after="0" w:line="293" w:lineRule="auto"/>
        <w:rPr>
          <w:sz w:val="20"/>
          <w:szCs w:val="20"/>
          <w:color w:val="auto"/>
        </w:rPr>
      </w:pPr>
      <w:r>
        <w:rPr>
          <w:rFonts w:ascii="Arial" w:cs="Arial" w:eastAsia="Arial" w:hAnsi="Arial"/>
          <w:sz w:val="18"/>
          <w:szCs w:val="18"/>
          <w:color w:val="auto"/>
        </w:rPr>
        <w:t>our ability to obtain, and negotiate favorable terms of, any collaboration, licensing or other arrangements that may be necessary or desirable to develop, manufacture or commercialize our product candidates;</w:t>
      </w:r>
    </w:p>
    <w:p>
      <w:pPr>
        <w:spacing w:after="0" w:line="62" w:lineRule="exact"/>
        <w:rPr>
          <w:sz w:val="20"/>
          <w:szCs w:val="20"/>
          <w:color w:val="auto"/>
        </w:rPr>
      </w:pPr>
    </w:p>
    <w:p>
      <w:pPr>
        <w:ind w:left="1200" w:right="740"/>
        <w:spacing w:after="0" w:line="293" w:lineRule="auto"/>
        <w:rPr>
          <w:sz w:val="20"/>
          <w:szCs w:val="20"/>
          <w:color w:val="auto"/>
        </w:rPr>
      </w:pPr>
      <w:r>
        <w:rPr>
          <w:rFonts w:ascii="Arial" w:cs="Arial" w:eastAsia="Arial" w:hAnsi="Arial"/>
          <w:sz w:val="18"/>
          <w:szCs w:val="18"/>
          <w:color w:val="auto"/>
        </w:rPr>
        <w:t>the pricing and reimbursement of ORIC-101, ORIC-533, ORIC-944, ORIC-114 and other product candidates we may develop, if approved;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3" w:name="page4"/>
    <w:bookmarkEnd w:id="3"/>
    <w:p>
      <w:pPr>
        <w:ind w:left="1200" w:right="100"/>
        <w:spacing w:after="0" w:line="293" w:lineRule="auto"/>
        <w:rPr>
          <w:sz w:val="20"/>
          <w:szCs w:val="20"/>
          <w:color w:val="auto"/>
        </w:rPr>
      </w:pPr>
      <w:r>
        <w:rPr>
          <w:rFonts w:ascii="Arial" w:cs="Arial" w:eastAsia="Arial" w:hAnsi="Arial"/>
          <w:sz w:val="18"/>
          <w:szCs w:val="18"/>
          <w:color w:val="auto"/>
        </w:rPr>
        <w:t>the rate and degree of market acceptance and clinical utility of ORIC-101, ORIC-533, ORIC-944, ORIC-114 and other product candidates we may develop;</w:t>
      </w:r>
    </w:p>
    <w:p>
      <w:pPr>
        <w:spacing w:after="0" w:line="62" w:lineRule="exact"/>
        <w:rPr>
          <w:sz w:val="20"/>
          <w:szCs w:val="20"/>
          <w:color w:val="auto"/>
        </w:rPr>
      </w:pPr>
    </w:p>
    <w:p>
      <w:pPr>
        <w:ind w:left="1200" w:right="2420"/>
        <w:spacing w:after="0" w:line="391" w:lineRule="auto"/>
        <w:rPr>
          <w:sz w:val="20"/>
          <w:szCs w:val="20"/>
          <w:color w:val="auto"/>
        </w:rPr>
      </w:pPr>
      <w:r>
        <w:rPr>
          <w:rFonts w:ascii="Arial" w:cs="Arial" w:eastAsia="Arial" w:hAnsi="Arial"/>
          <w:sz w:val="18"/>
          <w:szCs w:val="18"/>
          <w:color w:val="auto"/>
        </w:rPr>
        <w:t>our estimates regarding expenses, future revenue, capital requirements and needs for additional financing; our financial performance;</w:t>
      </w:r>
    </w:p>
    <w:p>
      <w:pPr>
        <w:spacing w:after="0" w:line="1" w:lineRule="exact"/>
        <w:rPr>
          <w:sz w:val="20"/>
          <w:szCs w:val="20"/>
          <w:color w:val="auto"/>
        </w:rPr>
      </w:pPr>
    </w:p>
    <w:p>
      <w:pPr>
        <w:ind w:left="1200" w:right="440"/>
        <w:spacing w:after="0" w:line="293" w:lineRule="auto"/>
        <w:rPr>
          <w:sz w:val="20"/>
          <w:szCs w:val="20"/>
          <w:color w:val="auto"/>
        </w:rPr>
      </w:pPr>
      <w:r>
        <w:rPr>
          <w:rFonts w:ascii="Arial" w:cs="Arial" w:eastAsia="Arial" w:hAnsi="Arial"/>
          <w:sz w:val="18"/>
          <w:szCs w:val="18"/>
          <w:color w:val="auto"/>
        </w:rPr>
        <w:t>the period over which we estimate our existing cash, cash equivalents and short-term investments will be sufficient to fund our future operating expenses and capital expenditure requirements;</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impact of laws and regulations;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expectations regarding the period during which we will qualify as an emerging growth company under the JOBS Act; and</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anticipated use of our existing resources.</w:t>
      </w:r>
    </w:p>
    <w:p>
      <w:pPr>
        <w:spacing w:after="0" w:line="131" w:lineRule="exact"/>
        <w:rPr>
          <w:sz w:val="20"/>
          <w:szCs w:val="20"/>
          <w:color w:val="auto"/>
        </w:rPr>
      </w:pPr>
    </w:p>
    <w:p>
      <w:pPr>
        <w:ind w:right="20" w:firstLine="749"/>
        <w:spacing w:after="0" w:line="287"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70" w:lineRule="exact"/>
        <w:rPr>
          <w:sz w:val="20"/>
          <w:szCs w:val="20"/>
          <w:color w:val="auto"/>
        </w:rPr>
      </w:pPr>
    </w:p>
    <w:p>
      <w:pPr>
        <w:ind w:firstLine="749"/>
        <w:spacing w:after="0" w:line="272"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ORIC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BALANCE SHEETS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amounts)</w:t>
      </w:r>
    </w:p>
    <w:p>
      <w:pPr>
        <w:spacing w:after="0" w:line="310" w:lineRule="exact"/>
        <w:rPr>
          <w:sz w:val="20"/>
          <w:szCs w:val="20"/>
          <w:color w:val="auto"/>
        </w:rPr>
      </w:pPr>
    </w:p>
    <w:p>
      <w:pPr>
        <w:jc w:val="right"/>
        <w:ind w:right="440"/>
        <w:spacing w:after="0"/>
        <w:tabs>
          <w:tab w:leader="none" w:pos="1140" w:val="left"/>
        </w:tabs>
        <w:rPr>
          <w:sz w:val="20"/>
          <w:szCs w:val="20"/>
          <w:color w:val="auto"/>
        </w:rPr>
      </w:pPr>
      <w:r>
        <w:rPr>
          <w:rFonts w:ascii="Arial" w:cs="Arial" w:eastAsia="Arial" w:hAnsi="Arial"/>
          <w:sz w:val="14"/>
          <w:szCs w:val="14"/>
          <w:b w:val="1"/>
          <w:bCs w:val="1"/>
          <w:color w:val="auto"/>
        </w:rPr>
        <w:t>June 30, 2021</w:t>
      </w:r>
      <w:r>
        <w:rPr>
          <w:sz w:val="20"/>
          <w:szCs w:val="20"/>
          <w:color w:val="auto"/>
        </w:rPr>
        <w:tab/>
      </w:r>
      <w:r>
        <w:rPr>
          <w:rFonts w:ascii="Arial" w:cs="Arial" w:eastAsia="Arial" w:hAnsi="Arial"/>
          <w:sz w:val="12"/>
          <w:szCs w:val="12"/>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23495</wp:posOffset>
            </wp:positionV>
            <wp:extent cx="27000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00020" cy="26035"/>
                    </a:xfrm>
                    <a:prstGeom prst="rect">
                      <a:avLst/>
                    </a:prstGeom>
                    <a:noFill/>
                  </pic:spPr>
                </pic:pic>
              </a:graphicData>
            </a:graphic>
          </wp:anchor>
        </w:drawing>
      </w:r>
    </w:p>
    <w:p>
      <w:pPr>
        <w:spacing w:after="0" w:line="115" w:lineRule="exact"/>
        <w:rPr>
          <w:sz w:val="20"/>
          <w:szCs w:val="20"/>
          <w:color w:val="auto"/>
        </w:rPr>
      </w:pPr>
    </w:p>
    <w:p>
      <w:pPr>
        <w:ind w:left="7480"/>
        <w:spacing w:after="0"/>
        <w:rPr>
          <w:sz w:val="20"/>
          <w:szCs w:val="20"/>
          <w:color w:val="auto"/>
        </w:rPr>
      </w:pPr>
      <w:r>
        <w:rPr>
          <w:rFonts w:ascii="Arial" w:cs="Arial" w:eastAsia="Arial" w:hAnsi="Arial"/>
          <w:sz w:val="16"/>
          <w:szCs w:val="16"/>
          <w:color w:val="auto"/>
        </w:rPr>
        <w:t>(unaudited)</w:t>
      </w:r>
    </w:p>
    <w:p>
      <w:pPr>
        <w:spacing w:after="0" w:line="42"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46" w:lineRule="exact"/>
        <w:rPr>
          <w:sz w:val="20"/>
          <w:szCs w:val="20"/>
          <w:color w:val="auto"/>
        </w:rPr>
      </w:pPr>
    </w:p>
    <w:p>
      <w:pPr>
        <w:ind w:left="200"/>
        <w:spacing w:after="0"/>
        <w:tabs>
          <w:tab w:leader="none" w:pos="688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3"/>
          <w:szCs w:val="13"/>
          <w:color w:val="auto"/>
        </w:rPr>
        <w:t>$</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Prepaid expenses and other current assets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 assets</w:t>
      </w:r>
    </w:p>
    <w:p>
      <w:pPr>
        <w:spacing w:after="0" w:line="86" w:lineRule="exact"/>
        <w:rPr>
          <w:sz w:val="20"/>
          <w:szCs w:val="20"/>
          <w:color w:val="auto"/>
        </w:rPr>
      </w:pPr>
    </w:p>
    <w:p>
      <w:pPr>
        <w:ind w:left="380"/>
        <w:spacing w:after="0"/>
        <w:tabs>
          <w:tab w:leader="none" w:pos="688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19" w:lineRule="exact"/>
        <w:rPr>
          <w:sz w:val="20"/>
          <w:szCs w:val="20"/>
          <w:color w:val="auto"/>
        </w:rPr>
      </w:pPr>
    </w:p>
    <w:p>
      <w:pPr>
        <w:ind w:left="4320"/>
        <w:spacing w:after="0"/>
        <w:rPr>
          <w:sz w:val="20"/>
          <w:szCs w:val="20"/>
          <w:color w:val="auto"/>
        </w:rPr>
      </w:pPr>
      <w:r>
        <w:rPr>
          <w:rFonts w:ascii="Arial" w:cs="Arial" w:eastAsia="Arial" w:hAnsi="Arial"/>
          <w:sz w:val="15"/>
          <w:szCs w:val="15"/>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 w:lineRule="exact"/>
        <w:rPr>
          <w:sz w:val="20"/>
          <w:szCs w:val="20"/>
          <w:color w:val="auto"/>
        </w:rPr>
      </w:pPr>
    </w:p>
    <w:p>
      <w:pPr>
        <w:ind w:left="200"/>
        <w:spacing w:after="0"/>
        <w:tabs>
          <w:tab w:leader="none" w:pos="688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3"/>
          <w:szCs w:val="13"/>
          <w:color w:val="auto"/>
        </w:rPr>
        <w:t>$</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 long-term liabilities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Commitments and contingencies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Stockholders' equity:</w:t>
      </w:r>
    </w:p>
    <w:p>
      <w:pPr>
        <w:spacing w:after="0" w:line="46" w:lineRule="exact"/>
        <w:rPr>
          <w:sz w:val="20"/>
          <w:szCs w:val="20"/>
          <w:color w:val="auto"/>
        </w:rPr>
      </w:pPr>
    </w:p>
    <w:p>
      <w:pPr>
        <w:ind w:left="200" w:right="760"/>
        <w:spacing w:after="0" w:line="281" w:lineRule="auto"/>
        <w:rPr>
          <w:sz w:val="20"/>
          <w:szCs w:val="20"/>
          <w:color w:val="auto"/>
        </w:rPr>
      </w:pPr>
      <w:r>
        <w:rPr>
          <w:rFonts w:ascii="Arial" w:cs="Arial" w:eastAsia="Arial" w:hAnsi="Arial"/>
          <w:sz w:val="16"/>
          <w:szCs w:val="16"/>
          <w:color w:val="auto"/>
        </w:rPr>
        <w:t>Preferred stock, $0.0001 par value; 200,000,000 shares authorized; no shares issued and outstanding at June 30,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200" w:right="1020"/>
        <w:spacing w:after="0" w:line="322" w:lineRule="auto"/>
        <w:rPr>
          <w:sz w:val="20"/>
          <w:szCs w:val="20"/>
          <w:color w:val="auto"/>
        </w:rPr>
      </w:pPr>
      <w:r>
        <w:rPr>
          <w:rFonts w:ascii="Arial" w:cs="Arial" w:eastAsia="Arial" w:hAnsi="Arial"/>
          <w:sz w:val="14"/>
          <w:szCs w:val="14"/>
          <w:color w:val="auto"/>
        </w:rPr>
        <w:t>Common stock, $0.0001 par value; 1,000,000,000 shares authorized; 36,715,612 shares and 36,672,415 shares issued and outstanding at June 30, 2021 and December 31, 2020, respectively</w:t>
      </w:r>
    </w:p>
    <w:p>
      <w:pPr>
        <w:ind w:left="20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Accumulated deficit</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Accumulated other comprehensive gain (loss)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230"/>
        </w:trPr>
        <w:tc>
          <w:tcPr>
            <w:tcW w:w="1060" w:type="dxa"/>
            <w:vAlign w:val="bottom"/>
          </w:tcPr>
          <w:p>
            <w:pPr>
              <w:jc w:val="right"/>
              <w:ind w:right="390"/>
              <w:spacing w:after="0"/>
              <w:rPr>
                <w:sz w:val="20"/>
                <w:szCs w:val="20"/>
                <w:color w:val="auto"/>
              </w:rPr>
            </w:pPr>
            <w:r>
              <w:rPr>
                <w:rFonts w:ascii="Arial" w:cs="Arial" w:eastAsia="Arial" w:hAnsi="Arial"/>
                <w:sz w:val="18"/>
                <w:szCs w:val="18"/>
                <w:color w:val="auto"/>
                <w:w w:val="86"/>
              </w:rPr>
              <w:t>170,078</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78,446</w:t>
            </w:r>
          </w:p>
        </w:tc>
      </w:tr>
      <w:tr>
        <w:trPr>
          <w:trHeight w:val="256"/>
        </w:trPr>
        <w:tc>
          <w:tcPr>
            <w:tcW w:w="1060" w:type="dxa"/>
            <w:vAlign w:val="bottom"/>
          </w:tcPr>
          <w:p>
            <w:pPr>
              <w:jc w:val="right"/>
              <w:ind w:right="390"/>
              <w:spacing w:after="0"/>
              <w:rPr>
                <w:sz w:val="20"/>
                <w:szCs w:val="20"/>
                <w:color w:val="auto"/>
              </w:rPr>
            </w:pPr>
            <w:r>
              <w:rPr>
                <w:rFonts w:ascii="Arial" w:cs="Arial" w:eastAsia="Arial" w:hAnsi="Arial"/>
                <w:sz w:val="18"/>
                <w:szCs w:val="18"/>
                <w:color w:val="auto"/>
              </w:rPr>
              <w:t>90,990</w:t>
            </w:r>
          </w:p>
        </w:tc>
        <w:tc>
          <w:tcPr>
            <w:tcW w:w="6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215,154</w:t>
            </w:r>
          </w:p>
        </w:tc>
      </w:tr>
      <w:tr>
        <w:trPr>
          <w:trHeight w:val="263"/>
        </w:trPr>
        <w:tc>
          <w:tcPr>
            <w:tcW w:w="1060" w:type="dxa"/>
            <w:vAlign w:val="bottom"/>
          </w:tcPr>
          <w:p>
            <w:pPr>
              <w:jc w:val="right"/>
              <w:ind w:right="390"/>
              <w:spacing w:after="0"/>
              <w:rPr>
                <w:sz w:val="20"/>
                <w:szCs w:val="20"/>
                <w:color w:val="auto"/>
              </w:rPr>
            </w:pPr>
            <w:r>
              <w:rPr>
                <w:rFonts w:ascii="Arial" w:cs="Arial" w:eastAsia="Arial" w:hAnsi="Arial"/>
                <w:sz w:val="18"/>
                <w:szCs w:val="18"/>
                <w:color w:val="auto"/>
              </w:rPr>
              <w:t>3,884</w:t>
            </w:r>
          </w:p>
        </w:tc>
        <w:tc>
          <w:tcPr>
            <w:tcW w:w="6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3,097</w:t>
            </w:r>
          </w:p>
        </w:tc>
      </w:tr>
      <w:tr>
        <w:trPr>
          <w:trHeight w:val="243"/>
        </w:trPr>
        <w:tc>
          <w:tcPr>
            <w:tcW w:w="1060" w:type="dxa"/>
            <w:vAlign w:val="bottom"/>
          </w:tcPr>
          <w:p>
            <w:pPr>
              <w:jc w:val="right"/>
              <w:ind w:right="390"/>
              <w:spacing w:after="0"/>
              <w:rPr>
                <w:sz w:val="20"/>
                <w:szCs w:val="20"/>
                <w:color w:val="auto"/>
              </w:rPr>
            </w:pPr>
            <w:r>
              <w:rPr>
                <w:rFonts w:ascii="Arial" w:cs="Arial" w:eastAsia="Arial" w:hAnsi="Arial"/>
                <w:sz w:val="18"/>
                <w:szCs w:val="18"/>
                <w:color w:val="auto"/>
                <w:w w:val="86"/>
              </w:rPr>
              <w:t>264,952</w:t>
            </w:r>
          </w:p>
        </w:tc>
        <w:tc>
          <w:tcPr>
            <w:tcW w:w="6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296,697</w:t>
            </w:r>
          </w:p>
        </w:tc>
      </w:tr>
      <w:tr>
        <w:trPr>
          <w:trHeight w:val="486"/>
        </w:trPr>
        <w:tc>
          <w:tcPr>
            <w:tcW w:w="1060" w:type="dxa"/>
            <w:vAlign w:val="bottom"/>
          </w:tcPr>
          <w:p>
            <w:pPr>
              <w:jc w:val="right"/>
              <w:ind w:right="390"/>
              <w:spacing w:after="0"/>
              <w:rPr>
                <w:sz w:val="20"/>
                <w:szCs w:val="20"/>
                <w:color w:val="auto"/>
              </w:rPr>
            </w:pPr>
            <w:r>
              <w:rPr>
                <w:rFonts w:ascii="Arial" w:cs="Arial" w:eastAsia="Arial" w:hAnsi="Arial"/>
                <w:sz w:val="18"/>
                <w:szCs w:val="18"/>
                <w:color w:val="auto"/>
              </w:rPr>
              <w:t>1,828</w:t>
            </w:r>
          </w:p>
        </w:tc>
        <w:tc>
          <w:tcPr>
            <w:tcW w:w="6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1,981</w:t>
            </w:r>
          </w:p>
        </w:tc>
      </w:tr>
      <w:tr>
        <w:trPr>
          <w:trHeight w:val="263"/>
        </w:trPr>
        <w:tc>
          <w:tcPr>
            <w:tcW w:w="1060" w:type="dxa"/>
            <w:vAlign w:val="bottom"/>
          </w:tcPr>
          <w:p>
            <w:pPr>
              <w:jc w:val="right"/>
              <w:ind w:right="390"/>
              <w:spacing w:after="0"/>
              <w:rPr>
                <w:sz w:val="20"/>
                <w:szCs w:val="20"/>
                <w:color w:val="auto"/>
              </w:rPr>
            </w:pPr>
            <w:r>
              <w:rPr>
                <w:rFonts w:ascii="Arial" w:cs="Arial" w:eastAsia="Arial" w:hAnsi="Arial"/>
                <w:sz w:val="18"/>
                <w:szCs w:val="18"/>
                <w:color w:val="auto"/>
              </w:rPr>
              <w:t>1,447</w:t>
            </w:r>
          </w:p>
        </w:tc>
        <w:tc>
          <w:tcPr>
            <w:tcW w:w="6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r>
      <w:tr>
        <w:trPr>
          <w:trHeight w:val="250"/>
        </w:trPr>
        <w:tc>
          <w:tcPr>
            <w:tcW w:w="1060" w:type="dxa"/>
            <w:vAlign w:val="bottom"/>
          </w:tcPr>
          <w:p>
            <w:pPr>
              <w:jc w:val="right"/>
              <w:ind w:right="390"/>
              <w:spacing w:after="0"/>
              <w:rPr>
                <w:sz w:val="20"/>
                <w:szCs w:val="20"/>
                <w:color w:val="auto"/>
              </w:rPr>
            </w:pPr>
            <w:r>
              <w:rPr>
                <w:rFonts w:ascii="Arial" w:cs="Arial" w:eastAsia="Arial" w:hAnsi="Arial"/>
                <w:sz w:val="18"/>
                <w:szCs w:val="18"/>
                <w:color w:val="auto"/>
                <w:w w:val="86"/>
              </w:rPr>
              <w:t>268,227</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298,997</w:t>
            </w:r>
          </w:p>
        </w:tc>
      </w:tr>
      <w:tr>
        <w:trPr>
          <w:trHeight w:val="20"/>
        </w:trPr>
        <w:tc>
          <w:tcPr>
            <w:tcW w:w="1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-25400</wp:posOffset>
            </wp:positionV>
            <wp:extent cx="12433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-8255</wp:posOffset>
            </wp:positionV>
            <wp:extent cx="12433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880" w:type="dxa"/>
            <w:vAlign w:val="bottom"/>
          </w:tcPr>
          <w:p>
            <w:pPr>
              <w:jc w:val="right"/>
              <w:ind w:right="390"/>
              <w:spacing w:after="0"/>
              <w:rPr>
                <w:sz w:val="20"/>
                <w:szCs w:val="20"/>
                <w:color w:val="auto"/>
              </w:rPr>
            </w:pPr>
            <w:r>
              <w:rPr>
                <w:rFonts w:ascii="Arial" w:cs="Arial" w:eastAsia="Arial" w:hAnsi="Arial"/>
                <w:sz w:val="18"/>
                <w:szCs w:val="18"/>
                <w:color w:val="auto"/>
              </w:rPr>
              <w:t>838</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757</w:t>
            </w:r>
          </w:p>
        </w:tc>
      </w:tr>
      <w:tr>
        <w:trPr>
          <w:trHeight w:val="263"/>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9,066</w:t>
            </w:r>
          </w:p>
        </w:tc>
        <w:tc>
          <w:tcPr>
            <w:tcW w:w="7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8,245</w:t>
            </w:r>
          </w:p>
        </w:tc>
      </w:tr>
      <w:tr>
        <w:trPr>
          <w:trHeight w:val="243"/>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9,904</w:t>
            </w:r>
          </w:p>
        </w:tc>
        <w:tc>
          <w:tcPr>
            <w:tcW w:w="7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9,002</w:t>
            </w:r>
          </w:p>
        </w:tc>
      </w:tr>
      <w:tr>
        <w:trPr>
          <w:trHeight w:val="520"/>
        </w:trPr>
        <w:tc>
          <w:tcPr>
            <w:tcW w:w="8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r>
      <w:tr>
        <w:trPr>
          <w:trHeight w:val="243"/>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9,904</w:t>
            </w:r>
          </w:p>
        </w:tc>
        <w:tc>
          <w:tcPr>
            <w:tcW w:w="7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-659130</wp:posOffset>
            </wp:positionV>
            <wp:extent cx="12433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1520" w:type="dxa"/>
            <w:vAlign w:val="bottom"/>
          </w:tcPr>
          <w:p>
            <w:pPr>
              <w:jc w:val="right"/>
              <w:ind w:right="790"/>
              <w:spacing w:after="0"/>
              <w:rPr>
                <w:sz w:val="20"/>
                <w:szCs w:val="20"/>
                <w:color w:val="auto"/>
              </w:rPr>
            </w:pPr>
            <w:r>
              <w:rPr>
                <w:rFonts w:ascii="Arial" w:cs="Arial" w:eastAsia="Arial" w:hAnsi="Arial"/>
                <w:sz w:val="18"/>
                <w:szCs w:val="18"/>
                <w:color w:val="auto"/>
              </w:rPr>
              <w:t>4</w:t>
            </w: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1520" w:type="dxa"/>
            <w:vAlign w:val="bottom"/>
          </w:tcPr>
          <w:p>
            <w:pPr>
              <w:jc w:val="right"/>
              <w:ind w:right="790"/>
              <w:spacing w:after="0"/>
              <w:rPr>
                <w:sz w:val="20"/>
                <w:szCs w:val="20"/>
                <w:color w:val="auto"/>
              </w:rPr>
            </w:pPr>
            <w:r>
              <w:rPr>
                <w:rFonts w:ascii="Arial" w:cs="Arial" w:eastAsia="Arial" w:hAnsi="Arial"/>
                <w:sz w:val="18"/>
                <w:szCs w:val="18"/>
                <w:color w:val="auto"/>
                <w:w w:val="95"/>
              </w:rPr>
              <w:t>462,227</w:t>
            </w:r>
          </w:p>
        </w:tc>
        <w:tc>
          <w:tcPr>
            <w:tcW w:w="1500" w:type="dxa"/>
            <w:vAlign w:val="bottom"/>
          </w:tcPr>
          <w:p>
            <w:pPr>
              <w:jc w:val="right"/>
              <w:spacing w:after="0"/>
              <w:rPr>
                <w:sz w:val="20"/>
                <w:szCs w:val="20"/>
                <w:color w:val="auto"/>
              </w:rPr>
            </w:pPr>
            <w:r>
              <w:rPr>
                <w:rFonts w:ascii="Arial" w:cs="Arial" w:eastAsia="Arial" w:hAnsi="Arial"/>
                <w:sz w:val="18"/>
                <w:szCs w:val="18"/>
                <w:color w:val="auto"/>
              </w:rPr>
              <w:t>456,196</w:t>
            </w:r>
          </w:p>
        </w:tc>
      </w:tr>
      <w:tr>
        <w:trPr>
          <w:trHeight w:val="256"/>
        </w:trPr>
        <w:tc>
          <w:tcPr>
            <w:tcW w:w="1520" w:type="dxa"/>
            <w:vAlign w:val="bottom"/>
          </w:tcPr>
          <w:p>
            <w:pPr>
              <w:jc w:val="right"/>
              <w:ind w:right="690"/>
              <w:spacing w:after="0"/>
              <w:rPr>
                <w:sz w:val="20"/>
                <w:szCs w:val="20"/>
                <w:color w:val="auto"/>
              </w:rPr>
            </w:pPr>
            <w:r>
              <w:rPr>
                <w:rFonts w:ascii="Arial" w:cs="Arial" w:eastAsia="Arial" w:hAnsi="Arial"/>
                <w:sz w:val="18"/>
                <w:szCs w:val="18"/>
                <w:color w:val="auto"/>
                <w:w w:val="87"/>
              </w:rPr>
              <w:t>(203,911 )</w:t>
            </w:r>
          </w:p>
        </w:tc>
        <w:tc>
          <w:tcPr>
            <w:tcW w:w="1500" w:type="dxa"/>
            <w:vAlign w:val="bottom"/>
          </w:tcPr>
          <w:p>
            <w:pPr>
              <w:jc w:val="right"/>
              <w:spacing w:after="0"/>
              <w:rPr>
                <w:sz w:val="20"/>
                <w:szCs w:val="20"/>
                <w:color w:val="auto"/>
              </w:rPr>
            </w:pPr>
            <w:r>
              <w:rPr>
                <w:rFonts w:ascii="Arial" w:cs="Arial" w:eastAsia="Arial" w:hAnsi="Arial"/>
                <w:sz w:val="18"/>
                <w:szCs w:val="18"/>
                <w:color w:val="auto"/>
              </w:rPr>
              <w:t>(166,393 )</w:t>
            </w:r>
          </w:p>
        </w:tc>
      </w:tr>
      <w:tr>
        <w:trPr>
          <w:trHeight w:val="257"/>
        </w:trPr>
        <w:tc>
          <w:tcPr>
            <w:tcW w:w="1520" w:type="dxa"/>
            <w:vAlign w:val="bottom"/>
          </w:tcPr>
          <w:p>
            <w:pPr>
              <w:jc w:val="right"/>
              <w:ind w:right="790"/>
              <w:spacing w:after="0"/>
              <w:rPr>
                <w:sz w:val="20"/>
                <w:szCs w:val="20"/>
                <w:color w:val="auto"/>
              </w:rPr>
            </w:pPr>
            <w:r>
              <w:rPr>
                <w:rFonts w:ascii="Arial" w:cs="Arial" w:eastAsia="Arial" w:hAnsi="Arial"/>
                <w:sz w:val="18"/>
                <w:szCs w:val="18"/>
                <w:color w:val="auto"/>
              </w:rPr>
              <w:t>3</w:t>
            </w:r>
          </w:p>
        </w:tc>
        <w:tc>
          <w:tcPr>
            <w:tcW w:w="1500" w:type="dxa"/>
            <w:vAlign w:val="bottom"/>
          </w:tcPr>
          <w:p>
            <w:pPr>
              <w:jc w:val="right"/>
              <w:spacing w:after="0"/>
              <w:rPr>
                <w:sz w:val="20"/>
                <w:szCs w:val="20"/>
                <w:color w:val="auto"/>
              </w:rPr>
            </w:pPr>
            <w:r>
              <w:rPr>
                <w:rFonts w:ascii="Arial" w:cs="Arial" w:eastAsia="Arial" w:hAnsi="Arial"/>
                <w:sz w:val="18"/>
                <w:szCs w:val="18"/>
                <w:color w:val="auto"/>
              </w:rPr>
              <w:t>(31 )</w:t>
            </w:r>
          </w:p>
        </w:tc>
      </w:tr>
    </w:tbl>
    <w:p>
      <w:pPr>
        <w:spacing w:after="0" w:line="1" w:lineRule="exact"/>
        <w:rPr>
          <w:sz w:val="20"/>
          <w:szCs w:val="20"/>
          <w:color w:val="auto"/>
        </w:rPr>
      </w:pPr>
    </w:p>
    <w:p>
      <w:pPr>
        <w:sectPr>
          <w:pgSz w:w="11900" w:h="16838" w:orient="portrait"/>
          <w:cols w:equalWidth="0" w:num="2">
            <w:col w:w="7460" w:space="720"/>
            <w:col w:w="3060"/>
          </w:cols>
          <w:pgMar w:left="320" w:top="135" w:right="3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68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stockholders' equity</w:t>
            </w:r>
          </w:p>
        </w:tc>
        <w:tc>
          <w:tcPr>
            <w:tcW w:w="740" w:type="dxa"/>
            <w:vAlign w:val="bottom"/>
            <w:tcBorders>
              <w:top w:val="single" w:sz="8" w:color="auto"/>
              <w:bottom w:val="single" w:sz="8" w:color="auto"/>
            </w:tcBorders>
            <w:shd w:val="clear" w:color="auto" w:fill="CFF0FC"/>
          </w:tcPr>
          <w:p>
            <w:pPr>
              <w:spacing w:after="0"/>
              <w:rPr>
                <w:sz w:val="22"/>
                <w:szCs w:val="22"/>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258,323</w:t>
            </w:r>
          </w:p>
        </w:tc>
        <w:tc>
          <w:tcPr>
            <w:tcW w:w="46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top w:val="single" w:sz="8" w:color="auto"/>
              <w:bottom w:val="single" w:sz="8" w:color="auto"/>
            </w:tcBorders>
            <w:shd w:val="clear" w:color="auto" w:fill="CFF0FC"/>
          </w:tcPr>
          <w:p>
            <w:pPr>
              <w:spacing w:after="0"/>
              <w:rPr>
                <w:sz w:val="22"/>
                <w:szCs w:val="22"/>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289,776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6880" w:type="dxa"/>
            <w:vAlign w:val="bottom"/>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268,227</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298,997</w:t>
            </w:r>
          </w:p>
        </w:tc>
        <w:tc>
          <w:tcPr>
            <w:tcW w:w="100" w:type="dxa"/>
            <w:vAlign w:val="bottom"/>
          </w:tcPr>
          <w:p>
            <w:pPr>
              <w:spacing w:after="0"/>
              <w:rPr>
                <w:sz w:val="21"/>
                <w:szCs w:val="21"/>
                <w:color w:val="auto"/>
              </w:rPr>
            </w:pPr>
          </w:p>
        </w:tc>
      </w:tr>
      <w:tr>
        <w:trPr>
          <w:trHeight w:val="20"/>
        </w:trPr>
        <w:tc>
          <w:tcPr>
            <w:tcW w:w="68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-193675</wp:posOffset>
            </wp:positionV>
            <wp:extent cx="29146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ORIC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256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Six Months Ended</w:t>
            </w:r>
          </w:p>
        </w:tc>
      </w:tr>
      <w:tr>
        <w:trPr>
          <w:trHeight w:val="219"/>
        </w:trPr>
        <w:tc>
          <w:tcPr>
            <w:tcW w:w="5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4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46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15,517</w:t>
            </w:r>
          </w:p>
        </w:tc>
        <w:tc>
          <w:tcPr>
            <w:tcW w:w="3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7,723</w:t>
            </w:r>
          </w:p>
        </w:tc>
        <w:tc>
          <w:tcPr>
            <w:tcW w:w="2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27,214</w:t>
            </w:r>
          </w:p>
        </w:tc>
        <w:tc>
          <w:tcPr>
            <w:tcW w:w="2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14,977</w:t>
            </w:r>
          </w:p>
        </w:tc>
        <w:tc>
          <w:tcPr>
            <w:tcW w:w="100" w:type="dxa"/>
            <w:vAlign w:val="bottom"/>
          </w:tcPr>
          <w:p>
            <w:pPr>
              <w:spacing w:after="0"/>
              <w:rPr>
                <w:sz w:val="21"/>
                <w:szCs w:val="21"/>
                <w:color w:val="auto"/>
              </w:rPr>
            </w:pPr>
          </w:p>
        </w:tc>
      </w:tr>
      <w:tr>
        <w:trPr>
          <w:trHeight w:val="257"/>
        </w:trPr>
        <w:tc>
          <w:tcPr>
            <w:tcW w:w="54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5,540</w:t>
            </w:r>
          </w:p>
        </w:tc>
        <w:tc>
          <w:tcPr>
            <w:tcW w:w="3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10,396</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46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21,057</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11,123</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37,610</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20,302</w:t>
            </w:r>
          </w:p>
        </w:tc>
        <w:tc>
          <w:tcPr>
            <w:tcW w:w="100" w:type="dxa"/>
            <w:vAlign w:val="bottom"/>
          </w:tcPr>
          <w:p>
            <w:pPr>
              <w:spacing w:after="0"/>
              <w:rPr>
                <w:sz w:val="21"/>
                <w:szCs w:val="21"/>
                <w:color w:val="auto"/>
              </w:rPr>
            </w:pPr>
          </w:p>
        </w:tc>
      </w:tr>
      <w:tr>
        <w:trPr>
          <w:trHeight w:val="257"/>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(21,057 )</w:t>
            </w:r>
          </w:p>
        </w:tc>
        <w:tc>
          <w:tcPr>
            <w:tcW w:w="20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(11,123 )</w:t>
            </w:r>
          </w:p>
        </w:tc>
        <w:tc>
          <w:tcPr>
            <w:tcW w:w="26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(37,610 )</w:t>
            </w:r>
          </w:p>
        </w:tc>
        <w:tc>
          <w:tcPr>
            <w:tcW w:w="26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(20,302 )</w:t>
            </w:r>
          </w:p>
        </w:tc>
      </w:tr>
      <w:tr>
        <w:trPr>
          <w:trHeight w:val="257"/>
        </w:trPr>
        <w:tc>
          <w:tcPr>
            <w:tcW w:w="5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460" w:type="dxa"/>
            <w:vAlign w:val="bottom"/>
          </w:tcPr>
          <w:p>
            <w:pPr>
              <w:ind w:left="280"/>
              <w:spacing w:after="0"/>
              <w:rPr>
                <w:sz w:val="20"/>
                <w:szCs w:val="20"/>
                <w:color w:val="auto"/>
              </w:rPr>
            </w:pPr>
            <w:r>
              <w:rPr>
                <w:rFonts w:ascii="Arial" w:cs="Arial" w:eastAsia="Arial" w:hAnsi="Arial"/>
                <w:sz w:val="18"/>
                <w:szCs w:val="18"/>
                <w:color w:val="auto"/>
              </w:rPr>
              <w:t>Interest income, net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r>
      <w:tr>
        <w:trPr>
          <w:trHeight w:val="257"/>
        </w:trPr>
        <w:tc>
          <w:tcPr>
            <w:tcW w:w="54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460" w:type="dxa"/>
            <w:vAlign w:val="bottom"/>
          </w:tcPr>
          <w:p>
            <w:pPr>
              <w:ind w:left="520"/>
              <w:spacing w:after="0"/>
              <w:rPr>
                <w:sz w:val="20"/>
                <w:szCs w:val="20"/>
                <w:color w:val="auto"/>
              </w:rPr>
            </w:pPr>
            <w:r>
              <w:rPr>
                <w:rFonts w:ascii="Arial" w:cs="Arial" w:eastAsia="Arial" w:hAnsi="Arial"/>
                <w:sz w:val="18"/>
                <w:szCs w:val="18"/>
                <w:color w:val="auto"/>
              </w:rPr>
              <w:t>Total other income</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r>
      <w:tr>
        <w:trPr>
          <w:trHeight w:val="290"/>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(21,009 )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(11,024 )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(37,518 )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(19,896 )</w:t>
            </w:r>
          </w:p>
        </w:tc>
      </w:tr>
      <w:tr>
        <w:trPr>
          <w:trHeight w:val="237"/>
        </w:trPr>
        <w:tc>
          <w:tcPr>
            <w:tcW w:w="54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comprehensive gain (loss):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56"/>
        </w:trPr>
        <w:tc>
          <w:tcPr>
            <w:tcW w:w="54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Unrealized (loss) gain on available-for-sale securities</w:t>
            </w:r>
          </w:p>
        </w:tc>
        <w:tc>
          <w:tcPr>
            <w:tcW w:w="30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(14 )</w:t>
            </w:r>
          </w:p>
        </w:tc>
        <w:tc>
          <w:tcPr>
            <w:tcW w:w="20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4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4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(21,023 )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(11,024 )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(37,484 )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(19,896 )</w:t>
            </w:r>
          </w:p>
        </w:tc>
      </w:tr>
      <w:tr>
        <w:trPr>
          <w:trHeight w:val="20"/>
        </w:trPr>
        <w:tc>
          <w:tcPr>
            <w:tcW w:w="5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(0.57 )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(0.51 )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(1.02 )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(1.68 )</w:t>
            </w:r>
          </w:p>
        </w:tc>
      </w:tr>
      <w:tr>
        <w:trPr>
          <w:trHeight w:val="237"/>
        </w:trPr>
        <w:tc>
          <w:tcPr>
            <w:tcW w:w="54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Weighted-average shares outstanding, basic and diluted</w:t>
            </w: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36,701,836</w:t>
            </w:r>
          </w:p>
        </w:tc>
        <w:tc>
          <w:tcPr>
            <w:tcW w:w="30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21,627,361</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36,690,824</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11,808,103</w:t>
            </w:r>
          </w:p>
        </w:tc>
        <w:tc>
          <w:tcPr>
            <w:tcW w:w="100" w:type="dxa"/>
            <w:vAlign w:val="bottom"/>
            <w:tcBorders>
              <w:top w:val="single" w:sz="8" w:color="CFF0FC"/>
            </w:tcBorders>
          </w:tcPr>
          <w:p>
            <w:pPr>
              <w:spacing w:after="0"/>
              <w:rPr>
                <w:sz w:val="20"/>
                <w:szCs w:val="20"/>
                <w:color w:val="auto"/>
              </w:rPr>
            </w:pPr>
          </w:p>
        </w:tc>
      </w:tr>
      <w:tr>
        <w:trPr>
          <w:trHeight w:val="20"/>
        </w:trPr>
        <w:tc>
          <w:tcPr>
            <w:tcW w:w="5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-2259330</wp:posOffset>
            </wp:positionV>
            <wp:extent cx="19685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-2259330</wp:posOffset>
            </wp:positionV>
            <wp:extent cx="16319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-2259330</wp:posOffset>
            </wp:positionV>
            <wp:extent cx="16319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-2259330</wp:posOffset>
            </wp:positionV>
            <wp:extent cx="6858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-1264920</wp:posOffset>
            </wp:positionV>
            <wp:extent cx="19685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-1264920</wp:posOffset>
            </wp:positionV>
            <wp:extent cx="16319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-1264920</wp:posOffset>
            </wp:positionV>
            <wp:extent cx="16319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-1264920</wp:posOffset>
            </wp:positionV>
            <wp:extent cx="6858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-925195</wp:posOffset>
            </wp:positionV>
            <wp:extent cx="1968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-908050</wp:posOffset>
            </wp:positionV>
            <wp:extent cx="1968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-925195</wp:posOffset>
            </wp:positionV>
            <wp:extent cx="1631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-908050</wp:posOffset>
            </wp:positionV>
            <wp:extent cx="1631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-925195</wp:posOffset>
            </wp:positionV>
            <wp:extent cx="1631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-908050</wp:posOffset>
            </wp:positionV>
            <wp:extent cx="1631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-570865</wp:posOffset>
            </wp:positionV>
            <wp:extent cx="19685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-570865</wp:posOffset>
            </wp:positionV>
            <wp:extent cx="16319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-570865</wp:posOffset>
            </wp:positionV>
            <wp:extent cx="16319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-570865</wp:posOffset>
            </wp:positionV>
            <wp:extent cx="6858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-213360</wp:posOffset>
            </wp:positionV>
            <wp:extent cx="1968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-196215</wp:posOffset>
            </wp:positionV>
            <wp:extent cx="1968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-213360</wp:posOffset>
            </wp:positionV>
            <wp:extent cx="1631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-196215</wp:posOffset>
            </wp:positionV>
            <wp:extent cx="1631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-213360</wp:posOffset>
            </wp:positionV>
            <wp:extent cx="1631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-196215</wp:posOffset>
            </wp:positionV>
            <wp:extent cx="1631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ORIC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CONVERTIBLE PREFERRED STOCK AND STOCKHOLDERS’ EQUITY (DEFICIT)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vMerge w:val="restart"/>
          </w:tcPr>
          <w:p>
            <w:pPr>
              <w:jc w:val="center"/>
              <w:ind w:right="300"/>
              <w:spacing w:after="0"/>
              <w:rPr>
                <w:sz w:val="20"/>
                <w:szCs w:val="20"/>
                <w:color w:val="auto"/>
              </w:rPr>
            </w:pPr>
            <w:r>
              <w:rPr>
                <w:rFonts w:ascii="Arial" w:cs="Arial" w:eastAsia="Arial" w:hAnsi="Arial"/>
                <w:sz w:val="13"/>
                <w:szCs w:val="13"/>
                <w:b w:val="1"/>
                <w:bCs w:val="1"/>
                <w:color w:val="auto"/>
                <w:w w:val="89"/>
              </w:rPr>
              <w:t>Convertible</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2"/>
                <w:szCs w:val="12"/>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6"/>
              </w:rPr>
              <w:t>Preferred Stock</w:t>
            </w:r>
          </w:p>
        </w:tc>
        <w:tc>
          <w:tcPr>
            <w:tcW w:w="240" w:type="dxa"/>
            <w:vAlign w:val="bottom"/>
          </w:tcPr>
          <w:p>
            <w:pPr>
              <w:spacing w:after="0"/>
              <w:rPr>
                <w:sz w:val="15"/>
                <w:szCs w:val="15"/>
                <w:color w:val="auto"/>
              </w:rPr>
            </w:pPr>
          </w:p>
        </w:tc>
        <w:tc>
          <w:tcPr>
            <w:tcW w:w="1760" w:type="dxa"/>
            <w:vAlign w:val="bottom"/>
            <w:tcBorders>
              <w:bottom w:val="single" w:sz="8" w:color="auto"/>
            </w:tcBorders>
            <w:gridSpan w:val="4"/>
          </w:tcPr>
          <w:p>
            <w:pPr>
              <w:jc w:val="right"/>
              <w:ind w:right="397"/>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88"/>
              </w:rPr>
              <w:t>Accumulated</w:t>
            </w:r>
          </w:p>
        </w:tc>
        <w:tc>
          <w:tcPr>
            <w:tcW w:w="116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5"/>
                <w:szCs w:val="15"/>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5"/>
                <w:szCs w:val="15"/>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Capital</w:t>
            </w:r>
          </w:p>
        </w:tc>
        <w:tc>
          <w:tcPr>
            <w:tcW w:w="20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6"/>
              </w:rPr>
              <w:t>Gain (Loss)</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0"/>
              </w:rPr>
              <w:t>Equity</w:t>
            </w:r>
          </w:p>
        </w:tc>
        <w:tc>
          <w:tcPr>
            <w:tcW w:w="2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380" w:type="dxa"/>
            <w:vAlign w:val="bottom"/>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10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36,672,415</w:t>
            </w:r>
          </w:p>
        </w:tc>
        <w:tc>
          <w:tcPr>
            <w:tcW w:w="360" w:type="dxa"/>
            <w:vAlign w:val="bottom"/>
            <w:tcBorders>
              <w:lef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340" w:type="dxa"/>
            <w:vAlign w:val="bottom"/>
            <w:tcBorders>
              <w:left w:val="single" w:sz="8" w:color="CFF0FC"/>
            </w:tcBorders>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456,196</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(166,393 )</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(31 )</w:t>
            </w:r>
          </w:p>
        </w:tc>
        <w:tc>
          <w:tcPr>
            <w:tcW w:w="8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289,776</w:t>
            </w:r>
          </w:p>
        </w:tc>
        <w:tc>
          <w:tcPr>
            <w:tcW w:w="12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380" w:type="dxa"/>
            <w:vAlign w:val="bottom"/>
            <w:gridSpan w:val="2"/>
          </w:tcPr>
          <w:p>
            <w:pPr>
              <w:ind w:left="200"/>
              <w:spacing w:after="0"/>
              <w:rPr>
                <w:sz w:val="20"/>
                <w:szCs w:val="20"/>
                <w:color w:val="auto"/>
              </w:rPr>
            </w:pPr>
            <w:r>
              <w:rPr>
                <w:rFonts w:ascii="Arial" w:cs="Arial" w:eastAsia="Arial" w:hAnsi="Arial"/>
                <w:sz w:val="13"/>
                <w:szCs w:val="13"/>
                <w:color w:val="auto"/>
              </w:rPr>
              <w:t>Exercise of common stock options</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18,411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238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8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2,744</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2,744</w:t>
            </w:r>
          </w:p>
        </w:tc>
        <w:tc>
          <w:tcPr>
            <w:tcW w:w="12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2380" w:type="dxa"/>
            <w:vAlign w:val="bottom"/>
            <w:gridSpan w:val="2"/>
          </w:tcPr>
          <w:p>
            <w:pPr>
              <w:ind w:left="200"/>
              <w:spacing w:after="0"/>
              <w:rPr>
                <w:sz w:val="20"/>
                <w:szCs w:val="20"/>
                <w:color w:val="auto"/>
              </w:rPr>
            </w:pPr>
            <w:r>
              <w:rPr>
                <w:rFonts w:ascii="Arial" w:cs="Arial" w:eastAsia="Arial" w:hAnsi="Arial"/>
                <w:sz w:val="13"/>
                <w:szCs w:val="13"/>
                <w:color w:val="auto"/>
              </w:rPr>
              <w:t>Unrealized gain on available-for-sale</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2380" w:type="dxa"/>
            <w:vAlign w:val="bottom"/>
            <w:gridSpan w:val="2"/>
          </w:tcPr>
          <w:p>
            <w:pPr>
              <w:ind w:left="200"/>
              <w:spacing w:after="0"/>
              <w:rPr>
                <w:sz w:val="20"/>
                <w:szCs w:val="20"/>
                <w:color w:val="auto"/>
              </w:rPr>
            </w:pPr>
            <w:r>
              <w:rPr>
                <w:rFonts w:ascii="Arial" w:cs="Arial" w:eastAsia="Arial" w:hAnsi="Arial"/>
                <w:sz w:val="13"/>
                <w:szCs w:val="13"/>
                <w:color w:val="auto"/>
              </w:rPr>
              <w:t>securities</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38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10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6"/>
                <w:szCs w:val="16"/>
                <w:color w:val="auto"/>
              </w:rPr>
            </w:pPr>
          </w:p>
        </w:tc>
        <w:tc>
          <w:tcPr>
            <w:tcW w:w="8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left w:val="single" w:sz="8" w:color="CFF0FC"/>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left w:val="single" w:sz="8" w:color="CFF0FC"/>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(16,509 )</w:t>
            </w: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(16,509 )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CFF0FC"/>
            </w:tcBorders>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20" w:type="dxa"/>
            <w:vAlign w:val="bottom"/>
          </w:tcPr>
          <w:p>
            <w:pPr>
              <w:spacing w:after="0"/>
              <w:rPr>
                <w:sz w:val="15"/>
                <w:szCs w:val="15"/>
                <w:color w:val="auto"/>
              </w:rPr>
            </w:pPr>
          </w:p>
        </w:tc>
        <w:tc>
          <w:tcPr>
            <w:tcW w:w="238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 at March 31, 2021</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36,690,826</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w:t>
            </w:r>
          </w:p>
        </w:tc>
        <w:tc>
          <w:tcPr>
            <w:tcW w:w="34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458,956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(182,902 )</w:t>
            </w:r>
          </w:p>
        </w:tc>
        <w:tc>
          <w:tcPr>
            <w:tcW w:w="12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17</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276,075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0" w:type="dxa"/>
            <w:vAlign w:val="bottom"/>
          </w:tcPr>
          <w:p>
            <w:pPr>
              <w:spacing w:after="0"/>
              <w:rPr>
                <w:sz w:val="16"/>
                <w:szCs w:val="16"/>
                <w:color w:val="auto"/>
              </w:rPr>
            </w:pPr>
          </w:p>
        </w:tc>
        <w:tc>
          <w:tcPr>
            <w:tcW w:w="238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rPr>
              <w:t>Exercise of common stock options</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left w:val="single" w:sz="8" w:color="CFF0FC"/>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24,786</w:t>
            </w:r>
          </w:p>
        </w:tc>
        <w:tc>
          <w:tcPr>
            <w:tcW w:w="240" w:type="dxa"/>
            <w:vAlign w:val="bottom"/>
            <w:tcBorders>
              <w:left w:val="single" w:sz="8" w:color="CFF0FC"/>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left w:val="single" w:sz="8" w:color="CFF0FC"/>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w:t>
            </w:r>
          </w:p>
        </w:tc>
        <w:tc>
          <w:tcPr>
            <w:tcW w:w="12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380" w:type="dxa"/>
            <w:vAlign w:val="bottom"/>
            <w:gridSpan w:val="2"/>
          </w:tcPr>
          <w:p>
            <w:pPr>
              <w:ind w:left="20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3,213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3,213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38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rPr>
              <w:t>Unrealized loss on available-for-sale</w:t>
            </w:r>
          </w:p>
        </w:tc>
        <w:tc>
          <w:tcPr>
            <w:tcW w:w="800" w:type="dxa"/>
            <w:vAlign w:val="bottom"/>
            <w:shd w:val="clear" w:color="auto" w:fill="CFF0FC"/>
          </w:tcPr>
          <w:p>
            <w:pPr>
              <w:spacing w:after="0"/>
              <w:rPr>
                <w:sz w:val="15"/>
                <w:szCs w:val="15"/>
                <w:color w:val="auto"/>
              </w:rPr>
            </w:pP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tcBorders>
              <w:left w:val="single" w:sz="8" w:color="CFF0FC"/>
              <w:right w:val="single" w:sz="8" w:color="CFF0FC"/>
            </w:tcBorders>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tcBorders>
              <w:left w:val="single" w:sz="8" w:color="CFF0FC"/>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tcBorders>
              <w:lef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238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rPr>
              <w:t>securities</w:t>
            </w:r>
          </w:p>
        </w:tc>
        <w:tc>
          <w:tcPr>
            <w:tcW w:w="10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8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left w:val="single" w:sz="8" w:color="CFF0FC"/>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(14 )</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380" w:type="dxa"/>
            <w:vAlign w:val="bottom"/>
            <w:gridSpan w:val="2"/>
          </w:tcPr>
          <w:p>
            <w:pPr>
              <w:ind w:left="200"/>
              <w:spacing w:after="0"/>
              <w:rPr>
                <w:sz w:val="20"/>
                <w:szCs w:val="20"/>
                <w:color w:val="auto"/>
              </w:rPr>
            </w:pPr>
            <w:r>
              <w:rPr>
                <w:rFonts w:ascii="Arial" w:cs="Arial" w:eastAsia="Arial" w:hAnsi="Arial"/>
                <w:sz w:val="13"/>
                <w:szCs w:val="13"/>
                <w:color w:val="auto"/>
              </w:rPr>
              <w:t>Net loss</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(21,009 )</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(21,009 )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2380" w:type="dxa"/>
            <w:vAlign w:val="bottom"/>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June 30, 2021</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36,715,612</w:t>
            </w:r>
          </w:p>
        </w:tc>
        <w:tc>
          <w:tcPr>
            <w:tcW w:w="360" w:type="dxa"/>
            <w:vAlign w:val="bottom"/>
            <w:tcBorders>
              <w:lef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340" w:type="dxa"/>
            <w:vAlign w:val="bottom"/>
            <w:tcBorders>
              <w:left w:val="single" w:sz="8" w:color="CFF0FC"/>
            </w:tcBorders>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462,227</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(203,911 )</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center"/>
              <w:ind w:left="617"/>
              <w:spacing w:after="0"/>
              <w:rPr>
                <w:sz w:val="20"/>
                <w:szCs w:val="20"/>
                <w:color w:val="auto"/>
              </w:rPr>
            </w:pPr>
            <w:r>
              <w:rPr>
                <w:rFonts w:ascii="Arial" w:cs="Arial" w:eastAsia="Arial" w:hAnsi="Arial"/>
                <w:sz w:val="13"/>
                <w:szCs w:val="13"/>
                <w:color w:val="auto"/>
                <w:w w:val="82"/>
              </w:rPr>
              <w:t>3</w:t>
            </w:r>
          </w:p>
        </w:tc>
        <w:tc>
          <w:tcPr>
            <w:tcW w:w="26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258,323</w:t>
            </w:r>
          </w:p>
        </w:tc>
        <w:tc>
          <w:tcPr>
            <w:tcW w:w="12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CFF0FC"/>
              <w:right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7"/>
        </w:trPr>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vMerge w:val="restart"/>
          </w:tcPr>
          <w:p>
            <w:pPr>
              <w:jc w:val="center"/>
              <w:ind w:left="397"/>
              <w:spacing w:after="0"/>
              <w:rPr>
                <w:sz w:val="20"/>
                <w:szCs w:val="20"/>
                <w:color w:val="auto"/>
              </w:rPr>
            </w:pPr>
            <w:r>
              <w:rPr>
                <w:rFonts w:ascii="Arial" w:cs="Arial" w:eastAsia="Arial" w:hAnsi="Arial"/>
                <w:sz w:val="13"/>
                <w:szCs w:val="13"/>
                <w:b w:val="1"/>
                <w:bCs w:val="1"/>
                <w:color w:val="auto"/>
                <w:w w:val="89"/>
              </w:rPr>
              <w:t>Convertible</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2"/>
                <w:szCs w:val="12"/>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3"/>
                <w:szCs w:val="13"/>
                <w:b w:val="1"/>
                <w:bCs w:val="1"/>
                <w:color w:val="auto"/>
                <w:w w:val="86"/>
              </w:rPr>
              <w:t>Preferred Stock</w:t>
            </w:r>
          </w:p>
        </w:tc>
        <w:tc>
          <w:tcPr>
            <w:tcW w:w="240" w:type="dxa"/>
            <w:vAlign w:val="bottom"/>
          </w:tcPr>
          <w:p>
            <w:pPr>
              <w:spacing w:after="0"/>
              <w:rPr>
                <w:sz w:val="15"/>
                <w:szCs w:val="15"/>
                <w:color w:val="auto"/>
              </w:rPr>
            </w:pPr>
          </w:p>
        </w:tc>
        <w:tc>
          <w:tcPr>
            <w:tcW w:w="176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5"/>
              </w:rPr>
              <w:t>Accumulated</w:t>
            </w:r>
          </w:p>
        </w:tc>
        <w:tc>
          <w:tcPr>
            <w:tcW w:w="40" w:type="dxa"/>
            <w:vAlign w:val="bottom"/>
          </w:tcPr>
          <w:p>
            <w:pPr>
              <w:spacing w:after="0"/>
              <w:rPr>
                <w:sz w:val="15"/>
                <w:szCs w:val="15"/>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5"/>
                <w:szCs w:val="15"/>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5"/>
                <w:szCs w:val="15"/>
                <w:color w:val="auto"/>
              </w:rPr>
            </w:pPr>
          </w:p>
        </w:tc>
        <w:tc>
          <w:tcPr>
            <w:tcW w:w="7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89"/>
              </w:rPr>
              <w:t>Amount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Gain (Loss)</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00" w:type="dxa"/>
            <w:vAlign w:val="bottom"/>
            <w:gridSpan w:val="3"/>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19,278,606</w:t>
            </w:r>
          </w:p>
        </w:tc>
        <w:tc>
          <w:tcPr>
            <w:tcW w:w="260" w:type="dxa"/>
            <w:vAlign w:val="bottom"/>
            <w:tcBorders>
              <w:left w:val="single" w:sz="8" w:color="CFF0FC"/>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178,058</w:t>
            </w:r>
          </w:p>
        </w:tc>
        <w:tc>
          <w:tcPr>
            <w:tcW w:w="240" w:type="dxa"/>
            <w:vAlign w:val="bottom"/>
            <w:tcBorders>
              <w:left w:val="single" w:sz="8" w:color="CFF0FC"/>
              <w:right w:val="single" w:sz="8" w:color="CFF0FC"/>
            </w:tcBorders>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1,984,222</w:t>
            </w:r>
          </w:p>
        </w:tc>
        <w:tc>
          <w:tcPr>
            <w:tcW w:w="360" w:type="dxa"/>
            <w:vAlign w:val="bottom"/>
            <w:tcBorders>
              <w:left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FF0FC"/>
            </w:tcBorders>
            <w:gridSpan w:val="2"/>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2,606</w:t>
            </w:r>
          </w:p>
        </w:tc>
        <w:tc>
          <w:tcPr>
            <w:tcW w:w="120" w:type="dxa"/>
            <w:vAlign w:val="bottom"/>
            <w:shd w:val="clear" w:color="auto" w:fill="CFF0FC"/>
          </w:tcPr>
          <w:p>
            <w:pPr>
              <w:spacing w:after="0"/>
              <w:rPr>
                <w:sz w:val="16"/>
                <w:szCs w:val="16"/>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(92,690 )</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CFF0FC"/>
            </w:tcBorders>
            <w:gridSpan w:val="2"/>
            <w:shd w:val="clear" w:color="auto" w:fill="CFF0FC"/>
          </w:tcPr>
          <w:p>
            <w:pPr>
              <w:jc w:val="center"/>
              <w:ind w:left="377"/>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(90,084 )</w:t>
            </w: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380" w:type="dxa"/>
            <w:vAlign w:val="bottom"/>
            <w:gridSpan w:val="2"/>
          </w:tcPr>
          <w:p>
            <w:pPr>
              <w:ind w:left="80"/>
              <w:spacing w:after="0"/>
              <w:rPr>
                <w:sz w:val="20"/>
                <w:szCs w:val="20"/>
                <w:color w:val="auto"/>
              </w:rPr>
            </w:pPr>
            <w:r>
              <w:rPr>
                <w:rFonts w:ascii="Arial" w:cs="Arial" w:eastAsia="Arial" w:hAnsi="Arial"/>
                <w:sz w:val="13"/>
                <w:szCs w:val="13"/>
                <w:color w:val="auto"/>
              </w:rPr>
              <w:t>Exercise of common stock options</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13,433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left="37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20" w:type="dxa"/>
            <w:vAlign w:val="bottom"/>
            <w:shd w:val="clear" w:color="auto" w:fill="CFF0FC"/>
          </w:tcPr>
          <w:p>
            <w:pPr>
              <w:spacing w:after="0"/>
              <w:rPr>
                <w:sz w:val="17"/>
                <w:szCs w:val="17"/>
                <w:color w:val="auto"/>
              </w:rPr>
            </w:pPr>
          </w:p>
        </w:tc>
        <w:tc>
          <w:tcPr>
            <w:tcW w:w="23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8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527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tcBorders>
              <w:right w:val="single" w:sz="8" w:color="CFF0FC"/>
            </w:tcBorders>
            <w:gridSpan w:val="2"/>
            <w:shd w:val="clear" w:color="auto" w:fill="CFF0FC"/>
          </w:tcPr>
          <w:p>
            <w:pPr>
              <w:jc w:val="center"/>
              <w:ind w:left="377"/>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527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260" w:type="dxa"/>
            <w:vAlign w:val="bottom"/>
          </w:tcPr>
          <w:p>
            <w:pPr>
              <w:ind w:left="80"/>
              <w:spacing w:after="0"/>
              <w:rPr>
                <w:sz w:val="20"/>
                <w:szCs w:val="20"/>
                <w:color w:val="auto"/>
              </w:rPr>
            </w:pPr>
            <w:r>
              <w:rPr>
                <w:rFonts w:ascii="Arial" w:cs="Arial" w:eastAsia="Arial" w:hAnsi="Arial"/>
                <w:sz w:val="13"/>
                <w:szCs w:val="13"/>
                <w:color w:val="auto"/>
              </w:rPr>
              <w:t>Net loss</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(8,872 )</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left="37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3"/>
                <w:szCs w:val="13"/>
                <w:color w:val="auto"/>
              </w:rPr>
              <w:t>(8,872 )</w:t>
            </w:r>
          </w:p>
        </w:tc>
        <w:tc>
          <w:tcPr>
            <w:tcW w:w="0" w:type="dxa"/>
            <w:vAlign w:val="bottom"/>
          </w:tcPr>
          <w:p>
            <w:pPr>
              <w:spacing w:after="0"/>
              <w:rPr>
                <w:sz w:val="1"/>
                <w:szCs w:val="1"/>
                <w:color w:val="auto"/>
              </w:rPr>
            </w:pPr>
          </w:p>
        </w:tc>
      </w:tr>
      <w:tr>
        <w:trPr>
          <w:trHeight w:val="22"/>
        </w:trPr>
        <w:tc>
          <w:tcPr>
            <w:tcW w:w="23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March 31, 2020</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19,278,606</w:t>
            </w: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178,058</w:t>
            </w:r>
          </w:p>
        </w:tc>
        <w:tc>
          <w:tcPr>
            <w:tcW w:w="240" w:type="dxa"/>
            <w:vAlign w:val="bottom"/>
            <w:tcBorders>
              <w:left w:val="single" w:sz="8" w:color="CFF0FC"/>
              <w:right w:val="single" w:sz="8" w:color="CFF0FC"/>
            </w:tcBorders>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1,997,655</w:t>
            </w:r>
          </w:p>
        </w:tc>
        <w:tc>
          <w:tcPr>
            <w:tcW w:w="24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left w:val="single" w:sz="8" w:color="CFF0FC"/>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ind w:right="34"/>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3,145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(101,562 )</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CFF0FC"/>
            </w:tcBorders>
            <w:gridSpan w:val="2"/>
            <w:shd w:val="clear" w:color="auto" w:fill="CFF0FC"/>
          </w:tcPr>
          <w:p>
            <w:pPr>
              <w:jc w:val="center"/>
              <w:ind w:left="377"/>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(98,417 )</w:t>
            </w:r>
          </w:p>
        </w:tc>
        <w:tc>
          <w:tcPr>
            <w:tcW w:w="0" w:type="dxa"/>
            <w:vAlign w:val="bottom"/>
          </w:tcPr>
          <w:p>
            <w:pPr>
              <w:spacing w:after="0"/>
              <w:rPr>
                <w:sz w:val="1"/>
                <w:szCs w:val="1"/>
                <w:color w:val="auto"/>
              </w:rPr>
            </w:pPr>
          </w:p>
        </w:tc>
      </w:tr>
      <w:tr>
        <w:trPr>
          <w:trHeight w:val="181"/>
        </w:trPr>
        <w:tc>
          <w:tcPr>
            <w:tcW w:w="120" w:type="dxa"/>
            <w:vAlign w:val="bottom"/>
            <w:tcBorders>
              <w:top w:val="single" w:sz="8" w:color="CFF0FC"/>
            </w:tcBorders>
          </w:tcPr>
          <w:p>
            <w:pPr>
              <w:spacing w:after="0"/>
              <w:rPr>
                <w:sz w:val="15"/>
                <w:szCs w:val="15"/>
                <w:color w:val="auto"/>
              </w:rPr>
            </w:pPr>
          </w:p>
        </w:tc>
        <w:tc>
          <w:tcPr>
            <w:tcW w:w="2260" w:type="dxa"/>
            <w:vAlign w:val="bottom"/>
            <w:tcBorders>
              <w:top w:val="single" w:sz="8" w:color="CFF0FC"/>
            </w:tcBorders>
          </w:tcPr>
          <w:p>
            <w:pPr>
              <w:ind w:left="80"/>
              <w:spacing w:after="0"/>
              <w:rPr>
                <w:sz w:val="20"/>
                <w:szCs w:val="20"/>
                <w:color w:val="auto"/>
              </w:rPr>
            </w:pPr>
            <w:r>
              <w:rPr>
                <w:rFonts w:ascii="Arial" w:cs="Arial" w:eastAsia="Arial" w:hAnsi="Arial"/>
                <w:sz w:val="13"/>
                <w:szCs w:val="13"/>
                <w:color w:val="auto"/>
              </w:rPr>
              <w:t>Exercise of common stock options</w:t>
            </w: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23,200</w:t>
            </w: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39</w:t>
            </w: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center"/>
              <w:ind w:left="597"/>
              <w:spacing w:after="0"/>
              <w:rPr>
                <w:sz w:val="20"/>
                <w:szCs w:val="20"/>
                <w:color w:val="auto"/>
              </w:rPr>
            </w:pPr>
            <w:r>
              <w:rPr>
                <w:rFonts w:ascii="Arial" w:cs="Arial" w:eastAsia="Arial" w:hAnsi="Arial"/>
                <w:sz w:val="13"/>
                <w:szCs w:val="13"/>
                <w:color w:val="auto"/>
                <w:w w:val="91"/>
              </w:rPr>
              <w:t>—</w:t>
            </w:r>
          </w:p>
        </w:tc>
        <w:tc>
          <w:tcPr>
            <w:tcW w:w="2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39</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20" w:type="dxa"/>
            <w:vAlign w:val="bottom"/>
            <w:shd w:val="clear" w:color="auto" w:fill="CFF0FC"/>
          </w:tcPr>
          <w:p>
            <w:pPr>
              <w:spacing w:after="0"/>
              <w:rPr>
                <w:sz w:val="17"/>
                <w:szCs w:val="17"/>
                <w:color w:val="auto"/>
              </w:rPr>
            </w:pPr>
          </w:p>
        </w:tc>
        <w:tc>
          <w:tcPr>
            <w:tcW w:w="23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8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1,381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tcBorders>
              <w:right w:val="single" w:sz="8" w:color="CFF0FC"/>
            </w:tcBorders>
            <w:gridSpan w:val="2"/>
            <w:shd w:val="clear" w:color="auto" w:fill="CFF0FC"/>
          </w:tcPr>
          <w:p>
            <w:pPr>
              <w:jc w:val="center"/>
              <w:ind w:left="377"/>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1,381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380" w:type="dxa"/>
            <w:vAlign w:val="bottom"/>
            <w:gridSpan w:val="2"/>
          </w:tcPr>
          <w:p>
            <w:pPr>
              <w:ind w:left="80"/>
              <w:spacing w:after="0"/>
              <w:rPr>
                <w:sz w:val="20"/>
                <w:szCs w:val="20"/>
                <w:color w:val="auto"/>
              </w:rPr>
            </w:pPr>
            <w:r>
              <w:rPr>
                <w:rFonts w:ascii="Arial" w:cs="Arial" w:eastAsia="Arial" w:hAnsi="Arial"/>
                <w:sz w:val="13"/>
                <w:szCs w:val="13"/>
                <w:color w:val="auto"/>
              </w:rPr>
              <w:t>Initial public offering of common stock</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8,625,000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137,999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left="37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138,000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shd w:val="clear" w:color="auto" w:fill="CFF0FC"/>
          </w:tcPr>
          <w:p>
            <w:pPr>
              <w:spacing w:after="0"/>
              <w:rPr>
                <w:sz w:val="15"/>
                <w:szCs w:val="15"/>
                <w:color w:val="auto"/>
              </w:rPr>
            </w:pPr>
          </w:p>
        </w:tc>
        <w:tc>
          <w:tcPr>
            <w:tcW w:w="23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Issuance costs associated with initial</w:t>
            </w:r>
          </w:p>
        </w:tc>
        <w:tc>
          <w:tcPr>
            <w:tcW w:w="800" w:type="dxa"/>
            <w:vAlign w:val="bottom"/>
            <w:shd w:val="clear" w:color="auto" w:fill="CFF0FC"/>
          </w:tcPr>
          <w:p>
            <w:pPr>
              <w:spacing w:after="0"/>
              <w:rPr>
                <w:sz w:val="15"/>
                <w:szCs w:val="15"/>
                <w:color w:val="auto"/>
              </w:rPr>
            </w:pP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tcBorders>
              <w:left w:val="single" w:sz="8" w:color="CFF0FC"/>
              <w:right w:val="single" w:sz="8" w:color="CFF0FC"/>
            </w:tcBorders>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tcBorders>
              <w:left w:val="single" w:sz="8" w:color="CFF0FC"/>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tcBorders>
              <w:lef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20" w:type="dxa"/>
            <w:vAlign w:val="bottom"/>
            <w:shd w:val="clear" w:color="auto" w:fill="CFF0FC"/>
          </w:tcPr>
          <w:p>
            <w:pPr>
              <w:spacing w:after="0"/>
              <w:rPr>
                <w:sz w:val="15"/>
                <w:szCs w:val="15"/>
                <w:color w:val="auto"/>
              </w:rPr>
            </w:pPr>
          </w:p>
        </w:tc>
        <w:tc>
          <w:tcPr>
            <w:tcW w:w="23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public offering</w:t>
            </w:r>
          </w:p>
        </w:tc>
        <w:tc>
          <w:tcPr>
            <w:tcW w:w="10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8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left w:val="single" w:sz="8" w:color="CFF0FC"/>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(12,790 )</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tcBorders>
              <w:right w:val="single" w:sz="8" w:color="CFF0FC"/>
            </w:tcBorders>
            <w:gridSpan w:val="2"/>
            <w:shd w:val="clear" w:color="auto" w:fill="CFF0FC"/>
          </w:tcPr>
          <w:p>
            <w:pPr>
              <w:jc w:val="center"/>
              <w:ind w:left="377"/>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5"/>
                <w:szCs w:val="15"/>
                <w:color w:val="auto"/>
              </w:rPr>
            </w:pP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(12,790 )</w:t>
            </w: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380" w:type="dxa"/>
            <w:vAlign w:val="bottom"/>
            <w:gridSpan w:val="2"/>
          </w:tcPr>
          <w:p>
            <w:pPr>
              <w:ind w:left="80"/>
              <w:spacing w:after="0"/>
              <w:rPr>
                <w:sz w:val="20"/>
                <w:szCs w:val="20"/>
                <w:color w:val="auto"/>
              </w:rPr>
            </w:pPr>
            <w:r>
              <w:rPr>
                <w:rFonts w:ascii="Arial" w:cs="Arial" w:eastAsia="Arial" w:hAnsi="Arial"/>
                <w:sz w:val="13"/>
                <w:szCs w:val="13"/>
                <w:color w:val="auto"/>
              </w:rPr>
              <w:t>Conversion to common stock</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(19,278,606 )</w:t>
            </w: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(178,058 )</w:t>
            </w:r>
          </w:p>
        </w:tc>
        <w:tc>
          <w:tcPr>
            <w:tcW w:w="760" w:type="dxa"/>
            <w:vAlign w:val="bottom"/>
          </w:tcPr>
          <w:p>
            <w:pPr>
              <w:jc w:val="right"/>
              <w:spacing w:after="0"/>
              <w:rPr>
                <w:sz w:val="20"/>
                <w:szCs w:val="20"/>
                <w:color w:val="auto"/>
              </w:rPr>
            </w:pPr>
            <w:r>
              <w:rPr>
                <w:rFonts w:ascii="Arial" w:cs="Arial" w:eastAsia="Arial" w:hAnsi="Arial"/>
                <w:sz w:val="13"/>
                <w:szCs w:val="13"/>
                <w:color w:val="auto"/>
              </w:rPr>
              <w:t>19,278,606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178,056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left="37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178,058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CFF0FC"/>
          </w:tcPr>
          <w:p>
            <w:pPr>
              <w:spacing w:after="0"/>
              <w:rPr>
                <w:sz w:val="16"/>
                <w:szCs w:val="16"/>
                <w:color w:val="auto"/>
              </w:rPr>
            </w:pPr>
          </w:p>
        </w:tc>
        <w:tc>
          <w:tcPr>
            <w:tcW w:w="2260" w:type="dxa"/>
            <w:vAlign w:val="bottom"/>
            <w:shd w:val="clear" w:color="auto" w:fill="CFF0FC"/>
          </w:tcPr>
          <w:p>
            <w:pPr>
              <w:ind w:left="80"/>
              <w:spacing w:after="0"/>
              <w:rPr>
                <w:sz w:val="20"/>
                <w:szCs w:val="20"/>
                <w:color w:val="auto"/>
              </w:rPr>
            </w:pPr>
            <w:r>
              <w:rPr>
                <w:rFonts w:ascii="Arial" w:cs="Arial" w:eastAsia="Arial" w:hAnsi="Arial"/>
                <w:sz w:val="13"/>
                <w:szCs w:val="13"/>
                <w:color w:val="auto"/>
              </w:rPr>
              <w:t>Net loss</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left w:val="single" w:sz="8" w:color="CFF0FC"/>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left w:val="single" w:sz="8" w:color="CFF0FC"/>
              <w:right w:val="single" w:sz="8" w:color="CFF0FC"/>
            </w:tcBorders>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left w:val="single" w:sz="8" w:color="CFF0FC"/>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left w:val="single" w:sz="8" w:color="CFF0FC"/>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(11,024 )</w:t>
            </w: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tcBorders>
              <w:right w:val="single" w:sz="8" w:color="CFF0FC"/>
            </w:tcBorders>
            <w:gridSpan w:val="2"/>
            <w:shd w:val="clear" w:color="auto" w:fill="CFF0FC"/>
          </w:tcPr>
          <w:p>
            <w:pPr>
              <w:jc w:val="center"/>
              <w:ind w:left="377"/>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6"/>
                <w:szCs w:val="16"/>
                <w:color w:val="auto"/>
              </w:rPr>
            </w:pP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(11,024 )</w:t>
            </w:r>
          </w:p>
        </w:tc>
        <w:tc>
          <w:tcPr>
            <w:tcW w:w="0" w:type="dxa"/>
            <w:vAlign w:val="bottom"/>
          </w:tcPr>
          <w:p>
            <w:pPr>
              <w:spacing w:after="0"/>
              <w:rPr>
                <w:sz w:val="1"/>
                <w:szCs w:val="1"/>
                <w:color w:val="auto"/>
              </w:rPr>
            </w:pPr>
          </w:p>
        </w:tc>
      </w:tr>
      <w:tr>
        <w:trPr>
          <w:trHeight w:val="22"/>
        </w:trPr>
        <w:tc>
          <w:tcPr>
            <w:tcW w:w="12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left w:val="single" w:sz="8" w:color="CFF0FC"/>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 at June 30, 2020</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29,924,461</w:t>
            </w:r>
          </w:p>
        </w:tc>
        <w:tc>
          <w:tcPr>
            <w:tcW w:w="240" w:type="dxa"/>
            <w:vAlign w:val="bottom"/>
          </w:tcPr>
          <w:p>
            <w:pPr>
              <w:spacing w:after="0"/>
              <w:rPr>
                <w:sz w:val="15"/>
                <w:szCs w:val="15"/>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w:t>
            </w:r>
          </w:p>
        </w:tc>
        <w:tc>
          <w:tcPr>
            <w:tcW w:w="240" w:type="dxa"/>
            <w:vAlign w:val="bottom"/>
          </w:tcPr>
          <w:p>
            <w:pPr>
              <w:spacing w:after="0"/>
              <w:rPr>
                <w:sz w:val="15"/>
                <w:szCs w:val="15"/>
                <w:color w:val="auto"/>
              </w:rPr>
            </w:pP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307,830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(112,586 )</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center"/>
              <w:ind w:left="377"/>
              <w:spacing w:after="0"/>
              <w:rPr>
                <w:sz w:val="20"/>
                <w:szCs w:val="20"/>
                <w:color w:val="auto"/>
              </w:rPr>
            </w:pPr>
            <w:r>
              <w:rPr>
                <w:rFonts w:ascii="Arial" w:cs="Arial" w:eastAsia="Arial" w:hAnsi="Arial"/>
                <w:sz w:val="13"/>
                <w:szCs w:val="13"/>
                <w:color w:val="auto"/>
                <w:w w:val="91"/>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195,247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-3211195</wp:posOffset>
            </wp:positionV>
            <wp:extent cx="15430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-3211195</wp:posOffset>
            </wp:positionV>
            <wp:extent cx="15430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-3211195</wp:posOffset>
            </wp:positionV>
            <wp:extent cx="13716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-3211195</wp:posOffset>
            </wp:positionV>
            <wp:extent cx="13716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-3211195</wp:posOffset>
            </wp:positionV>
            <wp:extent cx="13716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-3211195</wp:posOffset>
            </wp:positionV>
            <wp:extent cx="13716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-3211195</wp:posOffset>
            </wp:positionV>
            <wp:extent cx="13716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-3211195</wp:posOffset>
            </wp:positionV>
            <wp:extent cx="6858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-2365375</wp:posOffset>
            </wp:positionV>
            <wp:extent cx="1543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-2348230</wp:posOffset>
            </wp:positionV>
            <wp:extent cx="1543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-2365375</wp:posOffset>
            </wp:positionV>
            <wp:extent cx="1543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-2348230</wp:posOffset>
            </wp:positionV>
            <wp:extent cx="1543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-2365375</wp:posOffset>
            </wp:positionV>
            <wp:extent cx="137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-2348230</wp:posOffset>
            </wp:positionV>
            <wp:extent cx="137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-2365375</wp:posOffset>
            </wp:positionV>
            <wp:extent cx="137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-2348230</wp:posOffset>
            </wp:positionV>
            <wp:extent cx="137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-2365375</wp:posOffset>
            </wp:positionV>
            <wp:extent cx="137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-2348230</wp:posOffset>
            </wp:positionV>
            <wp:extent cx="137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-2365375</wp:posOffset>
            </wp:positionV>
            <wp:extent cx="137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-2348230</wp:posOffset>
            </wp:positionV>
            <wp:extent cx="137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-2365375</wp:posOffset>
            </wp:positionV>
            <wp:extent cx="137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-2348230</wp:posOffset>
            </wp:positionV>
            <wp:extent cx="137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-2365375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-2348230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-982345</wp:posOffset>
            </wp:positionV>
            <wp:extent cx="16256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-982345</wp:posOffset>
            </wp:positionV>
            <wp:extent cx="12001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-982345</wp:posOffset>
            </wp:positionV>
            <wp:extent cx="14605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-982345</wp:posOffset>
            </wp:positionV>
            <wp:extent cx="13716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-982345</wp:posOffset>
            </wp:positionV>
            <wp:extent cx="14605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-982345</wp:posOffset>
            </wp:positionV>
            <wp:extent cx="14605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-982345</wp:posOffset>
            </wp:positionV>
            <wp:extent cx="14605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-982345</wp:posOffset>
            </wp:positionV>
            <wp:extent cx="6858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-150495</wp:posOffset>
            </wp:positionV>
            <wp:extent cx="16256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-150495</wp:posOffset>
            </wp:positionV>
            <wp:extent cx="12001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-150495</wp:posOffset>
            </wp:positionV>
            <wp:extent cx="14605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-150495</wp:posOffset>
            </wp:positionV>
            <wp:extent cx="13716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-150495</wp:posOffset>
            </wp:positionV>
            <wp:extent cx="14605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-150495</wp:posOffset>
            </wp:positionV>
            <wp:extent cx="14605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-150495</wp:posOffset>
            </wp:positionV>
            <wp:extent cx="14605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-150495</wp:posOffset>
            </wp:positionV>
            <wp:extent cx="6858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ORIC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7"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Six Months Ended</w:t>
      </w:r>
    </w:p>
    <w:p>
      <w:pPr>
        <w:spacing w:after="0" w:line="25"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17145</wp:posOffset>
            </wp:positionV>
            <wp:extent cx="215138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1380" cy="2603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5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40" w:type="dxa"/>
            <w:vAlign w:val="bottom"/>
          </w:tcPr>
          <w:p>
            <w:pPr>
              <w:ind w:left="28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(37,518 )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(19,896 )</w:t>
            </w:r>
          </w:p>
        </w:tc>
      </w:tr>
      <w:tr>
        <w:trPr>
          <w:trHeight w:val="263"/>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40" w:type="dxa"/>
            <w:vAlign w:val="bottom"/>
          </w:tcPr>
          <w:p>
            <w:pPr>
              <w:ind w:left="520"/>
              <w:spacing w:after="0"/>
              <w:rPr>
                <w:sz w:val="20"/>
                <w:szCs w:val="20"/>
                <w:color w:val="auto"/>
              </w:rPr>
            </w:pPr>
            <w:r>
              <w:rPr>
                <w:rFonts w:ascii="Arial" w:cs="Arial" w:eastAsia="Arial" w:hAnsi="Arial"/>
                <w:sz w:val="18"/>
                <w:szCs w:val="18"/>
                <w:color w:val="auto"/>
              </w:rPr>
              <w:t>Depreciation</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451</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r>
      <w:tr>
        <w:trPr>
          <w:trHeight w:val="263"/>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5,957</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100" w:type="dxa"/>
            <w:vAlign w:val="bottom"/>
            <w:shd w:val="clear" w:color="auto" w:fill="CFF0FC"/>
          </w:tcPr>
          <w:p>
            <w:pPr>
              <w:spacing w:after="0"/>
              <w:rPr>
                <w:sz w:val="22"/>
                <w:szCs w:val="22"/>
                <w:color w:val="auto"/>
              </w:rPr>
            </w:pPr>
          </w:p>
        </w:tc>
      </w:tr>
      <w:tr>
        <w:trPr>
          <w:trHeight w:val="250"/>
        </w:trPr>
        <w:tc>
          <w:tcPr>
            <w:tcW w:w="7740" w:type="dxa"/>
            <w:vAlign w:val="bottom"/>
          </w:tcPr>
          <w:p>
            <w:pPr>
              <w:ind w:left="520"/>
              <w:spacing w:after="0"/>
              <w:rPr>
                <w:sz w:val="20"/>
                <w:szCs w:val="20"/>
                <w:color w:val="auto"/>
              </w:rPr>
            </w:pPr>
            <w:r>
              <w:rPr>
                <w:rFonts w:ascii="Arial" w:cs="Arial" w:eastAsia="Arial" w:hAnsi="Arial"/>
                <w:sz w:val="18"/>
                <w:szCs w:val="18"/>
                <w:color w:val="auto"/>
              </w:rPr>
              <w:t>Loss on fixed asset disposals</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Amortization of premium on investments, net</w:t>
            </w:r>
          </w:p>
        </w:tc>
        <w:tc>
          <w:tcPr>
            <w:tcW w:w="96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74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Prepaid expenses and other assets</w:t>
            </w:r>
          </w:p>
        </w:tc>
        <w:tc>
          <w:tcPr>
            <w:tcW w:w="96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(1,746 )</w:t>
            </w:r>
          </w:p>
        </w:tc>
      </w:tr>
      <w:tr>
        <w:trPr>
          <w:trHeight w:val="250"/>
        </w:trPr>
        <w:tc>
          <w:tcPr>
            <w:tcW w:w="7740" w:type="dxa"/>
            <w:vAlign w:val="bottom"/>
          </w:tcPr>
          <w:p>
            <w:pPr>
              <w:ind w:left="520"/>
              <w:spacing w:after="0"/>
              <w:rPr>
                <w:sz w:val="20"/>
                <w:szCs w:val="20"/>
                <w:color w:val="auto"/>
              </w:rPr>
            </w:pPr>
            <w:r>
              <w:rPr>
                <w:rFonts w:ascii="Arial" w:cs="Arial" w:eastAsia="Arial" w:hAnsi="Arial"/>
                <w:sz w:val="18"/>
                <w:szCs w:val="18"/>
                <w:color w:val="auto"/>
              </w:rPr>
              <w:t>Accounts payable and accrued other liabilities</w:t>
            </w:r>
          </w:p>
        </w:tc>
        <w:tc>
          <w:tcPr>
            <w:tcW w:w="9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(1,185 )</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21"/>
                <w:szCs w:val="21"/>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40" w:type="dxa"/>
            <w:vAlign w:val="bottom"/>
            <w:shd w:val="clear" w:color="auto" w:fill="CFF0FC"/>
          </w:tcPr>
          <w:p>
            <w:pPr>
              <w:ind w:left="102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1"/>
              </w:rPr>
              <w:t>(31,115 )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(17,863 )</w:t>
            </w:r>
          </w:p>
        </w:tc>
      </w:tr>
      <w:tr>
        <w:trPr>
          <w:trHeight w:val="256"/>
        </w:trPr>
        <w:tc>
          <w:tcPr>
            <w:tcW w:w="7740" w:type="dxa"/>
            <w:vAlign w:val="bottom"/>
            <w:tcBorders>
              <w:top w:val="single" w:sz="8" w:color="CFF0FC"/>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300" w:type="dxa"/>
            <w:vAlign w:val="bottom"/>
            <w:tcBorders>
              <w:top w:val="single" w:sz="8" w:color="CFF0FC"/>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r>
      <w:tr>
        <w:trPr>
          <w:trHeight w:val="25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40" w:type="dxa"/>
            <w:vAlign w:val="bottom"/>
          </w:tcPr>
          <w:p>
            <w:pPr>
              <w:ind w:left="280"/>
              <w:spacing w:after="0"/>
              <w:rPr>
                <w:sz w:val="20"/>
                <w:szCs w:val="20"/>
                <w:color w:val="auto"/>
              </w:rPr>
            </w:pPr>
            <w:r>
              <w:rPr>
                <w:rFonts w:ascii="Arial" w:cs="Arial" w:eastAsia="Arial" w:hAnsi="Arial"/>
                <w:sz w:val="18"/>
                <w:szCs w:val="18"/>
                <w:color w:val="auto"/>
              </w:rPr>
              <w:t>Acquisitions of property and equipment</w:t>
            </w:r>
          </w:p>
        </w:tc>
        <w:tc>
          <w:tcPr>
            <w:tcW w:w="9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(317 )</w:t>
            </w:r>
          </w:p>
        </w:tc>
        <w:tc>
          <w:tcPr>
            <w:tcW w:w="36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(206 )</w:t>
            </w:r>
          </w:p>
        </w:tc>
      </w:tr>
      <w:tr>
        <w:trPr>
          <w:trHeight w:val="263"/>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Purchases of investments</w:t>
            </w:r>
          </w:p>
        </w:tc>
        <w:tc>
          <w:tcPr>
            <w:tcW w:w="96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1"/>
              </w:rPr>
              <w:t>(25,171 )</w:t>
            </w:r>
          </w:p>
        </w:tc>
        <w:tc>
          <w:tcPr>
            <w:tcW w:w="36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740" w:type="dxa"/>
            <w:vAlign w:val="bottom"/>
          </w:tcPr>
          <w:p>
            <w:pPr>
              <w:ind w:left="280"/>
              <w:spacing w:after="0"/>
              <w:rPr>
                <w:sz w:val="20"/>
                <w:szCs w:val="20"/>
                <w:color w:val="auto"/>
              </w:rPr>
            </w:pPr>
            <w:r>
              <w:rPr>
                <w:rFonts w:ascii="Arial" w:cs="Arial" w:eastAsia="Arial" w:hAnsi="Arial"/>
                <w:sz w:val="18"/>
                <w:szCs w:val="18"/>
                <w:color w:val="auto"/>
              </w:rPr>
              <w:t>Sales and maturities of investments</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148,500</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7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Proceeds from notes receivable</w:t>
            </w:r>
          </w:p>
        </w:tc>
        <w:tc>
          <w:tcPr>
            <w:tcW w:w="96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740" w:type="dxa"/>
            <w:vAlign w:val="bottom"/>
          </w:tcPr>
          <w:p>
            <w:pPr>
              <w:ind w:left="1020"/>
              <w:spacing w:after="0"/>
              <w:rPr>
                <w:sz w:val="20"/>
                <w:szCs w:val="20"/>
                <w:color w:val="auto"/>
              </w:rPr>
            </w:pPr>
            <w:r>
              <w:rPr>
                <w:rFonts w:ascii="Arial" w:cs="Arial" w:eastAsia="Arial" w:hAnsi="Arial"/>
                <w:sz w:val="18"/>
                <w:szCs w:val="18"/>
                <w:color w:val="auto"/>
              </w:rPr>
              <w:t>Net cash provided by (used in) investing activities</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123,012</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(13 )</w:t>
            </w:r>
          </w:p>
        </w:tc>
      </w:tr>
      <w:tr>
        <w:trPr>
          <w:trHeight w:val="256"/>
        </w:trPr>
        <w:tc>
          <w:tcPr>
            <w:tcW w:w="7740" w:type="dxa"/>
            <w:vAlign w:val="bottom"/>
            <w:shd w:val="clear" w:color="auto" w:fill="CFF0FC"/>
          </w:tcPr>
          <w:p>
            <w:pPr>
              <w:spacing w:after="0"/>
              <w:rPr>
                <w:sz w:val="22"/>
                <w:szCs w:val="22"/>
                <w:color w:val="auto"/>
              </w:rPr>
            </w:pPr>
          </w:p>
        </w:tc>
        <w:tc>
          <w:tcPr>
            <w:tcW w:w="960" w:type="dxa"/>
            <w:vAlign w:val="bottom"/>
            <w:tcBorders>
              <w:top w:val="single" w:sz="8" w:color="auto"/>
            </w:tcBorders>
            <w:shd w:val="clear" w:color="auto" w:fill="CFF0FC"/>
          </w:tcPr>
          <w:p>
            <w:pPr>
              <w:spacing w:after="0"/>
              <w:rPr>
                <w:sz w:val="22"/>
                <w:szCs w:val="22"/>
                <w:color w:val="auto"/>
              </w:rPr>
            </w:pPr>
          </w:p>
        </w:tc>
        <w:tc>
          <w:tcPr>
            <w:tcW w:w="600" w:type="dxa"/>
            <w:vAlign w:val="bottom"/>
            <w:tcBorders>
              <w:top w:val="single" w:sz="8" w:color="auto"/>
            </w:tcBorders>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60" w:type="dxa"/>
            <w:vAlign w:val="bottom"/>
            <w:tcBorders>
              <w:top w:val="single" w:sz="8" w:color="auto"/>
            </w:tcBorders>
            <w:shd w:val="clear" w:color="auto" w:fill="CFF0FC"/>
          </w:tcPr>
          <w:p>
            <w:pPr>
              <w:spacing w:after="0"/>
              <w:rPr>
                <w:sz w:val="22"/>
                <w:szCs w:val="22"/>
                <w:color w:val="auto"/>
              </w:rPr>
            </w:pPr>
          </w:p>
        </w:tc>
        <w:tc>
          <w:tcPr>
            <w:tcW w:w="118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96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138,000</w:t>
            </w:r>
          </w:p>
        </w:tc>
        <w:tc>
          <w:tcPr>
            <w:tcW w:w="100" w:type="dxa"/>
            <w:vAlign w:val="bottom"/>
            <w:shd w:val="clear" w:color="auto" w:fill="CFF0FC"/>
          </w:tcPr>
          <w:p>
            <w:pPr>
              <w:spacing w:after="0"/>
              <w:rPr>
                <w:sz w:val="22"/>
                <w:szCs w:val="22"/>
                <w:color w:val="auto"/>
              </w:rPr>
            </w:pPr>
          </w:p>
        </w:tc>
      </w:tr>
      <w:tr>
        <w:trPr>
          <w:trHeight w:val="250"/>
        </w:trPr>
        <w:tc>
          <w:tcPr>
            <w:tcW w:w="7740" w:type="dxa"/>
            <w:vAlign w:val="bottom"/>
          </w:tcPr>
          <w:p>
            <w:pPr>
              <w:ind w:left="280"/>
              <w:spacing w:after="0"/>
              <w:rPr>
                <w:sz w:val="20"/>
                <w:szCs w:val="20"/>
                <w:color w:val="auto"/>
              </w:rPr>
            </w:pPr>
            <w:r>
              <w:rPr>
                <w:rFonts w:ascii="Arial" w:cs="Arial" w:eastAsia="Arial" w:hAnsi="Arial"/>
                <w:sz w:val="18"/>
                <w:szCs w:val="18"/>
                <w:color w:val="auto"/>
              </w:rPr>
              <w:t>Issuance costs associated with financings</w:t>
            </w:r>
          </w:p>
        </w:tc>
        <w:tc>
          <w:tcPr>
            <w:tcW w:w="9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(339 )</w:t>
            </w:r>
          </w:p>
        </w:tc>
        <w:tc>
          <w:tcPr>
            <w:tcW w:w="36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(12,692 )</w:t>
            </w:r>
          </w:p>
        </w:tc>
      </w:tr>
      <w:tr>
        <w:trPr>
          <w:trHeight w:val="257"/>
        </w:trPr>
        <w:tc>
          <w:tcPr>
            <w:tcW w:w="7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Proceeds from stock option exercises</w:t>
            </w:r>
          </w:p>
        </w:tc>
        <w:tc>
          <w:tcPr>
            <w:tcW w:w="96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740" w:type="dxa"/>
            <w:vAlign w:val="bottom"/>
          </w:tcPr>
          <w:p>
            <w:pPr>
              <w:ind w:left="1020"/>
              <w:spacing w:after="0"/>
              <w:rPr>
                <w:sz w:val="20"/>
                <w:szCs w:val="20"/>
                <w:color w:val="auto"/>
              </w:rPr>
            </w:pPr>
            <w:r>
              <w:rPr>
                <w:rFonts w:ascii="Arial" w:cs="Arial" w:eastAsia="Arial" w:hAnsi="Arial"/>
                <w:sz w:val="18"/>
                <w:szCs w:val="18"/>
                <w:color w:val="auto"/>
              </w:rPr>
              <w:t>Net cash (used in) provided by financing activities</w:t>
            </w:r>
          </w:p>
        </w:tc>
        <w:tc>
          <w:tcPr>
            <w:tcW w:w="9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(265 )</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125,359</w:t>
            </w:r>
          </w:p>
        </w:tc>
        <w:tc>
          <w:tcPr>
            <w:tcW w:w="100" w:type="dxa"/>
            <w:vAlign w:val="bottom"/>
          </w:tcPr>
          <w:p>
            <w:pPr>
              <w:spacing w:after="0"/>
              <w:rPr>
                <w:sz w:val="21"/>
                <w:szCs w:val="21"/>
                <w:color w:val="auto"/>
              </w:rPr>
            </w:pPr>
          </w:p>
        </w:tc>
      </w:tr>
      <w:tr>
        <w:trPr>
          <w:trHeight w:val="257"/>
        </w:trPr>
        <w:tc>
          <w:tcPr>
            <w:tcW w:w="7740" w:type="dxa"/>
            <w:vAlign w:val="bottom"/>
            <w:shd w:val="clear" w:color="auto" w:fill="CFF0FC"/>
          </w:tcPr>
          <w:p>
            <w:pPr>
              <w:spacing w:after="0"/>
              <w:rPr>
                <w:sz w:val="22"/>
                <w:szCs w:val="22"/>
                <w:color w:val="auto"/>
              </w:rPr>
            </w:pPr>
          </w:p>
        </w:tc>
        <w:tc>
          <w:tcPr>
            <w:tcW w:w="960" w:type="dxa"/>
            <w:vAlign w:val="bottom"/>
            <w:tcBorders>
              <w:top w:val="single" w:sz="8" w:color="auto"/>
            </w:tcBorders>
            <w:shd w:val="clear" w:color="auto" w:fill="CFF0FC"/>
          </w:tcPr>
          <w:p>
            <w:pPr>
              <w:spacing w:after="0"/>
              <w:rPr>
                <w:sz w:val="22"/>
                <w:szCs w:val="22"/>
                <w:color w:val="auto"/>
              </w:rPr>
            </w:pPr>
          </w:p>
        </w:tc>
        <w:tc>
          <w:tcPr>
            <w:tcW w:w="600" w:type="dxa"/>
            <w:vAlign w:val="bottom"/>
            <w:tcBorders>
              <w:top w:val="single" w:sz="8" w:color="auto"/>
            </w:tcBorders>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60" w:type="dxa"/>
            <w:vAlign w:val="bottom"/>
            <w:tcBorders>
              <w:top w:val="single" w:sz="8" w:color="auto"/>
            </w:tcBorders>
            <w:shd w:val="clear" w:color="auto" w:fill="CFF0FC"/>
          </w:tcPr>
          <w:p>
            <w:pPr>
              <w:spacing w:after="0"/>
              <w:rPr>
                <w:sz w:val="22"/>
                <w:szCs w:val="22"/>
                <w:color w:val="auto"/>
              </w:rPr>
            </w:pPr>
          </w:p>
        </w:tc>
        <w:tc>
          <w:tcPr>
            <w:tcW w:w="118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4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91,632</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107,483</w:t>
            </w:r>
          </w:p>
        </w:tc>
        <w:tc>
          <w:tcPr>
            <w:tcW w:w="100" w:type="dxa"/>
            <w:vAlign w:val="bottom"/>
          </w:tcPr>
          <w:p>
            <w:pPr>
              <w:spacing w:after="0"/>
              <w:rPr>
                <w:sz w:val="21"/>
                <w:szCs w:val="21"/>
                <w:color w:val="auto"/>
              </w:rPr>
            </w:pPr>
          </w:p>
        </w:tc>
      </w:tr>
      <w:tr>
        <w:trPr>
          <w:trHeight w:val="263"/>
        </w:trPr>
        <w:tc>
          <w:tcPr>
            <w:tcW w:w="77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4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9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78,446</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89,159</w:t>
            </w:r>
          </w:p>
        </w:tc>
        <w:tc>
          <w:tcPr>
            <w:tcW w:w="100" w:type="dxa"/>
            <w:vAlign w:val="bottom"/>
          </w:tcPr>
          <w:p>
            <w:pPr>
              <w:spacing w:after="0"/>
              <w:rPr>
                <w:sz w:val="21"/>
                <w:szCs w:val="21"/>
                <w:color w:val="auto"/>
              </w:rPr>
            </w:pPr>
          </w:p>
        </w:tc>
      </w:tr>
      <w:tr>
        <w:trPr>
          <w:trHeight w:val="290"/>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170,078</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196,642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43"/>
        </w:trPr>
        <w:tc>
          <w:tcPr>
            <w:tcW w:w="7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96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40" w:type="dxa"/>
            <w:vAlign w:val="bottom"/>
          </w:tcPr>
          <w:p>
            <w:pPr>
              <w:ind w:left="280"/>
              <w:spacing w:after="0"/>
              <w:rPr>
                <w:sz w:val="20"/>
                <w:szCs w:val="20"/>
                <w:color w:val="auto"/>
              </w:rPr>
            </w:pPr>
            <w:r>
              <w:rPr>
                <w:rFonts w:ascii="Arial" w:cs="Arial" w:eastAsia="Arial" w:hAnsi="Arial"/>
                <w:sz w:val="18"/>
                <w:szCs w:val="18"/>
                <w:color w:val="auto"/>
              </w:rPr>
              <w:t>Amounts accrued for purchase of property and equipment</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r>
      <w:tr>
        <w:trPr>
          <w:trHeight w:val="263"/>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Conversion of preferred stock to common stock</w:t>
            </w:r>
          </w:p>
        </w:tc>
        <w:tc>
          <w:tcPr>
            <w:tcW w:w="960" w:type="dxa"/>
            <w:vAlign w:val="bottom"/>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178,058</w:t>
            </w:r>
          </w:p>
        </w:tc>
        <w:tc>
          <w:tcPr>
            <w:tcW w:w="10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-3656965</wp:posOffset>
            </wp:positionV>
            <wp:extent cx="17970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-3656965</wp:posOffset>
            </wp:positionV>
            <wp:extent cx="6858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-2670810</wp:posOffset>
            </wp:positionV>
            <wp:extent cx="17970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-2670810</wp:posOffset>
            </wp:positionV>
            <wp:extent cx="6858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-1676400</wp:posOffset>
            </wp:positionV>
            <wp:extent cx="17970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-1676400</wp:posOffset>
            </wp:positionV>
            <wp:extent cx="6858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-676910</wp:posOffset>
            </wp:positionV>
            <wp:extent cx="1797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-659765</wp:posOffset>
            </wp:positionV>
            <wp:extent cx="1797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ORIC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FINANCIAL STATEMENTS</w:t>
      </w:r>
    </w:p>
    <w:p>
      <w:pPr>
        <w:spacing w:after="0" w:line="126"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Description of the Business</w:t>
      </w:r>
    </w:p>
    <w:p>
      <w:pPr>
        <w:spacing w:after="0" w:line="135" w:lineRule="exact"/>
        <w:rPr>
          <w:sz w:val="20"/>
          <w:szCs w:val="20"/>
          <w:color w:val="auto"/>
        </w:rPr>
      </w:pPr>
    </w:p>
    <w:p>
      <w:pPr>
        <w:jc w:val="both"/>
        <w:ind w:right="300" w:firstLine="648"/>
        <w:spacing w:after="0" w:line="303" w:lineRule="auto"/>
        <w:rPr>
          <w:sz w:val="20"/>
          <w:szCs w:val="20"/>
          <w:color w:val="auto"/>
        </w:rPr>
      </w:pPr>
      <w:r>
        <w:rPr>
          <w:rFonts w:ascii="Arial" w:cs="Arial" w:eastAsia="Arial" w:hAnsi="Arial"/>
          <w:sz w:val="17"/>
          <w:szCs w:val="17"/>
          <w:color w:val="auto"/>
        </w:rPr>
        <w:t xml:space="preserve">ORIC Pharmaceuticals, Inc. (ORIC or the Company) is a clinical-stage biopharmaceutical company dedicated to improving patients’ lives by </w:t>
      </w:r>
      <w:r>
        <w:rPr>
          <w:rFonts w:ascii="Arial" w:cs="Arial" w:eastAsia="Arial" w:hAnsi="Arial"/>
          <w:sz w:val="17"/>
          <w:szCs w:val="17"/>
          <w:i w:val="1"/>
          <w:iCs w:val="1"/>
          <w:u w:val="single" w:color="auto"/>
          <w:color w:val="auto"/>
        </w:rPr>
        <w:t>O</w:t>
      </w:r>
      <w:r>
        <w:rPr>
          <w:rFonts w:ascii="Arial" w:cs="Arial" w:eastAsia="Arial" w:hAnsi="Arial"/>
          <w:sz w:val="17"/>
          <w:szCs w:val="17"/>
          <w:i w:val="1"/>
          <w:iCs w:val="1"/>
          <w:color w:val="auto"/>
        </w:rPr>
        <w:t xml:space="preserve">vercoming </w:t>
      </w:r>
      <w:r>
        <w:rPr>
          <w:rFonts w:ascii="Arial" w:cs="Arial" w:eastAsia="Arial" w:hAnsi="Arial"/>
          <w:sz w:val="17"/>
          <w:szCs w:val="17"/>
          <w:i w:val="1"/>
          <w:iCs w:val="1"/>
          <w:u w:val="single" w:color="auto"/>
          <w:color w:val="auto"/>
        </w:rPr>
        <w:t>R</w:t>
      </w:r>
      <w:r>
        <w:rPr>
          <w:rFonts w:ascii="Arial" w:cs="Arial" w:eastAsia="Arial" w:hAnsi="Arial"/>
          <w:sz w:val="17"/>
          <w:szCs w:val="17"/>
          <w:i w:val="1"/>
          <w:iCs w:val="1"/>
          <w:color w:val="auto"/>
        </w:rPr>
        <w:t xml:space="preserve">esistance </w:t>
      </w:r>
      <w:r>
        <w:rPr>
          <w:rFonts w:ascii="Arial" w:cs="Arial" w:eastAsia="Arial" w:hAnsi="Arial"/>
          <w:sz w:val="17"/>
          <w:szCs w:val="17"/>
          <w:i w:val="1"/>
          <w:iCs w:val="1"/>
          <w:u w:val="single" w:color="auto"/>
          <w:color w:val="auto"/>
        </w:rPr>
        <w:t>I</w:t>
      </w:r>
      <w:r>
        <w:rPr>
          <w:rFonts w:ascii="Arial" w:cs="Arial" w:eastAsia="Arial" w:hAnsi="Arial"/>
          <w:sz w:val="17"/>
          <w:szCs w:val="17"/>
          <w:i w:val="1"/>
          <w:iCs w:val="1"/>
          <w:color w:val="auto"/>
        </w:rPr>
        <w:t xml:space="preserve">n </w:t>
      </w:r>
      <w:r>
        <w:rPr>
          <w:rFonts w:ascii="Arial" w:cs="Arial" w:eastAsia="Arial" w:hAnsi="Arial"/>
          <w:sz w:val="17"/>
          <w:szCs w:val="17"/>
          <w:i w:val="1"/>
          <w:iCs w:val="1"/>
          <w:u w:val="single" w:color="auto"/>
          <w:color w:val="auto"/>
        </w:rPr>
        <w:t>C</w:t>
      </w:r>
      <w:r>
        <w:rPr>
          <w:rFonts w:ascii="Arial" w:cs="Arial" w:eastAsia="Arial" w:hAnsi="Arial"/>
          <w:sz w:val="17"/>
          <w:szCs w:val="17"/>
          <w:i w:val="1"/>
          <w:iCs w:val="1"/>
          <w:color w:val="auto"/>
        </w:rPr>
        <w:t>ancer</w:t>
      </w:r>
      <w:r>
        <w:rPr>
          <w:rFonts w:ascii="Arial" w:cs="Arial" w:eastAsia="Arial" w:hAnsi="Arial"/>
          <w:sz w:val="17"/>
          <w:szCs w:val="17"/>
          <w:color w:val="auto"/>
        </w:rPr>
        <w:t>. The Company was incorporated in Delaware in August 2014 and has offices in South San Francisco and San Diego,</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The Company’s principal operations are in the United States and the Company operates in one segment.</w:t>
      </w:r>
    </w:p>
    <w:p>
      <w:pPr>
        <w:spacing w:after="0" w:line="56" w:lineRule="exact"/>
        <w:rPr>
          <w:sz w:val="20"/>
          <w:szCs w:val="20"/>
          <w:color w:val="auto"/>
        </w:rPr>
      </w:pPr>
    </w:p>
    <w:p>
      <w:pPr>
        <w:ind w:right="40" w:firstLine="648"/>
        <w:spacing w:after="0" w:line="271" w:lineRule="auto"/>
        <w:rPr>
          <w:sz w:val="20"/>
          <w:szCs w:val="20"/>
          <w:color w:val="auto"/>
        </w:rPr>
      </w:pPr>
      <w:r>
        <w:rPr>
          <w:rFonts w:ascii="Arial" w:cs="Arial" w:eastAsia="Arial" w:hAnsi="Arial"/>
          <w:sz w:val="18"/>
          <w:szCs w:val="18"/>
          <w:color w:val="auto"/>
        </w:rPr>
        <w:t>Since inception, the Company has devoted its primary efforts to raising capital, internal research and development activities and business development efforts, and has incurred significant operating losses and negative cash flows from operations. In August 2020, the Company licensed from Mirati Therapeutics, Inc. development and commercialization rights to an allosteric inhibitor program directed towards the polycomb repressive complex 2 (PRC2) and in October 2020, the Company licensed from Voronoi, Inc. development and commercialization rights to a brain penetrant, orally bioavailable, irreversible inhibitor designed to selectively target epidermal growth factor receptor (EGFR) and human epidermal growth factor receptor 2 (HER2) with high potency against exon 20 insertion mutations.</w:t>
      </w:r>
    </w:p>
    <w:p>
      <w:pPr>
        <w:spacing w:after="0" w:line="83" w:lineRule="exact"/>
        <w:rPr>
          <w:sz w:val="20"/>
          <w:szCs w:val="20"/>
          <w:color w:val="auto"/>
        </w:rPr>
      </w:pPr>
    </w:p>
    <w:p>
      <w:pPr>
        <w:ind w:right="180" w:firstLine="648"/>
        <w:spacing w:after="0" w:line="293" w:lineRule="auto"/>
        <w:rPr>
          <w:sz w:val="20"/>
          <w:szCs w:val="20"/>
          <w:color w:val="auto"/>
        </w:rPr>
      </w:pPr>
      <w:r>
        <w:rPr>
          <w:rFonts w:ascii="Arial" w:cs="Arial" w:eastAsia="Arial" w:hAnsi="Arial"/>
          <w:sz w:val="18"/>
          <w:szCs w:val="18"/>
          <w:color w:val="auto"/>
        </w:rPr>
        <w:t>As of June 30, 2021, the Company had an accumulated deficit of $203.9 million. Through June 30, 2021, all of the Company’s financial support has been provided by proceeds from the issuance of common stock and from the sale of convertible preferred stock.</w:t>
      </w:r>
    </w:p>
    <w:p>
      <w:pPr>
        <w:spacing w:after="0" w:line="62"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As the Company continues its expansion, it may seek additional financing and/or strategic investments, however, there can be no assurance that any additional financing or strategic investments will be available to the Company on acceptable terms, if at all. If events or circumstances occur such that the Company does not obtain additional funding, it will most likely be required to reduce its plans and/or certain discretionary spending, which could have a material adverse effect on the Company’s ability to achieve its intended business objectives. The accompanying financial statements do not include any adjustments that might be necessary if it were unable to continue as a going concern. Management believes that it has sufficient working capital on hand to fund operations through at least the next twelve months from the date of the issuance of these financial statements.</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At-The-Market Sales Agreement and Offering</w:t>
      </w:r>
    </w:p>
    <w:p>
      <w:pPr>
        <w:spacing w:after="0" w:line="131" w:lineRule="exact"/>
        <w:rPr>
          <w:sz w:val="20"/>
          <w:szCs w:val="20"/>
          <w:color w:val="auto"/>
        </w:rPr>
      </w:pPr>
    </w:p>
    <w:p>
      <w:pPr>
        <w:ind w:right="180" w:firstLine="648"/>
        <w:spacing w:after="0" w:line="292" w:lineRule="auto"/>
        <w:rPr>
          <w:sz w:val="20"/>
          <w:szCs w:val="20"/>
          <w:color w:val="auto"/>
        </w:rPr>
      </w:pPr>
      <w:r>
        <w:rPr>
          <w:rFonts w:ascii="Arial" w:cs="Arial" w:eastAsia="Arial" w:hAnsi="Arial"/>
          <w:sz w:val="17"/>
          <w:szCs w:val="17"/>
          <w:color w:val="auto"/>
        </w:rPr>
        <w:t>On May 6, 2021, the Company entered into an "at the market" (ATM) sales agreement with Jefferies LLC as the Company's sales agent, under which the Company may offer and sell from time to time up to $150 million of shares of the Company's common stock in negotiated transactions or transactions that are deemed to be an ATM offering. On July 8, 2021, the Company raised gross proceeds of $50.0 million through the sale of 2,597,402 shares in an ATM offering, with participation based on unsolicited interest received from a healthcare specialist fund. The Company sold such shares at a purchase price per share of $19.25, a premium to the market price at the time of sale.</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Secondary Public Offering</w:t>
      </w:r>
    </w:p>
    <w:p>
      <w:pPr>
        <w:spacing w:after="0" w:line="131" w:lineRule="exact"/>
        <w:rPr>
          <w:sz w:val="20"/>
          <w:szCs w:val="20"/>
          <w:color w:val="auto"/>
        </w:rPr>
      </w:pPr>
    </w:p>
    <w:p>
      <w:pPr>
        <w:ind w:firstLine="648"/>
        <w:spacing w:after="0" w:line="275" w:lineRule="auto"/>
        <w:rPr>
          <w:sz w:val="20"/>
          <w:szCs w:val="20"/>
          <w:color w:val="auto"/>
        </w:rPr>
      </w:pPr>
      <w:r>
        <w:rPr>
          <w:rFonts w:ascii="Arial" w:cs="Arial" w:eastAsia="Arial" w:hAnsi="Arial"/>
          <w:sz w:val="18"/>
          <w:szCs w:val="18"/>
          <w:color w:val="auto"/>
        </w:rPr>
        <w:t>On November 17, 2020, the Company completed a secondary public offering selling 5,796,000 shares of common stock, which included the full exercise by the underwriters of their option to purchase up to 756,000 additional shares, at a price of $23.00 per share, resulting in gross proceeds of $133.3 million. After deducting underwriting discounts and commissions and other offering expenses related to the secondary public offering of approximately $8.5 million, the net proceeds to the Company from the transaction were $124.8 million.</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Initial Public Offering and Related Transaction</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April 28, 2020, the Company completed an initial public offering (IPO) selling 8,625,000 shares of common stock, which included the full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exercise by the underwriters of their option to purchase up to 1,125,000 additional shares, at a price of $16.00 per share resulting in gross proceeds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$138.0 million. After deducting underwriting discounts and commissions and other offering expenses related to the IPO of $12.8 million, the net proceeds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the Company from the transaction were $125.2 million. In connection with the IPO, all shares of convertible preferred stock outstanding at the time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IPO converted into 19,278,606 shares of common stock. On April 21, 2020, the Company amended its certificate of incorporation to effect a one-for-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four reverse stock split of its issued and outstanding common and convertible preferred stock. The accompanying financial statements and related notes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give retroactive effect, where applicable, to the reverse stock split.</w:t>
      </w:r>
    </w:p>
    <w:p>
      <w:pPr>
        <w:spacing w:after="0" w:line="126" w:lineRule="exact"/>
        <w:rPr>
          <w:sz w:val="20"/>
          <w:szCs w:val="20"/>
          <w:color w:val="auto"/>
        </w:rPr>
      </w:pPr>
    </w:p>
    <w:p>
      <w:pPr>
        <w:ind w:left="660" w:right="5660" w:hanging="652"/>
        <w:spacing w:after="0" w:line="393" w:lineRule="auto"/>
        <w:tabs>
          <w:tab w:leader="none" w:pos="19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Basis of Presentation and 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right="80" w:firstLine="648"/>
        <w:spacing w:after="0" w:line="275" w:lineRule="auto"/>
        <w:rPr>
          <w:sz w:val="20"/>
          <w:szCs w:val="20"/>
          <w:color w:val="auto"/>
        </w:rPr>
      </w:pPr>
      <w:r>
        <w:rPr>
          <w:rFonts w:ascii="Arial" w:cs="Arial" w:eastAsia="Arial" w:hAnsi="Arial"/>
          <w:sz w:val="18"/>
          <w:szCs w:val="18"/>
          <w:color w:val="auto"/>
        </w:rPr>
        <w:t>The accompanying unaudited financial statements have been prepared in accordance with accounting principles generally accepted in the United States (GAAP) for interim financial information and with the instructions of the Securities and Exchange Commission (SEC) on Form 10-Q and Rule 10-01 of Regulation S-X. Certain information and note disclosures normally included in annual financial statements prepared in accordance with GAAP, have been omitted. The accompanying unaudited financial statements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9" w:name="page10"/>
    <w:bookmarkEnd w:id="9"/>
    <w:p>
      <w:pPr>
        <w:spacing w:after="0" w:line="304" w:lineRule="auto"/>
        <w:rPr>
          <w:sz w:val="20"/>
          <w:szCs w:val="20"/>
          <w:color w:val="auto"/>
        </w:rPr>
      </w:pPr>
      <w:r>
        <w:rPr>
          <w:rFonts w:ascii="Arial" w:cs="Arial" w:eastAsia="Arial" w:hAnsi="Arial"/>
          <w:sz w:val="16"/>
          <w:szCs w:val="16"/>
          <w:color w:val="auto"/>
        </w:rPr>
        <w:t>include all known adjustments necessary for a fair presentation of the results as required by GAAP. These adjustments consist primarily of normal recurring accruals and estimates that impact the carrying value of assets and liabilities. Operating results for the interim period are not necessarily indicative of future results. In March 2020, the World Health Organization declared the novel coronavirus disease, or COVID-19, outbreak a global pandemic. To limit the spread of COVID-19, governments have taken various actions including the issuance of stay-at-home orders and physical distancing guidelines. Accordingly, businesses have adjusted, reduced or suspended operating activities. A portion of the Company’s workforce continues to work from home. Disruptions caused by the COVID-19 pandemic, including the effects of the stay-at-home orders and work-from-home policies, have impacted productivity, have resulted in increased operational expenses, certain adjustments to the operations of the Company’s clinical trials, the temporary suspension of enrollment of new patients at certain of the Company’s clinical trial sites, and delays in certain supply chain activities and collecting and analyzing data from patients in the Company’s clinical trials, and may further disrupt the business and delay the development programs and regulatory timelines, the magnitude of which will depend, in part, on the length and severity of the restrictions and other limitations on the Company’s ability to conduct business in the ordinary course. As a result, research and development expenses and general and administrative expenses may vary significantly if there is an increased impact from COVID-19 on the costs and timing associated with the conduct of the clinical trials and other related business activities.</w:t>
      </w:r>
    </w:p>
    <w:p>
      <w:pPr>
        <w:spacing w:after="0" w:line="65" w:lineRule="exact"/>
        <w:rPr>
          <w:sz w:val="20"/>
          <w:szCs w:val="20"/>
          <w:color w:val="auto"/>
        </w:rPr>
      </w:pPr>
    </w:p>
    <w:p>
      <w:pPr>
        <w:ind w:firstLine="648"/>
        <w:spacing w:after="0" w:line="272" w:lineRule="auto"/>
        <w:rPr>
          <w:sz w:val="20"/>
          <w:szCs w:val="20"/>
          <w:color w:val="auto"/>
        </w:rPr>
      </w:pPr>
      <w:r>
        <w:rPr>
          <w:rFonts w:ascii="Arial" w:cs="Arial" w:eastAsia="Arial" w:hAnsi="Arial"/>
          <w:sz w:val="18"/>
          <w:szCs w:val="18"/>
          <w:color w:val="auto"/>
        </w:rPr>
        <w:t>The accompanying unaudited financial statements should be read in conjunction with the audited financial statements and the related notes thereto for the year ended December 31, 2020, which are included in the Company’s Annual Report on Form 10-K filed with the SEC. Furthermore, the Company’s significant accounting policies are disclosed in the audited financial statements for the periods ended December 31, 2020 and 2019, included in the Company’s Annual Report on Form 10-K. Since the date of those financial statements, there have been no changes to its significant accounting policies, except as noted below.</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31" w:lineRule="exact"/>
        <w:rPr>
          <w:sz w:val="20"/>
          <w:szCs w:val="20"/>
          <w:color w:val="auto"/>
        </w:rPr>
      </w:pPr>
    </w:p>
    <w:p>
      <w:pPr>
        <w:ind w:right="300" w:firstLine="648"/>
        <w:spacing w:after="0" w:line="279"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under its accounting standards codification (ASC) or other standard setting bodies and adopted by the Company as of the specified effective date, unless otherwise discussed below.</w:t>
      </w:r>
    </w:p>
    <w:p>
      <w:pPr>
        <w:spacing w:after="0" w:line="75" w:lineRule="exact"/>
        <w:rPr>
          <w:sz w:val="20"/>
          <w:szCs w:val="20"/>
          <w:color w:val="auto"/>
        </w:rPr>
      </w:pPr>
    </w:p>
    <w:p>
      <w:pPr>
        <w:ind w:right="20" w:firstLine="648"/>
        <w:spacing w:after="0" w:line="299" w:lineRule="auto"/>
        <w:rPr>
          <w:sz w:val="20"/>
          <w:szCs w:val="20"/>
          <w:color w:val="auto"/>
        </w:rPr>
      </w:pPr>
      <w:r>
        <w:rPr>
          <w:rFonts w:ascii="Arial" w:cs="Arial" w:eastAsia="Arial" w:hAnsi="Arial"/>
          <w:sz w:val="16"/>
          <w:szCs w:val="16"/>
          <w:color w:val="auto"/>
        </w:rPr>
        <w:t xml:space="preserve">In February 2016, the FASB issued Accounting Standards Update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(ASC 842), which sets out the principles for the recognition, measurement, presentation and disclosure of leases for both parties to a contract (i.e., lessees and lessors). The standard requires lessees to apply a dual approach, classifying leases as either finance or operating leases based on the principle of whether the lease is effectively a financed purchase by the lessee. A lessee is also required to record a right-of-use asset and a lease liability for all leases with a term greater than 12 months regardless of their classification. ASC 842 provides a lessee with an option to not account for leases with a term of 12 months or less as leases in the scope of the new standard. ASC 842 supersedes the previous leases standard, ASC 840 Leases. ASC 842 requires a modified retrospective transition approach for leases existing at, or entered into after, the beginning of the earliest comparative period presented in the financial statements. In July 2018, the FASB issued supplemental adoption guidance and clarification to ASC 842 within ASU No.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xml:space="preserve"> and ASU</w:t>
      </w:r>
    </w:p>
    <w:p>
      <w:pPr>
        <w:spacing w:after="0" w:line="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 xml:space="preserve">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ASU No. 2018-11 provides another transition method in addition to the existing modified retrospective transition method by allowing entities to initially apply the new leasing standard at the adoption date and recognize a cumulative-effect adjustment to the opening balance of accumulated deficit in the period of adoption. On January 1, 2021, the Company early adopted ASC 842 using the modified retrospective approach. Accordingly, prior period financial information and disclosures have not been adjusted and continue to be reported in accordance with the Company’s historical accounting under the previous lease standard. In addition, the Company elected the package of practical expedients available for existing contracts, which allowed it to carry forward historical assessments of lease identification, lease classification, and initial direct costs. As a result of adopting ASC 842, the Company recognized right-of-use assets and lease liabilities of $1.7 million and $2.5 million, respectively, on January 1, 2021, which are related to our facility operating leases (Note 9). The difference between the right-of-use assets and lease liabilities is primarily attributed to the elimination of deferred rent and unamortized lease incentives. There was no adjustment to the opening balance of accumulated deficit as a result of the adoption of ASC 842.</w:t>
      </w:r>
    </w:p>
    <w:p>
      <w:pPr>
        <w:spacing w:after="0" w:line="73" w:lineRule="exact"/>
        <w:rPr>
          <w:sz w:val="20"/>
          <w:szCs w:val="20"/>
          <w:color w:val="auto"/>
        </w:rPr>
      </w:pPr>
    </w:p>
    <w:p>
      <w:pPr>
        <w:ind w:firstLine="648"/>
        <w:spacing w:after="0" w:line="309" w:lineRule="auto"/>
        <w:rPr>
          <w:sz w:val="20"/>
          <w:szCs w:val="20"/>
          <w:color w:val="auto"/>
        </w:rPr>
      </w:pPr>
      <w:r>
        <w:rPr>
          <w:rFonts w:ascii="Arial" w:cs="Arial" w:eastAsia="Arial" w:hAnsi="Arial"/>
          <w:sz w:val="16"/>
          <w:szCs w:val="16"/>
          <w:color w:val="auto"/>
        </w:rPr>
        <w:t>The Company determines if an arrangement is or contains a lease at inception. The Company’s operating leases with an initial term greater than one year are included in operating lease right-of-use assets, operating lease liabilities and operating lease liabilities, less current portion, which are included in other assets, accrued liabilities and other long-term liabilities, respectively, on our balance sheet as of June 30, 2021. Right-of-use assets represent the right to use an underlying asset during the lease term and lease liabilities represent an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its incremental borrowing rate which represents an estimated rate of interest that the Company would have to pay to borrow equivalent funds on a collateralized basis at the lease commencement date.</w:t>
      </w:r>
    </w:p>
    <w:p>
      <w:pPr>
        <w:spacing w:after="0" w:line="56" w:lineRule="exact"/>
        <w:rPr>
          <w:sz w:val="20"/>
          <w:szCs w:val="20"/>
          <w:color w:val="auto"/>
        </w:rPr>
      </w:pPr>
    </w:p>
    <w:p>
      <w:pPr>
        <w:ind w:right="40" w:firstLine="648"/>
        <w:spacing w:after="0" w:line="293" w:lineRule="auto"/>
        <w:rPr>
          <w:sz w:val="20"/>
          <w:szCs w:val="20"/>
          <w:color w:val="auto"/>
        </w:rPr>
      </w:pPr>
      <w:r>
        <w:rPr>
          <w:rFonts w:ascii="Arial" w:cs="Arial" w:eastAsia="Arial" w:hAnsi="Arial"/>
          <w:sz w:val="18"/>
          <w:szCs w:val="18"/>
          <w:color w:val="auto"/>
        </w:rPr>
        <w:t>The Company’s operating leases may include options to extend the lease which are included in the lease term when it is reasonably certain that we will exercise a renewal option. Operating lease expense is recognized on a straight-line basis over the expected lease term.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 w:name="page11"/>
    <w:bookmarkEnd w:id="10"/>
    <w:p>
      <w:pPr>
        <w:ind w:right="140" w:firstLine="648"/>
        <w:spacing w:after="0" w:line="306" w:lineRule="auto"/>
        <w:rPr>
          <w:sz w:val="20"/>
          <w:szCs w:val="20"/>
          <w:color w:val="auto"/>
        </w:rPr>
      </w:pPr>
      <w:r>
        <w:rPr>
          <w:rFonts w:ascii="Arial" w:cs="Arial" w:eastAsia="Arial" w:hAnsi="Arial"/>
          <w:sz w:val="16"/>
          <w:szCs w:val="16"/>
          <w:color w:val="auto"/>
        </w:rPr>
        <w:t>In June 2016, the FASB issued ASU No. 2016-13, Financial Instruments—Credit Losses (Topic 326) (ASC 326): Measurement of Credit Losses on Financial Instruments, which introduced the expected credit losses methodology for the measurement of credit losses on financial assets measured at amortized cost basis, replacing the previous incurred loss methodology. The amendments in Update 2016-13 added Topic 326, Financial Instruments— Credit Losses, and made several consequential amendments to the Codification. Update 2016-13 also modified the accounting for available-for-sale debt securities, which must be individually assessed for credit losses when fair value is less than the amortized cost basis, in accordance with Subtopic 326-30, Financial Instruments— Credit Losses—Available-for-Sale Debt Securities. The guidance is effective for public business entities for annual periods beginning after December 15, 2019, including interim periods within those years. For all other entities, the standard is effective for annual periods beginning after December 15, 2022 and interim periods, therein. Early adoption is permitted. The Company early adopted the new standard in the first quarter of 2021, using the modified retrospective approach. The adoption did not have a material impact on its financial statements.</w:t>
      </w:r>
    </w:p>
    <w:p>
      <w:pPr>
        <w:spacing w:after="0" w:line="62" w:lineRule="exact"/>
        <w:rPr>
          <w:sz w:val="20"/>
          <w:szCs w:val="20"/>
          <w:color w:val="auto"/>
        </w:rPr>
      </w:pPr>
    </w:p>
    <w:p>
      <w:pPr>
        <w:ind w:right="20" w:firstLine="648"/>
        <w:spacing w:after="0" w:line="275" w:lineRule="auto"/>
        <w:rPr>
          <w:sz w:val="20"/>
          <w:szCs w:val="20"/>
          <w:color w:val="auto"/>
        </w:rPr>
      </w:pPr>
      <w:r>
        <w:rPr>
          <w:rFonts w:ascii="Arial" w:cs="Arial" w:eastAsia="Arial" w:hAnsi="Arial"/>
          <w:sz w:val="18"/>
          <w:szCs w:val="18"/>
          <w:color w:val="auto"/>
        </w:rPr>
        <w:t>In accordance with ASU 2016-13, the Company will no longer evaluate whether its available-for-sale debt securities in an unrealized loss position are other than temporarily impaired. Instead, the Company will assess whether such unrealized loss positions are credit-related. The credit-related portion of unrealized losses, and any subsequent improvements, are recorded in interest income through an allowance account. Unrealized gains and losses that are not credit-related are included in accumulated other comprehensive income (loss).</w:t>
      </w:r>
    </w:p>
    <w:p>
      <w:pPr>
        <w:spacing w:after="0" w:line="73"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License Agreements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Mirati License Agreement</w:t>
      </w:r>
    </w:p>
    <w:p>
      <w:pPr>
        <w:spacing w:after="0" w:line="131" w:lineRule="exact"/>
        <w:rPr>
          <w:sz w:val="20"/>
          <w:szCs w:val="20"/>
          <w:color w:val="auto"/>
        </w:rPr>
      </w:pPr>
    </w:p>
    <w:p>
      <w:pPr>
        <w:ind w:right="60" w:firstLine="648"/>
        <w:spacing w:after="0" w:line="290" w:lineRule="auto"/>
        <w:rPr>
          <w:sz w:val="20"/>
          <w:szCs w:val="20"/>
          <w:color w:val="auto"/>
        </w:rPr>
      </w:pPr>
      <w:r>
        <w:rPr>
          <w:rFonts w:ascii="Arial" w:cs="Arial" w:eastAsia="Arial" w:hAnsi="Arial"/>
          <w:sz w:val="17"/>
          <w:szCs w:val="17"/>
          <w:color w:val="auto"/>
        </w:rPr>
        <w:t>On August 3, 2020, the Company entered into a license agreement (Mirati License Agreement) with Mirati Therapeutics, Inc (Mirati). Under the Mirati License Agreement, Mirati granted the Company a worldwide, exclusive, sublicensable, royalty-free license under Mirati’s rights to certain patents and patent applications directed to certain small molecule compounds that bind to and inhibit PRC2 and certain related know-how, in each case, to develop and commercialize certain licensed compounds and licensed products incorporating any such compounds. Under the Mirati License Agreement, the Company is wholly responsible for development and commercialization of licensed products. In addition, the Company is obligated to use commercially reasonable efforts to develop and commercialize at least one licensed product in certain major markets.</w:t>
      </w:r>
    </w:p>
    <w:p>
      <w:pPr>
        <w:spacing w:after="0" w:line="68" w:lineRule="exact"/>
        <w:rPr>
          <w:sz w:val="20"/>
          <w:szCs w:val="20"/>
          <w:color w:val="auto"/>
        </w:rPr>
      </w:pPr>
    </w:p>
    <w:p>
      <w:pPr>
        <w:ind w:right="60" w:firstLine="648"/>
        <w:spacing w:after="0" w:line="287" w:lineRule="auto"/>
        <w:rPr>
          <w:sz w:val="20"/>
          <w:szCs w:val="20"/>
          <w:color w:val="auto"/>
        </w:rPr>
      </w:pPr>
      <w:r>
        <w:rPr>
          <w:rFonts w:ascii="Arial" w:cs="Arial" w:eastAsia="Arial" w:hAnsi="Arial"/>
          <w:sz w:val="17"/>
          <w:szCs w:val="17"/>
          <w:color w:val="auto"/>
        </w:rPr>
        <w:t>Unless earlier terminated, the Mirati License Agreement will continue in effect on a country-by-country and licensed product-by-licensed product basis until the later of (a) the expiration of the last valid claim of a licensed patent covering such licensed product in such country or (b) ten years after the first commercial sale of such licensed product in such country. Following the expiration of the Mirati License Agreement, the Company will retain its licenses under the intellectual property Mirati licensed to it on a royalty-free basis. ORIC and Mirati may each terminate the Mirati License Agreement if the other party materially breaches the terms of such agreement, subject to specified notice and cure provisions, or enters into bankruptcy or insolvency proceedings. Mirati may terminate the agreement if the Company challenges any of the patent rights licensed to the Company by Mirati or it discontinues development of licensed products for a specified period of time. The Company also has the right to terminate the Mirati License Agreement without cause by providing prior notice to Mirati.</w:t>
      </w:r>
    </w:p>
    <w:p>
      <w:pPr>
        <w:spacing w:after="0" w:line="74"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color w:val="auto"/>
        </w:rPr>
        <w:t>The Company’s financial obligation under the Mirati License Agreement was comprised of an upfront payment of 588,235 shares of ORIC common stock, valued at approximately $13.0 million based upon the closing price of the Company’s common stock on the acquisition date. The number of shares issued was based on a price of $34.00 per share, representing a premium of 10% to the 60-day trailing volume-weighted average trading price of the Company’s common stock. The shares were issued in a private placement in reliance on Section 4(a)(2) of the Securities Act of 1933, as amended, for transactions by an issuer not involving any public offering. During the eighteen-month period following the date of the agreement, Mirati is subject to certain transfer restrictions, and the parties agreed to negotiate and enter into a registration rights agreement, with respect to the shares. The Company is not obligated to pay Mirati milestones or royalties.</w:t>
      </w:r>
    </w:p>
    <w:p>
      <w:pPr>
        <w:spacing w:after="0" w:line="84" w:lineRule="exact"/>
        <w:rPr>
          <w:sz w:val="20"/>
          <w:szCs w:val="20"/>
          <w:color w:val="auto"/>
        </w:rPr>
      </w:pPr>
    </w:p>
    <w:p>
      <w:pPr>
        <w:ind w:right="80" w:firstLine="648"/>
        <w:spacing w:after="0" w:line="275" w:lineRule="auto"/>
        <w:rPr>
          <w:sz w:val="20"/>
          <w:szCs w:val="20"/>
          <w:color w:val="auto"/>
        </w:rPr>
      </w:pPr>
      <w:r>
        <w:rPr>
          <w:rFonts w:ascii="Arial" w:cs="Arial" w:eastAsia="Arial" w:hAnsi="Arial"/>
          <w:sz w:val="18"/>
          <w:szCs w:val="18"/>
          <w:color w:val="auto"/>
        </w:rPr>
        <w:t>The Company recorded the transaction as an asset purchase as management concluded that all of the value received was related to a single identifiable asset. Further, as the asset was in early development at the time the license was acquired, the Company concluded that there was no alternative future use for the asset and recorded a charge to acquired in process research and development at the closing of the transaction in August 2020 for the full $13.0 million value assigned to the shares issued in connection with Mirati License Agreement.</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Voronoi License Agreement</w:t>
      </w:r>
    </w:p>
    <w:p>
      <w:pPr>
        <w:spacing w:after="0" w:line="131" w:lineRule="exact"/>
        <w:rPr>
          <w:sz w:val="20"/>
          <w:szCs w:val="20"/>
          <w:color w:val="auto"/>
        </w:rPr>
      </w:pPr>
    </w:p>
    <w:p>
      <w:pPr>
        <w:ind w:right="40" w:firstLine="648"/>
        <w:spacing w:after="0" w:line="271" w:lineRule="auto"/>
        <w:rPr>
          <w:sz w:val="20"/>
          <w:szCs w:val="20"/>
          <w:color w:val="auto"/>
        </w:rPr>
      </w:pPr>
      <w:r>
        <w:rPr>
          <w:rFonts w:ascii="Arial" w:cs="Arial" w:eastAsia="Arial" w:hAnsi="Arial"/>
          <w:sz w:val="18"/>
          <w:szCs w:val="18"/>
          <w:color w:val="auto"/>
        </w:rPr>
        <w:t>On October 19, 2020, the Company entered into a license and collaboration agreement (Voronoi License Agreement) with Voronoi Inc. (Voronoi). The Voronoi License Agreement gives the Company access to Voronoi’s preclinical stage EGFR and HER2 exon 20 insertion mutation program, including a lead product candidate now designated as ORIC-114. Under the Voronoi License Agreement, Voronoi granted the Company an exclusive, sublicensable license under Voronoi’s rights to certain patent applications directed to certain small molecule compounds that bind to EGFR and HER2 with one or more exon 20 insertion mutations and certain related know-how, in each case, to develop and commercialize certain licensed compounds and licensed products incorporating any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1" w:name="page12"/>
    <w:bookmarkEnd w:id="11"/>
    <w:p>
      <w:pPr>
        <w:ind w:right="20"/>
        <w:spacing w:after="0" w:line="272" w:lineRule="auto"/>
        <w:rPr>
          <w:sz w:val="20"/>
          <w:szCs w:val="20"/>
          <w:color w:val="auto"/>
        </w:rPr>
      </w:pPr>
      <w:r>
        <w:rPr>
          <w:rFonts w:ascii="Arial" w:cs="Arial" w:eastAsia="Arial" w:hAnsi="Arial"/>
          <w:sz w:val="18"/>
          <w:szCs w:val="18"/>
          <w:color w:val="auto"/>
        </w:rPr>
        <w:t>such compound worldwide (other than in the People’s Republic of China, Hong Kong, Macau and Taiwan) (the ORIC Territory). Under the Voronoi License Agreement, Voronoi has the right to perform certain mutually agreed upon development activities. Except for Voronoi's right to participate in such development activities, the Company is wholly responsible for development and commercialization of licensed products in the ORIC Territory. In addition, the Company is obligated to use commercially reasonable efforts to develop and commercialize at least one licensed product in certain major markets in the ORIC Territory.</w:t>
      </w:r>
    </w:p>
    <w:p>
      <w:pPr>
        <w:spacing w:after="0" w:line="83" w:lineRule="exact"/>
        <w:rPr>
          <w:sz w:val="20"/>
          <w:szCs w:val="20"/>
          <w:color w:val="auto"/>
        </w:rPr>
      </w:pPr>
    </w:p>
    <w:p>
      <w:pPr>
        <w:ind w:right="140" w:firstLine="648"/>
        <w:spacing w:after="0" w:line="271" w:lineRule="auto"/>
        <w:rPr>
          <w:sz w:val="20"/>
          <w:szCs w:val="20"/>
          <w:color w:val="auto"/>
        </w:rPr>
      </w:pPr>
      <w:r>
        <w:rPr>
          <w:rFonts w:ascii="Arial" w:cs="Arial" w:eastAsia="Arial" w:hAnsi="Arial"/>
          <w:sz w:val="18"/>
          <w:szCs w:val="18"/>
          <w:color w:val="auto"/>
        </w:rPr>
        <w:t>The Company’s financial obligations under the Voronoi License Agreement included an upfront payment comprised of a $5.0 million cash payment and the issuance to Voronoi of 283,259 shares of the Company’s common stock, valued at approximately $6.8 million, issued pursuant to a stock issuance agreement (Stock Agreement) entered into between the parties on October 19, 2020. The number of shares issued pursuant to the Stock Agreement was based on a price of $28.24 per share, representing a premium of 25% to the 30-day trailing volume weighted average trading price of the Company’s common stock. The shares were issued in a private placement in reliance on Section 4(a)(2) of the Securities Act of 1933, as amended, for transactions by an issuer not involving any public offering.</w:t>
      </w:r>
    </w:p>
    <w:p>
      <w:pPr>
        <w:spacing w:after="0" w:line="83" w:lineRule="exact"/>
        <w:rPr>
          <w:sz w:val="20"/>
          <w:szCs w:val="20"/>
          <w:color w:val="auto"/>
        </w:rPr>
      </w:pPr>
    </w:p>
    <w:p>
      <w:pPr>
        <w:ind w:right="240" w:firstLine="648"/>
        <w:spacing w:after="0" w:line="299" w:lineRule="auto"/>
        <w:rPr>
          <w:sz w:val="20"/>
          <w:szCs w:val="20"/>
          <w:color w:val="auto"/>
        </w:rPr>
      </w:pPr>
      <w:r>
        <w:rPr>
          <w:rFonts w:ascii="Arial" w:cs="Arial" w:eastAsia="Arial" w:hAnsi="Arial"/>
          <w:sz w:val="16"/>
          <w:szCs w:val="16"/>
          <w:color w:val="auto"/>
        </w:rPr>
        <w:t>Under the Voronoi License Agreement, Voronoi will be responsible for certain research and development costs up to a predetermined threshold. Upon achievement of the predetermined threshold, Voronoi has the option to opt-out of participation in and funding of future development activities. If Voronoi decides not to exercise the opt-out provision, the parties would share certain future research and development costs equally in the Republic of Korea. The Company is also obligated to make milestone payments to Voronoi upon the achievement of certain events. Upon the achievement of certain development and regulatory milestones with respect to the first licensed product, the Company is obligated to pay Voronoi up to a maximum of</w:t>
      </w:r>
    </w:p>
    <w:p>
      <w:pPr>
        <w:spacing w:after="0" w:line="2"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color w:val="auto"/>
        </w:rPr>
        <w:t>$111.0 million. Upon the achievement of certain commercial milestones with respect to the first licensed product, the Company is obligated to pay Voronoi up to a maximum of $225.0 million. If the Company pursues a second licensed product, the Company would pay Voronoi up to an additional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$272.0 million in success-based milestones. In addition, the Company is obligated to pay royalties on net sales of licensed products in the ORIC Territory.</w:t>
      </w:r>
    </w:p>
    <w:p>
      <w:pPr>
        <w:spacing w:after="0" w:line="153" w:lineRule="exact"/>
        <w:rPr>
          <w:sz w:val="20"/>
          <w:szCs w:val="20"/>
          <w:color w:val="auto"/>
        </w:rPr>
      </w:pPr>
    </w:p>
    <w:p>
      <w:pPr>
        <w:ind w:right="40" w:firstLine="648"/>
        <w:spacing w:after="0" w:line="290" w:lineRule="auto"/>
        <w:rPr>
          <w:sz w:val="20"/>
          <w:szCs w:val="20"/>
          <w:color w:val="auto"/>
        </w:rPr>
      </w:pPr>
      <w:r>
        <w:rPr>
          <w:rFonts w:ascii="Arial" w:cs="Arial" w:eastAsia="Arial" w:hAnsi="Arial"/>
          <w:sz w:val="17"/>
          <w:szCs w:val="17"/>
          <w:color w:val="auto"/>
        </w:rPr>
        <w:t>Unless earlier terminated, the Voronoi License Agreement will continue in effect until the expiration of all royalty payment obligations. Following the expiration of the Voronoi License Agreement, the Company will retain its licenses under the intellectual property Voronoi licensed to it on a royalty-free basis. The Company and Voronoi may each terminate the Voronoi License Agreement if the other party materially breaches the terms of such agreement, subject to specified notice and cure provisions, or enters into bankruptcy or insolvency proceedings. Voronoi may also terminate the agreement if the Company discontinues development of licensed products for a specified period of time. The Company also has the right to terminate the Voronoi License Agreement without cause by providing prior notice to Voronoi.</w:t>
      </w:r>
    </w:p>
    <w:p>
      <w:pPr>
        <w:spacing w:after="0" w:line="6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If Voronoi terminates the Voronoi License Agreement for cause, or if the Company terminates the Voronoi License Agreement without cause, then the Company is obligated to grant a nonexclusive license to Voronoi under certain of the Company’s patents and know-how and to assign to Voronoi certain of its regulatory filings for licensed compounds and licensed products.</w:t>
      </w:r>
    </w:p>
    <w:p>
      <w:pPr>
        <w:spacing w:after="0" w:line="7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8"/>
          <w:szCs w:val="18"/>
          <w:color w:val="auto"/>
        </w:rPr>
        <w:t>The Company recorded the transaction as an asset purchase as management concluded that all of the value received was related to a specific identifiable asset related to EGFR and HER2. Further, as the asset was in early development at the time the license was acquired, the Company concluded that there was no alternative future use for the asset and recorded a charge to acquired in process research and development expense of $11.8 million at the closing of the transaction in October 2020, which consisted of the $5.0 million cash payment plus the $6.8 million value assigned to the shares issued in connection with Voronoi License Agreement.</w:t>
      </w:r>
    </w:p>
    <w:p>
      <w:pPr>
        <w:spacing w:after="0" w:line="79"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Property and Equipment, net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December 31, 2020</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6"/>
        </w:trPr>
        <w:tc>
          <w:tcPr>
            <w:tcW w:w="1140" w:type="dxa"/>
            <w:vAlign w:val="bottom"/>
          </w:tcPr>
          <w:p>
            <w:pPr>
              <w:spacing w:after="0"/>
              <w:rPr>
                <w:sz w:val="22"/>
                <w:szCs w:val="22"/>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18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4,396</w:t>
            </w:r>
          </w:p>
        </w:tc>
        <w:tc>
          <w:tcPr>
            <w:tcW w:w="8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1,710</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1,710</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Computer hardware and software</w:t>
            </w:r>
          </w:p>
        </w:tc>
        <w:tc>
          <w:tcPr>
            <w:tcW w:w="15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5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7"/>
        </w:trPr>
        <w:tc>
          <w:tcPr>
            <w:tcW w:w="1140" w:type="dxa"/>
            <w:vAlign w:val="bottom"/>
          </w:tcPr>
          <w:p>
            <w:pPr>
              <w:spacing w:after="0"/>
              <w:rPr>
                <w:sz w:val="22"/>
                <w:szCs w:val="22"/>
                <w:color w:val="auto"/>
              </w:rPr>
            </w:pPr>
          </w:p>
        </w:tc>
        <w:tc>
          <w:tcPr>
            <w:tcW w:w="3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property and equipment, gross</w:t>
            </w:r>
          </w:p>
        </w:tc>
        <w:tc>
          <w:tcPr>
            <w:tcW w:w="15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6,582</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6,466</w:t>
            </w:r>
          </w:p>
        </w:tc>
        <w:tc>
          <w:tcPr>
            <w:tcW w:w="8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(4,754 )</w:t>
            </w:r>
          </w:p>
        </w:tc>
        <w:tc>
          <w:tcPr>
            <w:tcW w:w="180" w:type="dxa"/>
            <w:vAlign w:val="bottom"/>
          </w:tcPr>
          <w:p>
            <w:pPr>
              <w:spacing w:after="0"/>
              <w:rPr>
                <w:sz w:val="21"/>
                <w:szCs w:val="2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(4,485 )</w:t>
            </w:r>
          </w:p>
        </w:tc>
        <w:tc>
          <w:tcPr>
            <w:tcW w:w="1120" w:type="dxa"/>
            <w:vAlign w:val="bottom"/>
          </w:tcPr>
          <w:p>
            <w:pPr>
              <w:spacing w:after="0"/>
              <w:rPr>
                <w:sz w:val="21"/>
                <w:szCs w:val="21"/>
                <w:color w:val="auto"/>
              </w:rPr>
            </w:pPr>
          </w:p>
        </w:tc>
      </w:tr>
      <w:tr>
        <w:trPr>
          <w:trHeight w:val="290"/>
        </w:trPr>
        <w:tc>
          <w:tcPr>
            <w:tcW w:w="1140" w:type="dxa"/>
            <w:vAlign w:val="bottom"/>
          </w:tcPr>
          <w:p>
            <w:pPr>
              <w:spacing w:after="0"/>
              <w:rPr>
                <w:sz w:val="24"/>
                <w:szCs w:val="24"/>
                <w:color w:val="auto"/>
              </w:rPr>
            </w:pPr>
          </w:p>
        </w:tc>
        <w:tc>
          <w:tcPr>
            <w:tcW w:w="36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property and equipment, net</w:t>
            </w:r>
          </w:p>
        </w:tc>
        <w:tc>
          <w:tcPr>
            <w:tcW w:w="15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1,981</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62"/>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-539750</wp:posOffset>
            </wp:positionV>
            <wp:extent cx="1543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-522605</wp:posOffset>
            </wp:positionV>
            <wp:extent cx="1543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-539750</wp:posOffset>
            </wp:positionV>
            <wp:extent cx="514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-522605</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 w:name="page13"/>
    <w:bookmarkEnd w:id="12"/>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Accrued Liabilities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00" w:lineRule="exact"/>
        <w:rPr>
          <w:sz w:val="20"/>
          <w:szCs w:val="20"/>
          <w:color w:val="auto"/>
        </w:rPr>
      </w:pP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5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Pr>
          <w:p>
            <w:pPr>
              <w:spacing w:after="0"/>
              <w:rPr>
                <w:sz w:val="16"/>
                <w:szCs w:val="16"/>
                <w:color w:val="auto"/>
              </w:rPr>
            </w:pPr>
          </w:p>
        </w:tc>
      </w:tr>
      <w:tr>
        <w:trPr>
          <w:trHeight w:val="25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Accrued clinical and manufacturing costs</w:t>
            </w:r>
          </w:p>
        </w:tc>
        <w:tc>
          <w:tcPr>
            <w:tcW w:w="1440" w:type="dxa"/>
            <w:vAlign w:val="bottom"/>
            <w:shd w:val="clear" w:color="auto" w:fill="CFF0FC"/>
          </w:tcPr>
          <w:p>
            <w:pPr>
              <w:jc w:val="right"/>
              <w:ind w:right="125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4,314</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3,072</w:t>
            </w:r>
          </w:p>
        </w:tc>
        <w:tc>
          <w:tcPr>
            <w:tcW w:w="80" w:type="dxa"/>
            <w:vAlign w:val="bottom"/>
            <w:shd w:val="clear" w:color="auto" w:fill="CFF0FC"/>
          </w:tcPr>
          <w:p>
            <w:pPr>
              <w:spacing w:after="0"/>
              <w:rPr>
                <w:sz w:val="22"/>
                <w:szCs w:val="22"/>
                <w:color w:val="auto"/>
              </w:rPr>
            </w:pPr>
          </w:p>
        </w:tc>
      </w:tr>
      <w:tr>
        <w:trPr>
          <w:trHeight w:val="250"/>
        </w:trPr>
        <w:tc>
          <w:tcPr>
            <w:tcW w:w="4780" w:type="dxa"/>
            <w:vAlign w:val="bottom"/>
          </w:tcPr>
          <w:p>
            <w:pPr>
              <w:spacing w:after="0"/>
              <w:rPr>
                <w:sz w:val="20"/>
                <w:szCs w:val="20"/>
                <w:color w:val="auto"/>
              </w:rPr>
            </w:pPr>
            <w:r>
              <w:rPr>
                <w:rFonts w:ascii="Arial" w:cs="Arial" w:eastAsia="Arial" w:hAnsi="Arial"/>
                <w:sz w:val="18"/>
                <w:szCs w:val="18"/>
                <w:color w:val="auto"/>
              </w:rPr>
              <w:t>Lease liabilities - short-term</w:t>
            </w:r>
          </w:p>
        </w:tc>
        <w:tc>
          <w:tcPr>
            <w:tcW w:w="14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1,614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6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144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2,398</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3,723</w:t>
            </w:r>
          </w:p>
        </w:tc>
        <w:tc>
          <w:tcPr>
            <w:tcW w:w="80" w:type="dxa"/>
            <w:vAlign w:val="bottom"/>
            <w:shd w:val="clear" w:color="auto" w:fill="CFF0FC"/>
          </w:tcPr>
          <w:p>
            <w:pPr>
              <w:spacing w:after="0"/>
              <w:rPr>
                <w:sz w:val="22"/>
                <w:szCs w:val="22"/>
                <w:color w:val="auto"/>
              </w:rPr>
            </w:pPr>
          </w:p>
        </w:tc>
      </w:tr>
      <w:tr>
        <w:trPr>
          <w:trHeight w:val="250"/>
        </w:trPr>
        <w:tc>
          <w:tcPr>
            <w:tcW w:w="4780" w:type="dxa"/>
            <w:vAlign w:val="bottom"/>
          </w:tcPr>
          <w:p>
            <w:pPr>
              <w:spacing w:after="0"/>
              <w:rPr>
                <w:sz w:val="20"/>
                <w:szCs w:val="20"/>
                <w:color w:val="auto"/>
              </w:rPr>
            </w:pPr>
            <w:r>
              <w:rPr>
                <w:rFonts w:ascii="Arial" w:cs="Arial" w:eastAsia="Arial" w:hAnsi="Arial"/>
                <w:sz w:val="18"/>
                <w:szCs w:val="18"/>
                <w:color w:val="auto"/>
              </w:rPr>
              <w:t>Other accruals</w:t>
            </w:r>
          </w:p>
        </w:tc>
        <w:tc>
          <w:tcPr>
            <w:tcW w:w="14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740</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904</w:t>
            </w:r>
          </w:p>
        </w:tc>
        <w:tc>
          <w:tcPr>
            <w:tcW w:w="80" w:type="dxa"/>
            <w:vAlign w:val="bottom"/>
          </w:tcPr>
          <w:p>
            <w:pPr>
              <w:spacing w:after="0"/>
              <w:rPr>
                <w:sz w:val="21"/>
                <w:szCs w:val="21"/>
                <w:color w:val="auto"/>
              </w:rPr>
            </w:pPr>
          </w:p>
        </w:tc>
      </w:tr>
      <w:tr>
        <w:trPr>
          <w:trHeight w:val="257"/>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rent - short-term</w:t>
            </w:r>
          </w:p>
        </w:tc>
        <w:tc>
          <w:tcPr>
            <w:tcW w:w="1440" w:type="dxa"/>
            <w:vAlign w:val="bottom"/>
            <w:tcBorders>
              <w:bottom w:val="single" w:sz="8" w:color="auto"/>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4780" w:type="dxa"/>
            <w:vAlign w:val="bottom"/>
          </w:tcPr>
          <w:p>
            <w:pPr>
              <w:ind w:left="260"/>
              <w:spacing w:after="0"/>
              <w:rPr>
                <w:sz w:val="20"/>
                <w:szCs w:val="20"/>
                <w:color w:val="auto"/>
              </w:rPr>
            </w:pPr>
            <w:r>
              <w:rPr>
                <w:rFonts w:ascii="Arial" w:cs="Arial" w:eastAsia="Arial" w:hAnsi="Arial"/>
                <w:sz w:val="18"/>
                <w:szCs w:val="18"/>
                <w:color w:val="auto"/>
              </w:rPr>
              <w:t>Total accrued liabilities</w:t>
            </w:r>
          </w:p>
        </w:tc>
        <w:tc>
          <w:tcPr>
            <w:tcW w:w="1440" w:type="dxa"/>
            <w:vAlign w:val="bottom"/>
          </w:tcPr>
          <w:p>
            <w:pPr>
              <w:jc w:val="right"/>
              <w:ind w:right="125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9,066</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8,245</w:t>
            </w:r>
          </w:p>
        </w:tc>
        <w:tc>
          <w:tcPr>
            <w:tcW w:w="80" w:type="dxa"/>
            <w:vAlign w:val="bottom"/>
          </w:tcPr>
          <w:p>
            <w:pPr>
              <w:spacing w:after="0"/>
              <w:rPr>
                <w:sz w:val="21"/>
                <w:szCs w:val="21"/>
                <w:color w:val="auto"/>
              </w:rPr>
            </w:pPr>
          </w:p>
        </w:tc>
      </w:tr>
      <w:tr>
        <w:trPr>
          <w:trHeight w:val="20"/>
        </w:trPr>
        <w:tc>
          <w:tcPr>
            <w:tcW w:w="47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-193675</wp:posOffset>
            </wp:positionV>
            <wp:extent cx="17970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wp:posOffset>
            </wp:positionV>
            <wp:extent cx="5143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313"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Short-Term Investments</w:t>
      </w:r>
    </w:p>
    <w:p>
      <w:pPr>
        <w:spacing w:after="0" w:line="135" w:lineRule="exact"/>
        <w:rPr>
          <w:sz w:val="20"/>
          <w:szCs w:val="20"/>
          <w:color w:val="auto"/>
        </w:rPr>
      </w:pPr>
    </w:p>
    <w:p>
      <w:pPr>
        <w:ind w:right="400" w:firstLine="648"/>
        <w:spacing w:after="0" w:line="279" w:lineRule="auto"/>
        <w:rPr>
          <w:sz w:val="20"/>
          <w:szCs w:val="20"/>
          <w:color w:val="auto"/>
        </w:rPr>
      </w:pPr>
      <w:r>
        <w:rPr>
          <w:rFonts w:ascii="Arial" w:cs="Arial" w:eastAsia="Arial" w:hAnsi="Arial"/>
          <w:sz w:val="18"/>
          <w:szCs w:val="18"/>
          <w:color w:val="auto"/>
        </w:rPr>
        <w:t>The Company’s investment policy defines allowable investments and establishes guidelines relating to credit quality, diversification, and maturities of its investments to preserve principal and maintain liquidity. In accordance with the Company’s investment policy, it has invested funds in available-for-sale securities as of June 30, 2021 and December 31, 2020.</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available-for-sale securities consisted of the following (in thousands):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3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At June 30, 2021</w:t>
            </w:r>
          </w:p>
        </w:tc>
        <w:tc>
          <w:tcPr>
            <w:tcW w:w="140" w:type="dxa"/>
            <w:vAlign w:val="bottom"/>
          </w:tcPr>
          <w:p>
            <w:pPr>
              <w:spacing w:after="0"/>
              <w:rPr>
                <w:sz w:val="15"/>
                <w:szCs w:val="15"/>
                <w:color w:val="auto"/>
              </w:rPr>
            </w:pPr>
          </w:p>
        </w:tc>
        <w:tc>
          <w:tcPr>
            <w:tcW w:w="940" w:type="dxa"/>
            <w:vAlign w:val="bottom"/>
          </w:tcPr>
          <w:p>
            <w:pPr>
              <w:jc w:val="right"/>
              <w:ind w:right="136"/>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36"/>
              <w:spacing w:after="0"/>
              <w:rPr>
                <w:sz w:val="20"/>
                <w:szCs w:val="20"/>
                <w:color w:val="auto"/>
              </w:rPr>
            </w:pPr>
            <w:r>
              <w:rPr>
                <w:rFonts w:ascii="Arial" w:cs="Arial" w:eastAsia="Arial" w:hAnsi="Arial"/>
                <w:sz w:val="14"/>
                <w:szCs w:val="14"/>
                <w:b w:val="1"/>
                <w:bCs w:val="1"/>
                <w:color w:val="auto"/>
                <w:w w:val="98"/>
              </w:rPr>
              <w:t>Unrealized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Unrealized</w:t>
            </w:r>
          </w:p>
        </w:tc>
        <w:tc>
          <w:tcPr>
            <w:tcW w:w="160" w:type="dxa"/>
            <w:vAlign w:val="bottom"/>
          </w:tcPr>
          <w:p>
            <w:pPr>
              <w:spacing w:after="0"/>
              <w:rPr>
                <w:sz w:val="15"/>
                <w:szCs w:val="15"/>
                <w:color w:val="auto"/>
              </w:rPr>
            </w:pPr>
          </w:p>
        </w:tc>
        <w:tc>
          <w:tcPr>
            <w:tcW w:w="920" w:type="dxa"/>
            <w:vAlign w:val="bottom"/>
          </w:tcPr>
          <w:p>
            <w:pPr>
              <w:jc w:val="right"/>
              <w:ind w:right="156"/>
              <w:spacing w:after="0"/>
              <w:rPr>
                <w:sz w:val="20"/>
                <w:szCs w:val="20"/>
                <w:color w:val="auto"/>
              </w:rPr>
            </w:pPr>
            <w:r>
              <w:rPr>
                <w:rFonts w:ascii="Arial" w:cs="Arial" w:eastAsia="Arial" w:hAnsi="Arial"/>
                <w:sz w:val="14"/>
                <w:szCs w:val="14"/>
                <w:b w:val="1"/>
                <w:bCs w:val="1"/>
                <w:color w:val="auto"/>
                <w:w w:val="98"/>
              </w:rPr>
              <w:t>Estimated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9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316"/>
              <w:spacing w:after="0" w:line="158" w:lineRule="exact"/>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296"/>
              <w:spacing w:after="0" w:line="158" w:lineRule="exact"/>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3"/>
                <w:szCs w:val="13"/>
                <w:color w:val="auto"/>
              </w:rPr>
            </w:pPr>
          </w:p>
        </w:tc>
        <w:tc>
          <w:tcPr>
            <w:tcW w:w="920" w:type="dxa"/>
            <w:vAlign w:val="bottom"/>
          </w:tcPr>
          <w:p>
            <w:pPr>
              <w:jc w:val="right"/>
              <w:ind w:right="136"/>
              <w:spacing w:after="0" w:line="158"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3940" w:type="dxa"/>
            <w:vAlign w:val="bottom"/>
            <w:tcBorders>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90,987</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90,990</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40" w:type="dxa"/>
            <w:vAlign w:val="bottom"/>
            <w:gridSpan w:val="3"/>
          </w:tcPr>
          <w:p>
            <w:pPr>
              <w:ind w:left="52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90,987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90,990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90"/>
              </w:rPr>
              <w:t>At December 31, 2020</w:t>
            </w:r>
          </w:p>
        </w:tc>
        <w:tc>
          <w:tcPr>
            <w:tcW w:w="2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940" w:type="dxa"/>
            <w:vAlign w:val="bottom"/>
            <w:gridSpan w:val="3"/>
          </w:tcPr>
          <w:p>
            <w:pPr>
              <w:ind w:left="260"/>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215,185</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(31 )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215,154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gridSpan w:val="3"/>
            <w:shd w:val="clear" w:color="auto" w:fill="CFF0FC"/>
          </w:tcPr>
          <w:p>
            <w:pPr>
              <w:ind w:left="5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215,185</w:t>
            </w:r>
          </w:p>
        </w:tc>
        <w:tc>
          <w:tcPr>
            <w:tcW w:w="24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215,154</w:t>
            </w:r>
          </w:p>
        </w:tc>
        <w:tc>
          <w:tcPr>
            <w:tcW w:w="8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-716280</wp:posOffset>
            </wp:positionV>
            <wp:extent cx="14605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-716280</wp:posOffset>
            </wp:positionV>
            <wp:extent cx="12890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-716280</wp:posOffset>
            </wp:positionV>
            <wp:extent cx="12890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-716280</wp:posOffset>
            </wp:positionV>
            <wp:extent cx="5143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-24765</wp:posOffset>
            </wp:positionV>
            <wp:extent cx="1460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-8255</wp:posOffset>
            </wp:positionV>
            <wp:extent cx="14605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wp:posOffset>
            </wp:positionV>
            <wp:extent cx="1289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12890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1289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12890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ind w:right="60" w:firstLine="648"/>
        <w:spacing w:after="0" w:line="314" w:lineRule="auto"/>
        <w:rPr>
          <w:sz w:val="20"/>
          <w:szCs w:val="20"/>
          <w:color w:val="auto"/>
        </w:rPr>
      </w:pPr>
      <w:r>
        <w:rPr>
          <w:rFonts w:ascii="Arial" w:cs="Arial" w:eastAsia="Arial" w:hAnsi="Arial"/>
          <w:sz w:val="16"/>
          <w:szCs w:val="16"/>
          <w:color w:val="auto"/>
        </w:rPr>
        <w:t>The Company reviews its investments to identify and evaluate investments that have an indication of possible other-than-temporary impairment. Factors considered in determining whether a loss is other-than-temporary include the length of time and extent to which fair value has been less than the cost basis, the financial condition and near-term prospects of the investee, and the Company’s intent and ability to hold the investment for a period of time sufficient to allow for any anticipated recovery in market value. Further, the Company does not generally intend to sell these investments and it is not more likely than not that the Company will be required to sell these investments before recovery of their amortized cost basis which may be at maturity.</w:t>
      </w:r>
    </w:p>
    <w:p>
      <w:pPr>
        <w:spacing w:after="0" w:line="52" w:lineRule="exact"/>
        <w:rPr>
          <w:sz w:val="20"/>
          <w:szCs w:val="20"/>
          <w:color w:val="auto"/>
        </w:rPr>
      </w:pPr>
    </w:p>
    <w:p>
      <w:pPr>
        <w:ind w:right="300" w:firstLine="648"/>
        <w:spacing w:after="0" w:line="279" w:lineRule="auto"/>
        <w:rPr>
          <w:sz w:val="20"/>
          <w:szCs w:val="20"/>
          <w:color w:val="auto"/>
        </w:rPr>
      </w:pPr>
      <w:r>
        <w:rPr>
          <w:rFonts w:ascii="Arial" w:cs="Arial" w:eastAsia="Arial" w:hAnsi="Arial"/>
          <w:sz w:val="18"/>
          <w:szCs w:val="18"/>
          <w:color w:val="auto"/>
        </w:rPr>
        <w:t>None of the Company’s available-for-sale securities had maturities of greater than 12 months as of June 30, 2021 and December 31, 2020. The Company has determined that there were no material declines in fair value of its investments due to credit-related factors as of June 30, 2021 and December 31, 2020.</w:t>
      </w:r>
    </w:p>
    <w:p>
      <w:pPr>
        <w:spacing w:after="0" w:line="71"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135"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fair-value hierarchy, which prioritizes the inputs used in measuring fair value as follows: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 and</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3: Unobservable inputs in which there is little or no market data, which require the reporting entity to develop its own assumptions.</w:t>
      </w:r>
    </w:p>
    <w:p>
      <w:pPr>
        <w:spacing w:after="0" w:line="142" w:lineRule="exact"/>
        <w:rPr>
          <w:sz w:val="20"/>
          <w:szCs w:val="20"/>
          <w:color w:val="auto"/>
        </w:rPr>
      </w:pPr>
    </w:p>
    <w:p>
      <w:pPr>
        <w:ind w:right="140" w:firstLine="648"/>
        <w:spacing w:after="0" w:line="319" w:lineRule="auto"/>
        <w:rPr>
          <w:sz w:val="20"/>
          <w:szCs w:val="20"/>
          <w:color w:val="auto"/>
        </w:rPr>
      </w:pPr>
      <w:r>
        <w:rPr>
          <w:rFonts w:ascii="Arial" w:cs="Arial" w:eastAsia="Arial" w:hAnsi="Arial"/>
          <w:sz w:val="16"/>
          <w:szCs w:val="16"/>
          <w:color w:val="auto"/>
        </w:rPr>
        <w:t>The carrying amounts of the Company’s interest receivable, included in prepaid expenses and other current assets, accounts payable and accrued liabilities are generally considered to be representative of their fair value because of the short-term nature of these instruments. The Company’s investments, which may include money market funds and available-for-sale investment securities consisting of U.S. treasury securities, and high-quality, marketable debt instruments of corporations and government sponsored enterprises, are measured at fair value in accordance with the fair value hierarchy.</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are the major categories of assets measured at fair value on a recurring basis (in thousands):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3" w:name="page14"/>
    <w:bookmarkEnd w:id="13"/>
    <w:tbl>
      <w:tblPr>
        <w:tblLayout w:type="fixed"/>
        <w:tblInd w:w="1140" w:type="dxa"/>
        <w:tblCellMar>
          <w:top w:w="0" w:type="dxa"/>
          <w:left w:w="0" w:type="dxa"/>
          <w:bottom w:w="0" w:type="dxa"/>
          <w:right w:w="0" w:type="dxa"/>
        </w:tblCellMar>
      </w:tblPr>
      <w:tr>
        <w:trPr>
          <w:trHeight w:val="192"/>
        </w:trPr>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Fair Value Measurements</w:t>
            </w: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7"/>
        </w:trPr>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7"/>
                <w:szCs w:val="17"/>
                <w:color w:val="auto"/>
              </w:rPr>
            </w:pPr>
          </w:p>
        </w:tc>
      </w:tr>
      <w:tr>
        <w:trPr>
          <w:trHeight w:val="236"/>
        </w:trPr>
        <w:tc>
          <w:tcPr>
            <w:tcW w:w="1060" w:type="dxa"/>
            <w:vAlign w:val="bottom"/>
            <w:tcBorders>
              <w:bottom w:val="single" w:sz="8" w:color="auto"/>
            </w:tcBorders>
            <w:shd w:val="clear" w:color="auto" w:fill="CFF0FC"/>
          </w:tcPr>
          <w:p>
            <w:pPr>
              <w:spacing w:after="0" w:line="202" w:lineRule="exact"/>
              <w:rPr>
                <w:sz w:val="20"/>
                <w:szCs w:val="20"/>
                <w:color w:val="auto"/>
              </w:rPr>
            </w:pPr>
            <w:r>
              <w:rPr>
                <w:rFonts w:ascii="Arial" w:cs="Arial" w:eastAsia="Arial" w:hAnsi="Arial"/>
                <w:sz w:val="18"/>
                <w:szCs w:val="18"/>
                <w:b w:val="1"/>
                <w:bCs w:val="1"/>
                <w:color w:val="auto"/>
                <w:w w:val="88"/>
              </w:rPr>
              <w:t>June 30, 2021</w:t>
            </w:r>
          </w:p>
        </w:tc>
        <w:tc>
          <w:tcPr>
            <w:tcW w:w="2360" w:type="dxa"/>
            <w:vAlign w:val="bottom"/>
            <w:tcBorders>
              <w:bottom w:val="single" w:sz="8" w:color="CFF0FC"/>
            </w:tcBorders>
            <w:gridSpan w:val="2"/>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r>
      <w:tr>
        <w:trPr>
          <w:trHeight w:val="257"/>
        </w:trPr>
        <w:tc>
          <w:tcPr>
            <w:tcW w:w="3420" w:type="dxa"/>
            <w:vAlign w:val="bottom"/>
            <w:gridSpan w:val="3"/>
          </w:tcPr>
          <w:p>
            <w:pPr>
              <w:ind w:left="260"/>
              <w:spacing w:after="0" w:line="257" w:lineRule="exact"/>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24"/>
                <w:szCs w:val="24"/>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170,078</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170,078</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170,078</w:t>
            </w:r>
          </w:p>
        </w:tc>
        <w:tc>
          <w:tcPr>
            <w:tcW w:w="80" w:type="dxa"/>
            <w:vAlign w:val="bottom"/>
          </w:tcPr>
          <w:p>
            <w:pPr>
              <w:spacing w:after="0"/>
              <w:rPr>
                <w:sz w:val="22"/>
                <w:szCs w:val="22"/>
                <w:color w:val="auto"/>
              </w:rPr>
            </w:pPr>
          </w:p>
        </w:tc>
      </w:tr>
      <w:tr>
        <w:trPr>
          <w:trHeight w:val="250"/>
        </w:trPr>
        <w:tc>
          <w:tcPr>
            <w:tcW w:w="3420" w:type="dxa"/>
            <w:vAlign w:val="bottom"/>
            <w:tcBorders>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90,990</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90,990</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90,990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50"/>
        </w:trPr>
        <w:tc>
          <w:tcPr>
            <w:tcW w:w="3420" w:type="dxa"/>
            <w:vAlign w:val="bottom"/>
            <w:gridSpan w:val="3"/>
          </w:tcPr>
          <w:p>
            <w:pPr>
              <w:ind w:left="5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261,068</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261,068</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261,068</w:t>
            </w:r>
          </w:p>
        </w:tc>
        <w:tc>
          <w:tcPr>
            <w:tcW w:w="80" w:type="dxa"/>
            <w:vAlign w:val="bottom"/>
          </w:tcPr>
          <w:p>
            <w:pPr>
              <w:spacing w:after="0"/>
              <w:rPr>
                <w:sz w:val="21"/>
                <w:szCs w:val="21"/>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9"/>
        </w:trPr>
        <w:tc>
          <w:tcPr>
            <w:tcW w:w="342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December 31, 2020</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34"/>
        </w:trPr>
        <w:tc>
          <w:tcPr>
            <w:tcW w:w="1060" w:type="dxa"/>
            <w:vAlign w:val="bottom"/>
            <w:tcBorders>
              <w:top w:val="single" w:sz="8" w:color="auto"/>
            </w:tcBorders>
            <w:shd w:val="clear" w:color="auto" w:fill="CFF0FC"/>
          </w:tcPr>
          <w:p>
            <w:pPr>
              <w:spacing w:after="0"/>
              <w:rPr>
                <w:sz w:val="2"/>
                <w:szCs w:val="2"/>
                <w:color w:val="auto"/>
              </w:rPr>
            </w:pPr>
          </w:p>
        </w:tc>
        <w:tc>
          <w:tcPr>
            <w:tcW w:w="400" w:type="dxa"/>
            <w:vAlign w:val="bottom"/>
            <w:tcBorders>
              <w:top w:val="single" w:sz="8" w:color="auto"/>
            </w:tcBorders>
            <w:shd w:val="clear" w:color="auto" w:fill="CFF0FC"/>
          </w:tcPr>
          <w:p>
            <w:pPr>
              <w:spacing w:after="0"/>
              <w:rPr>
                <w:sz w:val="2"/>
                <w:szCs w:val="2"/>
                <w:color w:val="auto"/>
              </w:rPr>
            </w:pPr>
          </w:p>
        </w:tc>
        <w:tc>
          <w:tcPr>
            <w:tcW w:w="19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84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0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74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r>
      <w:tr>
        <w:trPr>
          <w:trHeight w:val="257"/>
        </w:trPr>
        <w:tc>
          <w:tcPr>
            <w:tcW w:w="3420" w:type="dxa"/>
            <w:vAlign w:val="bottom"/>
            <w:gridSpan w:val="3"/>
          </w:tcPr>
          <w:p>
            <w:pPr>
              <w:ind w:left="260"/>
              <w:spacing w:after="0" w:line="257" w:lineRule="exact"/>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24"/>
                <w:szCs w:val="24"/>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78,446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78,446</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78,446</w:t>
            </w:r>
          </w:p>
        </w:tc>
        <w:tc>
          <w:tcPr>
            <w:tcW w:w="80" w:type="dxa"/>
            <w:vAlign w:val="bottom"/>
          </w:tcPr>
          <w:p>
            <w:pPr>
              <w:spacing w:after="0"/>
              <w:rPr>
                <w:sz w:val="22"/>
                <w:szCs w:val="22"/>
                <w:color w:val="auto"/>
              </w:rPr>
            </w:pPr>
          </w:p>
        </w:tc>
      </w:tr>
      <w:tr>
        <w:trPr>
          <w:trHeight w:val="250"/>
        </w:trPr>
        <w:tc>
          <w:tcPr>
            <w:tcW w:w="3420" w:type="dxa"/>
            <w:vAlign w:val="bottom"/>
            <w:tcBorders>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215,154</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215,154</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215,154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50"/>
        </w:trPr>
        <w:tc>
          <w:tcPr>
            <w:tcW w:w="3420" w:type="dxa"/>
            <w:vAlign w:val="bottom"/>
            <w:gridSpan w:val="3"/>
          </w:tcPr>
          <w:p>
            <w:pPr>
              <w:ind w:left="5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293,600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293,600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293,600</w:t>
            </w:r>
          </w:p>
        </w:tc>
        <w:tc>
          <w:tcPr>
            <w:tcW w:w="80" w:type="dxa"/>
            <w:vAlign w:val="bottom"/>
          </w:tcPr>
          <w:p>
            <w:pPr>
              <w:spacing w:after="0"/>
              <w:rPr>
                <w:sz w:val="21"/>
                <w:szCs w:val="21"/>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-879475</wp:posOffset>
            </wp:positionV>
            <wp:extent cx="12890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-879475</wp:posOffset>
            </wp:positionV>
            <wp:extent cx="12827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-879475</wp:posOffset>
            </wp:positionV>
            <wp:extent cx="11112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-879475</wp:posOffset>
            </wp:positionV>
            <wp:extent cx="11112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-879475</wp:posOffset>
            </wp:positionV>
            <wp:extent cx="5143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-193675</wp:posOffset>
            </wp:positionV>
            <wp:extent cx="12890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-193675</wp:posOffset>
            </wp:positionV>
            <wp:extent cx="12827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-193675</wp:posOffset>
            </wp:positionV>
            <wp:extent cx="11112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-193675</wp:posOffset>
            </wp:positionV>
            <wp:extent cx="11112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wp:posOffset>
            </wp:positionV>
            <wp:extent cx="5143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1841500</wp:posOffset>
            </wp:positionH>
            <wp:positionV relativeFrom="paragraph">
              <wp:posOffset>-1122045</wp:posOffset>
            </wp:positionV>
            <wp:extent cx="285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1841500</wp:posOffset>
            </wp:positionH>
            <wp:positionV relativeFrom="paragraph">
              <wp:posOffset>-436245</wp:posOffset>
            </wp:positionV>
            <wp:extent cx="285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(1) Included in cash and cash equivalents in accompanying balance sheets.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transfers between levels occurred during either of the reporting periods presented.</w:t>
      </w:r>
    </w:p>
    <w:p>
      <w:pPr>
        <w:spacing w:after="0" w:line="127"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 Incentive Plans and Stock-Based Compensation</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2021, there were 2,010,277 shares available for future issuance under the 2020 Equity Incentive Plan.</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option activity for the six months ended June 30, 2021:</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9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29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29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100"/>
              <w:spacing w:after="0"/>
              <w:rPr>
                <w:sz w:val="20"/>
                <w:szCs w:val="20"/>
                <w:color w:val="auto"/>
              </w:rPr>
            </w:pPr>
            <w:r>
              <w:rPr>
                <w:rFonts w:ascii="Arial" w:cs="Arial" w:eastAsia="Arial" w:hAnsi="Arial"/>
                <w:sz w:val="14"/>
                <w:szCs w:val="14"/>
                <w:b w:val="1"/>
                <w:bCs w:val="1"/>
                <w:color w:val="auto"/>
                <w:w w:val="92"/>
              </w:rPr>
              <w:t>Aggregate</w:t>
            </w:r>
          </w:p>
        </w:tc>
        <w:tc>
          <w:tcPr>
            <w:tcW w:w="80" w:type="dxa"/>
            <w:vAlign w:val="bottom"/>
          </w:tcPr>
          <w:p>
            <w:pPr>
              <w:spacing w:after="0"/>
              <w:rPr>
                <w:sz w:val="15"/>
                <w:szCs w:val="15"/>
                <w:color w:val="auto"/>
              </w:rPr>
            </w:pPr>
          </w:p>
        </w:tc>
      </w:tr>
      <w:tr>
        <w:trPr>
          <w:trHeight w:val="176"/>
        </w:trPr>
        <w:tc>
          <w:tcPr>
            <w:tcW w:w="29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57"/>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100"/>
              <w:spacing w:after="0"/>
              <w:rPr>
                <w:sz w:val="20"/>
                <w:szCs w:val="20"/>
                <w:color w:val="auto"/>
              </w:rPr>
            </w:pPr>
            <w:r>
              <w:rPr>
                <w:rFonts w:ascii="Arial" w:cs="Arial" w:eastAsia="Arial" w:hAnsi="Arial"/>
                <w:sz w:val="14"/>
                <w:szCs w:val="14"/>
                <w:b w:val="1"/>
                <w:bCs w:val="1"/>
                <w:color w:val="auto"/>
                <w:w w:val="95"/>
              </w:rPr>
              <w:t>Intrinsic</w:t>
            </w:r>
          </w:p>
        </w:tc>
        <w:tc>
          <w:tcPr>
            <w:tcW w:w="80" w:type="dxa"/>
            <w:vAlign w:val="bottom"/>
          </w:tcPr>
          <w:p>
            <w:pPr>
              <w:spacing w:after="0"/>
              <w:rPr>
                <w:sz w:val="15"/>
                <w:szCs w:val="15"/>
                <w:color w:val="auto"/>
              </w:rPr>
            </w:pPr>
          </w:p>
        </w:tc>
      </w:tr>
      <w:tr>
        <w:trPr>
          <w:trHeight w:val="175"/>
        </w:trPr>
        <w:tc>
          <w:tcPr>
            <w:tcW w:w="29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37"/>
              <w:spacing w:after="0"/>
              <w:rPr>
                <w:sz w:val="20"/>
                <w:szCs w:val="20"/>
                <w:color w:val="auto"/>
              </w:rPr>
            </w:pPr>
            <w:r>
              <w:rPr>
                <w:rFonts w:ascii="Arial" w:cs="Arial" w:eastAsia="Arial" w:hAnsi="Arial"/>
                <w:sz w:val="14"/>
                <w:szCs w:val="14"/>
                <w:b w:val="1"/>
                <w:bCs w:val="1"/>
                <w:color w:val="auto"/>
                <w:w w:val="90"/>
              </w:rPr>
              <w:t>Exercise</w:t>
            </w:r>
          </w:p>
        </w:tc>
        <w:tc>
          <w:tcPr>
            <w:tcW w:w="2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5"/>
                <w:szCs w:val="15"/>
                <w:color w:val="auto"/>
              </w:rPr>
            </w:pPr>
          </w:p>
        </w:tc>
      </w:tr>
      <w:tr>
        <w:trPr>
          <w:trHeight w:val="192"/>
        </w:trPr>
        <w:tc>
          <w:tcPr>
            <w:tcW w:w="2980" w:type="dxa"/>
            <w:vAlign w:val="bottom"/>
          </w:tcPr>
          <w:p>
            <w:pPr>
              <w:spacing w:after="0"/>
              <w:rPr>
                <w:sz w:val="16"/>
                <w:szCs w:val="16"/>
                <w:color w:val="auto"/>
              </w:rPr>
            </w:pPr>
          </w:p>
        </w:tc>
        <w:tc>
          <w:tcPr>
            <w:tcW w:w="13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26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6"/>
                <w:szCs w:val="16"/>
                <w:color w:val="auto"/>
              </w:rPr>
            </w:pPr>
          </w:p>
        </w:tc>
      </w:tr>
      <w:tr>
        <w:trPr>
          <w:trHeight w:val="256"/>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3,996,174</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99,107</w:t>
            </w:r>
          </w:p>
        </w:tc>
        <w:tc>
          <w:tcPr>
            <w:tcW w:w="80" w:type="dxa"/>
            <w:vAlign w:val="bottom"/>
            <w:shd w:val="clear" w:color="auto" w:fill="CFF0FC"/>
          </w:tcPr>
          <w:p>
            <w:pPr>
              <w:spacing w:after="0"/>
              <w:rPr>
                <w:sz w:val="22"/>
                <w:szCs w:val="22"/>
                <w:color w:val="auto"/>
              </w:rPr>
            </w:pPr>
          </w:p>
        </w:tc>
      </w:tr>
      <w:tr>
        <w:trPr>
          <w:trHeight w:val="250"/>
        </w:trPr>
        <w:tc>
          <w:tcPr>
            <w:tcW w:w="298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1,327,392</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28.54</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(43,197 )</w:t>
            </w:r>
          </w:p>
        </w:tc>
        <w:tc>
          <w:tcPr>
            <w:tcW w:w="2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6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2980" w:type="dxa"/>
            <w:vAlign w:val="bottom"/>
          </w:tcPr>
          <w:p>
            <w:pPr>
              <w:spacing w:after="0"/>
              <w:rPr>
                <w:sz w:val="20"/>
                <w:szCs w:val="20"/>
                <w:color w:val="auto"/>
              </w:rPr>
            </w:pPr>
            <w:r>
              <w:rPr>
                <w:rFonts w:ascii="Arial" w:cs="Arial" w:eastAsia="Arial" w:hAnsi="Arial"/>
                <w:sz w:val="18"/>
                <w:szCs w:val="18"/>
                <w:color w:val="auto"/>
              </w:rPr>
              <w:t>Forfeited and cancelled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(73,681 )</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22.92</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2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2021</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5,206,688</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13.87</w:t>
            </w:r>
          </w:p>
        </w:tc>
        <w:tc>
          <w:tcPr>
            <w:tcW w:w="2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36,056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50"/>
        </w:trPr>
        <w:tc>
          <w:tcPr>
            <w:tcW w:w="2980" w:type="dxa"/>
            <w:vAlign w:val="bottom"/>
          </w:tcPr>
          <w:p>
            <w:pPr>
              <w:spacing w:after="0"/>
              <w:rPr>
                <w:sz w:val="20"/>
                <w:szCs w:val="20"/>
                <w:color w:val="auto"/>
              </w:rPr>
            </w:pPr>
            <w:r>
              <w:rPr>
                <w:rFonts w:ascii="Arial" w:cs="Arial" w:eastAsia="Arial" w:hAnsi="Arial"/>
                <w:sz w:val="18"/>
                <w:szCs w:val="18"/>
                <w:color w:val="auto"/>
              </w:rPr>
              <w:t>Exercisable at June 30, 2021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1,926,551</w:t>
            </w:r>
          </w:p>
        </w:tc>
        <w:tc>
          <w:tcPr>
            <w:tcW w:w="24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260" w:type="dxa"/>
            <w:vAlign w:val="bottom"/>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22,663</w:t>
            </w: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-176530</wp:posOffset>
            </wp:positionV>
            <wp:extent cx="15430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-176530</wp:posOffset>
            </wp:positionV>
            <wp:extent cx="15430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-176530</wp:posOffset>
            </wp:positionV>
            <wp:extent cx="13716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-176530</wp:posOffset>
            </wp:positionV>
            <wp:extent cx="5143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41" w:lineRule="exact"/>
        <w:rPr>
          <w:sz w:val="20"/>
          <w:szCs w:val="20"/>
          <w:color w:val="auto"/>
        </w:rPr>
      </w:pPr>
    </w:p>
    <w:p>
      <w:pPr>
        <w:ind w:right="80" w:firstLine="648"/>
        <w:spacing w:after="0" w:line="293"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219"/>
        </w:trPr>
        <w:tc>
          <w:tcPr>
            <w:tcW w:w="3920" w:type="dxa"/>
            <w:vAlign w:val="bottom"/>
          </w:tcPr>
          <w:p>
            <w:pPr>
              <w:spacing w:after="0"/>
              <w:rPr>
                <w:sz w:val="19"/>
                <w:szCs w:val="19"/>
                <w:color w:val="auto"/>
              </w:rPr>
            </w:pPr>
          </w:p>
        </w:tc>
        <w:tc>
          <w:tcPr>
            <w:tcW w:w="24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9"/>
                <w:szCs w:val="19"/>
                <w:color w:val="auto"/>
              </w:rPr>
            </w:pPr>
          </w:p>
        </w:tc>
        <w:tc>
          <w:tcPr>
            <w:tcW w:w="22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9"/>
                <w:szCs w:val="19"/>
                <w:color w:val="auto"/>
              </w:rPr>
            </w:pPr>
          </w:p>
        </w:tc>
      </w:tr>
      <w:tr>
        <w:trPr>
          <w:trHeight w:val="196"/>
        </w:trPr>
        <w:tc>
          <w:tcPr>
            <w:tcW w:w="3920" w:type="dxa"/>
            <w:vAlign w:val="bottom"/>
          </w:tcPr>
          <w:p>
            <w:pPr>
              <w:spacing w:after="0"/>
              <w:rPr>
                <w:sz w:val="17"/>
                <w:szCs w:val="17"/>
                <w:color w:val="auto"/>
              </w:rPr>
            </w:pPr>
          </w:p>
        </w:tc>
        <w:tc>
          <w:tcPr>
            <w:tcW w:w="11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10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0"/>
        </w:trPr>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180" w:type="dxa"/>
            <w:vAlign w:val="bottom"/>
            <w:tcBorders>
              <w:bottom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w w:val="89"/>
              </w:rPr>
              <w:t>5,206,688</w:t>
            </w:r>
          </w:p>
        </w:tc>
        <w:tc>
          <w:tcPr>
            <w:tcW w:w="2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3,947,577</w:t>
            </w:r>
          </w:p>
        </w:tc>
        <w:tc>
          <w:tcPr>
            <w:tcW w:w="26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w w:val="87"/>
              </w:rPr>
              <w:t>5,206,688</w:t>
            </w:r>
          </w:p>
        </w:tc>
        <w:tc>
          <w:tcPr>
            <w:tcW w:w="2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3,947,577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50"/>
        </w:trPr>
        <w:tc>
          <w:tcPr>
            <w:tcW w:w="3920" w:type="dxa"/>
            <w:vAlign w:val="bottom"/>
          </w:tcPr>
          <w:p>
            <w:pPr>
              <w:ind w:left="260"/>
              <w:spacing w:after="0"/>
              <w:rPr>
                <w:sz w:val="20"/>
                <w:szCs w:val="20"/>
                <w:color w:val="auto"/>
              </w:rPr>
            </w:pPr>
            <w:r>
              <w:rPr>
                <w:rFonts w:ascii="Arial" w:cs="Arial" w:eastAsia="Arial" w:hAnsi="Arial"/>
                <w:sz w:val="18"/>
                <w:szCs w:val="18"/>
                <w:color w:val="auto"/>
              </w:rPr>
              <w:t>Total</w:t>
            </w:r>
          </w:p>
        </w:tc>
        <w:tc>
          <w:tcPr>
            <w:tcW w:w="1180" w:type="dxa"/>
            <w:vAlign w:val="bottom"/>
          </w:tcPr>
          <w:p>
            <w:pPr>
              <w:ind w:left="440"/>
              <w:spacing w:after="0"/>
              <w:rPr>
                <w:sz w:val="20"/>
                <w:szCs w:val="20"/>
                <w:color w:val="auto"/>
              </w:rPr>
            </w:pPr>
            <w:r>
              <w:rPr>
                <w:rFonts w:ascii="Arial" w:cs="Arial" w:eastAsia="Arial" w:hAnsi="Arial"/>
                <w:sz w:val="18"/>
                <w:szCs w:val="18"/>
                <w:color w:val="auto"/>
                <w:w w:val="89"/>
              </w:rPr>
              <w:t>5,206,688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3,947,577</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w w:val="87"/>
              </w:rPr>
              <w:t>5,206,688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3,947,577</w:t>
            </w:r>
          </w:p>
        </w:tc>
        <w:tc>
          <w:tcPr>
            <w:tcW w:w="80" w:type="dxa"/>
            <w:vAlign w:val="bottom"/>
          </w:tcPr>
          <w:p>
            <w:pPr>
              <w:spacing w:after="0"/>
              <w:rPr>
                <w:sz w:val="21"/>
                <w:szCs w:val="21"/>
                <w:color w:val="auto"/>
              </w:rPr>
            </w:pPr>
          </w:p>
        </w:tc>
      </w:tr>
      <w:tr>
        <w:trPr>
          <w:trHeight w:val="20"/>
        </w:trPr>
        <w:tc>
          <w:tcPr>
            <w:tcW w:w="39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-193675</wp:posOffset>
            </wp:positionV>
            <wp:extent cx="14605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-193675</wp:posOffset>
            </wp:positionV>
            <wp:extent cx="15430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-193675</wp:posOffset>
            </wp:positionV>
            <wp:extent cx="12890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wp:posOffset>
            </wp:positionV>
            <wp:extent cx="5143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stock option awards to employees, executives, directors, and other service providers was estimated at the date of grant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Merton option pricing model with the following assumptions: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80" w:type="dxa"/>
            <w:vAlign w:val="bottom"/>
            <w:gridSpan w:val="3"/>
          </w:tcPr>
          <w:p>
            <w:pPr>
              <w:jc w:val="right"/>
              <w:ind w:right="728"/>
              <w:spacing w:after="0"/>
              <w:rPr>
                <w:sz w:val="20"/>
                <w:szCs w:val="20"/>
                <w:color w:val="auto"/>
              </w:rPr>
            </w:pPr>
            <w:r>
              <w:rPr>
                <w:rFonts w:ascii="Arial" w:cs="Arial" w:eastAsia="Arial" w:hAnsi="Arial"/>
                <w:sz w:val="14"/>
                <w:szCs w:val="14"/>
                <w:b w:val="1"/>
                <w:bCs w:val="1"/>
                <w:color w:val="auto"/>
                <w:w w:val="95"/>
              </w:rPr>
              <w:t>Six Months Ended</w:t>
            </w:r>
          </w:p>
        </w:tc>
        <w:tc>
          <w:tcPr>
            <w:tcW w:w="1260" w:type="dxa"/>
            <w:vAlign w:val="bottom"/>
          </w:tcPr>
          <w:p>
            <w:pPr>
              <w:spacing w:after="0"/>
              <w:rPr>
                <w:sz w:val="15"/>
                <w:szCs w:val="15"/>
                <w:color w:val="auto"/>
              </w:rPr>
            </w:pPr>
          </w:p>
        </w:tc>
      </w:tr>
      <w:tr>
        <w:trPr>
          <w:trHeight w:val="219"/>
        </w:trPr>
        <w:tc>
          <w:tcPr>
            <w:tcW w:w="374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1048"/>
              <w:spacing w:after="0"/>
              <w:rPr>
                <w:sz w:val="20"/>
                <w:szCs w:val="20"/>
                <w:color w:val="auto"/>
              </w:rPr>
            </w:pPr>
            <w:r>
              <w:rPr>
                <w:rFonts w:ascii="Arial" w:cs="Arial" w:eastAsia="Arial" w:hAnsi="Arial"/>
                <w:sz w:val="14"/>
                <w:szCs w:val="14"/>
                <w:b w:val="1"/>
                <w:bCs w:val="1"/>
                <w:color w:val="auto"/>
              </w:rPr>
              <w:t>June 30,</w:t>
            </w:r>
          </w:p>
        </w:tc>
        <w:tc>
          <w:tcPr>
            <w:tcW w:w="1260" w:type="dxa"/>
            <w:vAlign w:val="bottom"/>
            <w:tcBorders>
              <w:bottom w:val="single" w:sz="8" w:color="auto"/>
            </w:tcBorders>
          </w:tcPr>
          <w:p>
            <w:pPr>
              <w:spacing w:after="0"/>
              <w:rPr>
                <w:sz w:val="19"/>
                <w:szCs w:val="19"/>
                <w:color w:val="auto"/>
              </w:rPr>
            </w:pPr>
          </w:p>
        </w:tc>
      </w:tr>
      <w:tr>
        <w:trPr>
          <w:trHeight w:val="197"/>
        </w:trPr>
        <w:tc>
          <w:tcPr>
            <w:tcW w:w="3740" w:type="dxa"/>
            <w:vAlign w:val="bottom"/>
          </w:tcPr>
          <w:p>
            <w:pPr>
              <w:spacing w:after="0"/>
              <w:rPr>
                <w:sz w:val="17"/>
                <w:szCs w:val="17"/>
                <w:color w:val="auto"/>
              </w:rPr>
            </w:pPr>
          </w:p>
        </w:tc>
        <w:tc>
          <w:tcPr>
            <w:tcW w:w="200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tcBorders>
              <w:bottom w:val="single" w:sz="8" w:color="auto"/>
            </w:tcBorders>
            <w:gridSpan w:val="2"/>
          </w:tcPr>
          <w:p>
            <w:pPr>
              <w:jc w:val="right"/>
              <w:ind w:right="970"/>
              <w:spacing w:after="0"/>
              <w:rPr>
                <w:sz w:val="20"/>
                <w:szCs w:val="20"/>
                <w:color w:val="auto"/>
              </w:rPr>
            </w:pPr>
            <w:r>
              <w:rPr>
                <w:rFonts w:ascii="Arial" w:cs="Arial" w:eastAsia="Arial" w:hAnsi="Arial"/>
                <w:sz w:val="14"/>
                <w:szCs w:val="14"/>
                <w:b w:val="1"/>
                <w:bCs w:val="1"/>
                <w:color w:val="auto"/>
              </w:rPr>
              <w:t>2020</w:t>
            </w:r>
          </w:p>
        </w:tc>
      </w:tr>
      <w:tr>
        <w:trPr>
          <w:trHeight w:val="256"/>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Stock price</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$19.03</w:t>
            </w:r>
          </w:p>
        </w:tc>
        <w:tc>
          <w:tcPr>
            <w:tcW w:w="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$35.67</w:t>
            </w:r>
          </w:p>
        </w:tc>
        <w:tc>
          <w:tcPr>
            <w:tcW w:w="1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1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$35.92</w:t>
            </w:r>
          </w:p>
        </w:tc>
      </w:tr>
      <w:tr>
        <w:trPr>
          <w:trHeight w:val="250"/>
        </w:trPr>
        <w:tc>
          <w:tcPr>
            <w:tcW w:w="3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tcPr>
          <w:p>
            <w:pPr>
              <w:jc w:val="right"/>
              <w:spacing w:after="0"/>
              <w:rPr>
                <w:sz w:val="20"/>
                <w:szCs w:val="20"/>
                <w:color w:val="auto"/>
              </w:rPr>
            </w:pPr>
            <w:r>
              <w:rPr>
                <w:rFonts w:ascii="Arial" w:cs="Arial" w:eastAsia="Arial" w:hAnsi="Arial"/>
                <w:sz w:val="18"/>
                <w:szCs w:val="18"/>
                <w:color w:val="auto"/>
              </w:rPr>
              <w:t>0.60%</w:t>
            </w:r>
          </w:p>
        </w:tc>
        <w:tc>
          <w:tcPr>
            <w:tcW w:w="740" w:type="dxa"/>
            <w:vAlign w:val="bottom"/>
          </w:tcPr>
          <w:p>
            <w:pPr>
              <w:ind w:left="20"/>
              <w:spacing w:after="0"/>
              <w:rPr>
                <w:sz w:val="20"/>
                <w:szCs w:val="20"/>
                <w:color w:val="auto"/>
              </w:rPr>
            </w:pPr>
            <w:r>
              <w:rPr>
                <w:rFonts w:ascii="Arial" w:cs="Arial" w:eastAsia="Arial" w:hAnsi="Arial"/>
                <w:sz w:val="18"/>
                <w:szCs w:val="18"/>
                <w:color w:val="auto"/>
              </w:rPr>
              <w:t>- 1.15%</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4.00%</w:t>
            </w:r>
          </w:p>
        </w:tc>
        <w:tc>
          <w:tcPr>
            <w:tcW w:w="1260" w:type="dxa"/>
            <w:vAlign w:val="bottom"/>
          </w:tcPr>
          <w:p>
            <w:pPr>
              <w:ind w:left="20"/>
              <w:spacing w:after="0"/>
              <w:rPr>
                <w:sz w:val="20"/>
                <w:szCs w:val="20"/>
                <w:color w:val="auto"/>
              </w:rPr>
            </w:pPr>
            <w:r>
              <w:rPr>
                <w:rFonts w:ascii="Arial" w:cs="Arial" w:eastAsia="Arial" w:hAnsi="Arial"/>
                <w:sz w:val="18"/>
                <w:szCs w:val="18"/>
                <w:color w:val="auto"/>
              </w:rPr>
              <w:t>- 4.45%</w:t>
            </w:r>
          </w:p>
        </w:tc>
      </w:tr>
      <w:tr>
        <w:trPr>
          <w:trHeight w:val="26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85.31%</w:t>
            </w:r>
          </w:p>
        </w:tc>
        <w:tc>
          <w:tcPr>
            <w:tcW w:w="7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7"/>
              </w:rPr>
              <w:t>- 88.43%</w:t>
            </w:r>
          </w:p>
        </w:tc>
        <w:tc>
          <w:tcPr>
            <w:tcW w:w="1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88.01%</w:t>
            </w:r>
          </w:p>
        </w:tc>
        <w:tc>
          <w:tcPr>
            <w:tcW w:w="1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- 88.06%</w:t>
            </w:r>
          </w:p>
        </w:tc>
      </w:tr>
      <w:tr>
        <w:trPr>
          <w:trHeight w:val="250"/>
        </w:trPr>
        <w:tc>
          <w:tcPr>
            <w:tcW w:w="37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60" w:type="dxa"/>
            <w:vAlign w:val="bottom"/>
          </w:tcPr>
          <w:p>
            <w:pPr>
              <w:jc w:val="right"/>
              <w:spacing w:after="0"/>
              <w:rPr>
                <w:sz w:val="20"/>
                <w:szCs w:val="20"/>
                <w:color w:val="auto"/>
              </w:rPr>
            </w:pPr>
            <w:r>
              <w:rPr>
                <w:rFonts w:ascii="Arial" w:cs="Arial" w:eastAsia="Arial" w:hAnsi="Arial"/>
                <w:sz w:val="18"/>
                <w:szCs w:val="18"/>
                <w:color w:val="auto"/>
              </w:rPr>
              <w:t>5.50</w:t>
            </w:r>
          </w:p>
        </w:tc>
        <w:tc>
          <w:tcPr>
            <w:tcW w:w="740" w:type="dxa"/>
            <w:vAlign w:val="bottom"/>
          </w:tcPr>
          <w:p>
            <w:pPr>
              <w:ind w:left="20"/>
              <w:spacing w:after="0"/>
              <w:rPr>
                <w:sz w:val="20"/>
                <w:szCs w:val="20"/>
                <w:color w:val="auto"/>
              </w:rPr>
            </w:pPr>
            <w:r>
              <w:rPr>
                <w:rFonts w:ascii="Arial" w:cs="Arial" w:eastAsia="Arial" w:hAnsi="Arial"/>
                <w:sz w:val="18"/>
                <w:szCs w:val="18"/>
                <w:color w:val="auto"/>
              </w:rPr>
              <w:t>- 6.08</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5.50</w:t>
            </w:r>
          </w:p>
        </w:tc>
        <w:tc>
          <w:tcPr>
            <w:tcW w:w="1260" w:type="dxa"/>
            <w:vAlign w:val="bottom"/>
          </w:tcPr>
          <w:p>
            <w:pPr>
              <w:ind w:left="20"/>
              <w:spacing w:after="0"/>
              <w:rPr>
                <w:sz w:val="20"/>
                <w:szCs w:val="20"/>
                <w:color w:val="auto"/>
              </w:rPr>
            </w:pPr>
            <w:r>
              <w:rPr>
                <w:rFonts w:ascii="Arial" w:cs="Arial" w:eastAsia="Arial" w:hAnsi="Arial"/>
                <w:sz w:val="18"/>
                <w:szCs w:val="18"/>
                <w:color w:val="auto"/>
              </w:rPr>
              <w:t>- 6.08</w:t>
            </w:r>
          </w:p>
        </w:tc>
      </w:tr>
      <w:tr>
        <w:trPr>
          <w:trHeight w:val="26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2000" w:type="dxa"/>
            <w:vAlign w:val="bottom"/>
            <w:gridSpan w:val="2"/>
            <w:shd w:val="clear" w:color="auto" w:fill="CFF0FC"/>
          </w:tcPr>
          <w:p>
            <w:pPr>
              <w:jc w:val="right"/>
              <w:ind w:right="490"/>
              <w:spacing w:after="0"/>
              <w:rPr>
                <w:sz w:val="20"/>
                <w:szCs w:val="20"/>
                <w:color w:val="auto"/>
              </w:rPr>
            </w:pPr>
            <w:r>
              <w:rPr>
                <w:rFonts w:ascii="Arial" w:cs="Arial" w:eastAsia="Arial" w:hAnsi="Arial"/>
                <w:sz w:val="18"/>
                <w:szCs w:val="18"/>
                <w:color w:val="auto"/>
              </w:rPr>
              <w:t>0%</w:t>
            </w:r>
          </w:p>
        </w:tc>
        <w:tc>
          <w:tcPr>
            <w:tcW w:w="3240" w:type="dxa"/>
            <w:vAlign w:val="bottom"/>
            <w:gridSpan w:val="4"/>
            <w:shd w:val="clear" w:color="auto" w:fill="CFF0FC"/>
          </w:tcPr>
          <w:p>
            <w:pPr>
              <w:jc w:val="right"/>
              <w:ind w:right="990"/>
              <w:spacing w:after="0"/>
              <w:rPr>
                <w:sz w:val="20"/>
                <w:szCs w:val="20"/>
                <w:color w:val="auto"/>
              </w:rPr>
            </w:pPr>
            <w:r>
              <w:rPr>
                <w:rFonts w:ascii="Arial" w:cs="Arial" w:eastAsia="Arial" w:hAnsi="Arial"/>
                <w:sz w:val="18"/>
                <w:szCs w:val="18"/>
                <w:color w:val="auto"/>
              </w:rPr>
              <w:t>0%</w:t>
            </w:r>
          </w:p>
        </w:tc>
      </w:tr>
    </w:tbl>
    <w:p>
      <w:pPr>
        <w:spacing w:after="0" w:line="134" w:lineRule="exact"/>
        <w:rPr>
          <w:sz w:val="20"/>
          <w:szCs w:val="20"/>
          <w:color w:val="auto"/>
        </w:rPr>
      </w:pPr>
    </w:p>
    <w:p>
      <w:pPr>
        <w:ind w:firstLine="648"/>
        <w:spacing w:after="0" w:line="293" w:lineRule="auto"/>
        <w:rPr>
          <w:sz w:val="20"/>
          <w:szCs w:val="20"/>
          <w:color w:val="auto"/>
        </w:rPr>
      </w:pPr>
      <w:r>
        <w:rPr>
          <w:rFonts w:ascii="Arial" w:cs="Arial" w:eastAsia="Arial" w:hAnsi="Arial"/>
          <w:sz w:val="18"/>
          <w:szCs w:val="18"/>
          <w:color w:val="auto"/>
        </w:rPr>
        <w:t>The total unrecognized compensation expense related to outstanding unvested stock-based awards as of June 30, 2021, was $41.0 million, which is expected to be recognized over a weighted-average remaining service period of 2.76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4" w:name="page15"/>
    <w:bookmarkEnd w:id="14"/>
    <w:p>
      <w:pPr>
        <w:ind w:right="120" w:firstLine="648"/>
        <w:spacing w:after="0" w:line="293" w:lineRule="auto"/>
        <w:rPr>
          <w:sz w:val="20"/>
          <w:szCs w:val="20"/>
          <w:color w:val="auto"/>
        </w:rPr>
      </w:pPr>
      <w:r>
        <w:rPr>
          <w:rFonts w:ascii="Arial" w:cs="Arial" w:eastAsia="Arial" w:hAnsi="Arial"/>
          <w:sz w:val="18"/>
          <w:szCs w:val="18"/>
          <w:color w:val="auto"/>
        </w:rPr>
        <w:t>The table below summarizes the total stock-based compensation expense included in the Company’s statements of operations and comprehensive loss for stock options for the periods presented (in thousands):</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3720" w:type="dxa"/>
            <w:vAlign w:val="bottom"/>
          </w:tcPr>
          <w:p>
            <w:pPr>
              <w:spacing w:after="0"/>
              <w:rPr>
                <w:sz w:val="15"/>
                <w:szCs w:val="15"/>
                <w:color w:val="auto"/>
              </w:rPr>
            </w:pPr>
          </w:p>
        </w:tc>
        <w:tc>
          <w:tcPr>
            <w:tcW w:w="2500" w:type="dxa"/>
            <w:vAlign w:val="bottom"/>
            <w:gridSpan w:val="5"/>
          </w:tcPr>
          <w:p>
            <w:pPr>
              <w:jc w:val="right"/>
              <w:ind w:right="515"/>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5"/>
                <w:szCs w:val="15"/>
                <w:color w:val="auto"/>
              </w:rPr>
            </w:pPr>
          </w:p>
        </w:tc>
      </w:tr>
      <w:tr>
        <w:trPr>
          <w:trHeight w:val="219"/>
        </w:trPr>
        <w:tc>
          <w:tcPr>
            <w:tcW w:w="37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7"/>
        </w:trPr>
        <w:tc>
          <w:tcPr>
            <w:tcW w:w="37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1,264</w:t>
            </w:r>
          </w:p>
        </w:tc>
        <w:tc>
          <w:tcPr>
            <w:tcW w:w="4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2,331</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80" w:type="dxa"/>
            <w:vAlign w:val="bottom"/>
            <w:shd w:val="clear" w:color="auto" w:fill="CFF0FC"/>
          </w:tcPr>
          <w:p>
            <w:pPr>
              <w:spacing w:after="0"/>
              <w:rPr>
                <w:sz w:val="22"/>
                <w:szCs w:val="22"/>
                <w:color w:val="auto"/>
              </w:rPr>
            </w:pPr>
          </w:p>
        </w:tc>
      </w:tr>
      <w:tr>
        <w:trPr>
          <w:trHeight w:val="250"/>
        </w:trPr>
        <w:tc>
          <w:tcPr>
            <w:tcW w:w="37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1,949</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3,626</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80" w:type="dxa"/>
            <w:vAlign w:val="bottom"/>
          </w:tcPr>
          <w:p>
            <w:pPr>
              <w:spacing w:after="0"/>
              <w:rPr>
                <w:sz w:val="21"/>
                <w:szCs w:val="21"/>
                <w:color w:val="auto"/>
              </w:rPr>
            </w:pPr>
          </w:p>
        </w:tc>
      </w:tr>
      <w:tr>
        <w:trPr>
          <w:trHeight w:val="270"/>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3,213</w:t>
            </w:r>
          </w:p>
        </w:tc>
        <w:tc>
          <w:tcPr>
            <w:tcW w:w="200" w:type="dxa"/>
            <w:vAlign w:val="bottom"/>
            <w:shd w:val="clear" w:color="auto" w:fill="CFF0FC"/>
          </w:tcPr>
          <w:p>
            <w:pPr>
              <w:spacing w:after="0"/>
              <w:rPr>
                <w:sz w:val="23"/>
                <w:szCs w:val="23"/>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w:t>
            </w:r>
          </w:p>
        </w:tc>
        <w:tc>
          <w:tcPr>
            <w:tcW w:w="240" w:type="dxa"/>
            <w:vAlign w:val="bottom"/>
            <w:shd w:val="clear" w:color="auto" w:fill="CFF0FC"/>
          </w:tcPr>
          <w:p>
            <w:pPr>
              <w:spacing w:after="0"/>
              <w:rPr>
                <w:sz w:val="23"/>
                <w:szCs w:val="23"/>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5,957</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80" w:type="dxa"/>
            <w:vAlign w:val="bottom"/>
            <w:shd w:val="clear" w:color="auto" w:fill="CFF0FC"/>
          </w:tcPr>
          <w:p>
            <w:pPr>
              <w:spacing w:after="0"/>
              <w:rPr>
                <w:sz w:val="23"/>
                <w:szCs w:val="23"/>
                <w:color w:val="auto"/>
              </w:rPr>
            </w:pPr>
          </w:p>
        </w:tc>
      </w:tr>
      <w:tr>
        <w:trPr>
          <w:trHeight w:val="20"/>
        </w:trPr>
        <w:tc>
          <w:tcPr>
            <w:tcW w:w="37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-25400</wp:posOffset>
            </wp:positionV>
            <wp:extent cx="12890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1289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-25400</wp:posOffset>
            </wp:positionV>
            <wp:extent cx="15430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1543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-25400</wp:posOffset>
            </wp:positionV>
            <wp:extent cx="14605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14605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660" w:right="8500" w:hanging="652"/>
        <w:spacing w:after="0" w:line="442" w:lineRule="auto"/>
        <w:tabs>
          <w:tab w:leader="none" w:pos="192"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Commitments and Contingencies </w:t>
      </w:r>
      <w:r>
        <w:rPr>
          <w:rFonts w:ascii="Arial" w:cs="Arial" w:eastAsia="Arial" w:hAnsi="Arial"/>
          <w:sz w:val="16"/>
          <w:szCs w:val="16"/>
          <w:b w:val="1"/>
          <w:bCs w:val="1"/>
          <w:i w:val="1"/>
          <w:iCs w:val="1"/>
          <w:color w:val="auto"/>
        </w:rPr>
        <w:t>Operating Leases</w:t>
      </w:r>
    </w:p>
    <w:p>
      <w:pPr>
        <w:spacing w:after="0" w:line="1"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8"/>
          <w:szCs w:val="18"/>
          <w:color w:val="auto"/>
        </w:rPr>
        <w:t>The Company leases certain office and lab space in South San Francisco, California under a non-cancelable operating lease, with a term through May 2022, and an option to renew for an additional five-year term. The optional renewal term was not considered in the Company’s right-of-use and lease liability.</w:t>
      </w:r>
    </w:p>
    <w:p>
      <w:pPr>
        <w:spacing w:after="0" w:line="75" w:lineRule="exact"/>
        <w:rPr>
          <w:sz w:val="20"/>
          <w:szCs w:val="20"/>
          <w:color w:val="auto"/>
        </w:rPr>
      </w:pPr>
    </w:p>
    <w:p>
      <w:pPr>
        <w:jc w:val="both"/>
        <w:ind w:right="60" w:firstLine="648"/>
        <w:spacing w:after="0" w:line="279" w:lineRule="auto"/>
        <w:rPr>
          <w:sz w:val="20"/>
          <w:szCs w:val="20"/>
          <w:color w:val="auto"/>
        </w:rPr>
      </w:pPr>
      <w:r>
        <w:rPr>
          <w:rFonts w:ascii="Arial" w:cs="Arial" w:eastAsia="Arial" w:hAnsi="Arial"/>
          <w:sz w:val="18"/>
          <w:szCs w:val="18"/>
          <w:color w:val="auto"/>
        </w:rPr>
        <w:t>In March 2019, the Company entered into a lease agreement for office space in San Diego, California under a non-cancelable operating lease with a 13-month term. In October 2019, the lease was amended to increase the office space and extend the term until May 2021. The lease was further amended in November 2020 to extend the lease term until December 2021.</w:t>
      </w:r>
    </w:p>
    <w:p>
      <w:pPr>
        <w:spacing w:after="0" w:line="75" w:lineRule="exact"/>
        <w:rPr>
          <w:sz w:val="20"/>
          <w:szCs w:val="20"/>
          <w:color w:val="auto"/>
        </w:rPr>
      </w:pPr>
    </w:p>
    <w:p>
      <w:pPr>
        <w:ind w:right="40" w:firstLine="648"/>
        <w:spacing w:after="0" w:line="319" w:lineRule="auto"/>
        <w:rPr>
          <w:sz w:val="20"/>
          <w:szCs w:val="20"/>
          <w:color w:val="auto"/>
        </w:rPr>
      </w:pPr>
      <w:r>
        <w:rPr>
          <w:rFonts w:ascii="Arial" w:cs="Arial" w:eastAsia="Arial" w:hAnsi="Arial"/>
          <w:sz w:val="16"/>
          <w:szCs w:val="16"/>
          <w:color w:val="auto"/>
        </w:rPr>
        <w:t>The operating lease right-of-use assets and liabilities on the Company’s balance sheet as of June 30, 2021 are related to the Company’s facility leases. Upon adoption of ASC 842, facilities leases were classified as operating leases which resulted in recording right-of-use assets and lease liabilities of approximately $1.7 million and $2.5 million, respectively, as of January 1, 2021. The right-of-use assets are recorded on the balance sheet in other assets. The lease liabilities amount was included in accrued liabilities and other long-term liabilities for approximately $1.9 million and $0.6 million, respectively.</w:t>
      </w:r>
    </w:p>
    <w:p>
      <w:pPr>
        <w:spacing w:after="0" w:line="48" w:lineRule="exact"/>
        <w:rPr>
          <w:sz w:val="20"/>
          <w:szCs w:val="20"/>
          <w:color w:val="auto"/>
        </w:rPr>
      </w:pPr>
    </w:p>
    <w:p>
      <w:pPr>
        <w:ind w:right="100" w:firstLine="648"/>
        <w:spacing w:after="0" w:line="293" w:lineRule="auto"/>
        <w:rPr>
          <w:sz w:val="20"/>
          <w:szCs w:val="20"/>
          <w:color w:val="auto"/>
        </w:rPr>
      </w:pPr>
      <w:r>
        <w:rPr>
          <w:rFonts w:ascii="Arial" w:cs="Arial" w:eastAsia="Arial" w:hAnsi="Arial"/>
          <w:sz w:val="18"/>
          <w:szCs w:val="18"/>
          <w:color w:val="auto"/>
        </w:rPr>
        <w:t>Certain of our facility leases require us to pay property taxes, insurance and common area maintenance. While these payments are not included as part of our lease liabilities, they are recognized as variable lease costs in the period they are incurred.</w:t>
      </w:r>
    </w:p>
    <w:p>
      <w:pPr>
        <w:spacing w:after="0" w:line="62" w:lineRule="exact"/>
        <w:rPr>
          <w:sz w:val="20"/>
          <w:szCs w:val="20"/>
          <w:color w:val="auto"/>
        </w:rPr>
      </w:pPr>
    </w:p>
    <w:p>
      <w:pPr>
        <w:ind w:right="160" w:firstLine="648"/>
        <w:spacing w:after="0" w:line="279" w:lineRule="auto"/>
        <w:rPr>
          <w:sz w:val="20"/>
          <w:szCs w:val="20"/>
          <w:color w:val="auto"/>
        </w:rPr>
      </w:pPr>
      <w:r>
        <w:rPr>
          <w:rFonts w:ascii="Arial" w:cs="Arial" w:eastAsia="Arial" w:hAnsi="Arial"/>
          <w:sz w:val="18"/>
          <w:szCs w:val="18"/>
          <w:color w:val="auto"/>
        </w:rPr>
        <w:t>Operating lease costs for the three and six months ended June 30, 2021 was approximately $0.3 million and $0.7 million, respectively. Cash paid for our operating leases for the six months ended June 30, 2021 was $1.0 million. The weighted average discount rate used was 8.2%. The weighted-average remaining lease term for all operating leases was 0.86 years.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lease payments of operating lease liabilities as of June 30, 2021 were as follows (in thousands):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5"/>
              </w:rPr>
              <w:t>Operating Leases</w:t>
            </w:r>
          </w:p>
        </w:tc>
        <w:tc>
          <w:tcPr>
            <w:tcW w:w="80" w:type="dxa"/>
            <w:vAlign w:val="bottom"/>
          </w:tcPr>
          <w:p>
            <w:pPr>
              <w:spacing w:after="0"/>
              <w:rPr>
                <w:sz w:val="16"/>
                <w:szCs w:val="16"/>
                <w:color w:val="auto"/>
              </w:rPr>
            </w:pPr>
          </w:p>
        </w:tc>
      </w:tr>
      <w:tr>
        <w:trPr>
          <w:trHeight w:val="256"/>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2021 remaining 6 months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80" w:type="dxa"/>
            <w:vAlign w:val="bottom"/>
            <w:shd w:val="clear" w:color="auto" w:fill="CFF0FC"/>
          </w:tcPr>
          <w:p>
            <w:pPr>
              <w:spacing w:after="0"/>
              <w:rPr>
                <w:sz w:val="22"/>
                <w:szCs w:val="22"/>
                <w:color w:val="auto"/>
              </w:rPr>
            </w:pPr>
          </w:p>
        </w:tc>
      </w:tr>
      <w:tr>
        <w:trPr>
          <w:trHeight w:val="257"/>
        </w:trPr>
        <w:tc>
          <w:tcPr>
            <w:tcW w:w="738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80" w:type="dxa"/>
            <w:vAlign w:val="bottom"/>
          </w:tcPr>
          <w:p>
            <w:pPr>
              <w:spacing w:after="0"/>
              <w:rPr>
                <w:sz w:val="22"/>
                <w:szCs w:val="22"/>
                <w:color w:val="auto"/>
              </w:rPr>
            </w:pPr>
          </w:p>
        </w:tc>
      </w:tr>
      <w:tr>
        <w:trPr>
          <w:trHeight w:val="250"/>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minimum lease payments</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w:t>
            </w:r>
          </w:p>
        </w:tc>
        <w:tc>
          <w:tcPr>
            <w:tcW w:w="80" w:type="dxa"/>
            <w:vAlign w:val="bottom"/>
            <w:shd w:val="clear" w:color="auto" w:fill="CFF0FC"/>
          </w:tcPr>
          <w:p>
            <w:pPr>
              <w:spacing w:after="0"/>
              <w:rPr>
                <w:sz w:val="21"/>
                <w:szCs w:val="21"/>
                <w:color w:val="auto"/>
              </w:rPr>
            </w:pPr>
          </w:p>
        </w:tc>
      </w:tr>
      <w:tr>
        <w:trPr>
          <w:trHeight w:val="256"/>
        </w:trPr>
        <w:tc>
          <w:tcPr>
            <w:tcW w:w="7380" w:type="dxa"/>
            <w:vAlign w:val="bottom"/>
          </w:tcPr>
          <w:p>
            <w:pPr>
              <w:spacing w:after="0"/>
              <w:rPr>
                <w:sz w:val="20"/>
                <w:szCs w:val="20"/>
                <w:color w:val="auto"/>
              </w:rPr>
            </w:pPr>
            <w:r>
              <w:rPr>
                <w:rFonts w:ascii="Arial" w:cs="Arial" w:eastAsia="Arial" w:hAnsi="Arial"/>
                <w:sz w:val="18"/>
                <w:szCs w:val="18"/>
                <w:color w:val="auto"/>
              </w:rPr>
              <w:t>Less: interest</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2"/>
                <w:szCs w:val="22"/>
                <w:color w:val="auto"/>
              </w:rPr>
            </w:pPr>
          </w:p>
        </w:tc>
      </w:tr>
      <w:tr>
        <w:trPr>
          <w:trHeight w:val="290"/>
        </w:trPr>
        <w:tc>
          <w:tcPr>
            <w:tcW w:w="7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under non-cancelable operating leases as of December 31, 2020 were as follows (in thousands):</w:t>
      </w:r>
    </w:p>
    <w:p>
      <w:pPr>
        <w:spacing w:after="0" w:line="200" w:lineRule="exact"/>
        <w:rPr>
          <w:sz w:val="20"/>
          <w:szCs w:val="20"/>
          <w:color w:val="auto"/>
        </w:rPr>
      </w:pPr>
    </w:p>
    <w:p>
      <w:pPr>
        <w:spacing w:after="0" w:line="36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5"/>
              </w:rPr>
              <w:t>Operating Leases</w:t>
            </w:r>
          </w:p>
        </w:tc>
        <w:tc>
          <w:tcPr>
            <w:tcW w:w="80" w:type="dxa"/>
            <w:vAlign w:val="bottom"/>
          </w:tcPr>
          <w:p>
            <w:pPr>
              <w:spacing w:after="0"/>
              <w:rPr>
                <w:sz w:val="20"/>
                <w:szCs w:val="20"/>
                <w:color w:val="auto"/>
              </w:rPr>
            </w:pPr>
          </w:p>
        </w:tc>
      </w:tr>
      <w:tr>
        <w:trPr>
          <w:trHeight w:val="25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w:t>
            </w:r>
          </w:p>
        </w:tc>
        <w:tc>
          <w:tcPr>
            <w:tcW w:w="80" w:type="dxa"/>
            <w:vAlign w:val="bottom"/>
            <w:shd w:val="clear" w:color="auto" w:fill="CFF0FC"/>
          </w:tcPr>
          <w:p>
            <w:pPr>
              <w:spacing w:after="0"/>
              <w:rPr>
                <w:sz w:val="21"/>
                <w:szCs w:val="21"/>
                <w:color w:val="auto"/>
              </w:rPr>
            </w:pPr>
          </w:p>
        </w:tc>
      </w:tr>
      <w:tr>
        <w:trPr>
          <w:trHeight w:val="256"/>
        </w:trPr>
        <w:tc>
          <w:tcPr>
            <w:tcW w:w="738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80" w:type="dxa"/>
            <w:vAlign w:val="bottom"/>
          </w:tcPr>
          <w:p>
            <w:pPr>
              <w:spacing w:after="0"/>
              <w:rPr>
                <w:sz w:val="22"/>
                <w:szCs w:val="22"/>
                <w:color w:val="auto"/>
              </w:rPr>
            </w:pPr>
          </w:p>
        </w:tc>
      </w:tr>
      <w:tr>
        <w:trPr>
          <w:trHeight w:val="290"/>
        </w:trPr>
        <w:tc>
          <w:tcPr>
            <w:tcW w:w="7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Litigation</w:t>
      </w:r>
    </w:p>
    <w:p>
      <w:pPr>
        <w:spacing w:after="0" w:line="131" w:lineRule="exact"/>
        <w:rPr>
          <w:sz w:val="20"/>
          <w:szCs w:val="20"/>
          <w:color w:val="auto"/>
        </w:rPr>
      </w:pPr>
    </w:p>
    <w:p>
      <w:pPr>
        <w:ind w:firstLine="648"/>
        <w:spacing w:after="0" w:line="279" w:lineRule="auto"/>
        <w:rPr>
          <w:sz w:val="20"/>
          <w:szCs w:val="20"/>
          <w:color w:val="auto"/>
        </w:rPr>
      </w:pPr>
      <w:r>
        <w:rPr>
          <w:rFonts w:ascii="Arial" w:cs="Arial" w:eastAsia="Arial" w:hAnsi="Arial"/>
          <w:sz w:val="18"/>
          <w:szCs w:val="18"/>
          <w:color w:val="auto"/>
        </w:rPr>
        <w:t>From time to time, the Company may be involved in legal proceedings arising in the ordinary course of business. The Company believes there is no threatened litigation or litigation pending that could have, individually or in the aggregate, a material adverse effect on the Company’s financial position, results of operations or cash flows.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5" w:name="page16"/>
    <w:bookmarkEnd w:id="15"/>
    <w:p>
      <w:pPr>
        <w:ind w:left="280" w:hanging="272"/>
        <w:spacing w:after="0"/>
        <w:tabs>
          <w:tab w:leader="none" w:pos="2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13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On July 8, 2021, the Company raised gross proceeds of $50.0 million through the sale of 2,597,402 shares in an ATM offering, with participation based on unsolicited interest received from a healthcare specialist fund. The Company sold such shares at a purchase price per share of $19.25, a premium to the market price at the time of sale.</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ind w:firstLine="749"/>
        <w:spacing w:after="0" w:line="28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financial statements and related notes included elsewhere in this quarterly report on Form 10-Q and our audited financial statements and notes thereto as of and for the year ended December 31, 2020 and the related Management’s Discussion and Analysis of Financial Condition and Results of Operations, both of which are contained in our Annual Report on Form 10-K for the fiscal year ended December 31, 2020, filed with the Securities and Exchange Commission on March 23, 2021.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 included elsewhere in this report.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 xml:space="preserve">ORIC Pharmaceuticals is a clinical-stage biopharmaceutical company dedicated to improving patients’ lives by </w:t>
      </w:r>
      <w:r>
        <w:rPr>
          <w:rFonts w:ascii="Arial" w:cs="Arial" w:eastAsia="Arial" w:hAnsi="Arial"/>
          <w:sz w:val="17"/>
          <w:szCs w:val="17"/>
          <w:i w:val="1"/>
          <w:iCs w:val="1"/>
          <w:u w:val="single" w:color="auto"/>
          <w:color w:val="auto"/>
        </w:rPr>
        <w:t>O</w:t>
      </w:r>
      <w:r>
        <w:rPr>
          <w:rFonts w:ascii="Arial" w:cs="Arial" w:eastAsia="Arial" w:hAnsi="Arial"/>
          <w:sz w:val="17"/>
          <w:szCs w:val="17"/>
          <w:i w:val="1"/>
          <w:iCs w:val="1"/>
          <w:color w:val="auto"/>
        </w:rPr>
        <w:t>vercoming</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R</w:t>
      </w:r>
      <w:r>
        <w:rPr>
          <w:rFonts w:ascii="Arial" w:cs="Arial" w:eastAsia="Arial" w:hAnsi="Arial"/>
          <w:sz w:val="17"/>
          <w:szCs w:val="17"/>
          <w:i w:val="1"/>
          <w:iCs w:val="1"/>
          <w:color w:val="auto"/>
        </w:rPr>
        <w:t>esistance</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I</w:t>
      </w:r>
      <w:r>
        <w:rPr>
          <w:rFonts w:ascii="Arial" w:cs="Arial" w:eastAsia="Arial" w:hAnsi="Arial"/>
          <w:sz w:val="17"/>
          <w:szCs w:val="17"/>
          <w:i w:val="1"/>
          <w:iCs w:val="1"/>
          <w:color w:val="auto"/>
        </w:rPr>
        <w:t>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w:t>
      </w:r>
      <w:r>
        <w:rPr>
          <w:rFonts w:ascii="Arial" w:cs="Arial" w:eastAsia="Arial" w:hAnsi="Arial"/>
          <w:sz w:val="18"/>
          <w:szCs w:val="18"/>
          <w:i w:val="1"/>
          <w:iCs w:val="1"/>
          <w:color w:val="auto"/>
        </w:rPr>
        <w:t>ancer.</w:t>
      </w:r>
    </w:p>
    <w:p>
      <w:pPr>
        <w:spacing w:after="0" w:line="130" w:lineRule="exact"/>
        <w:rPr>
          <w:sz w:val="20"/>
          <w:szCs w:val="20"/>
          <w:color w:val="auto"/>
        </w:rPr>
      </w:pPr>
    </w:p>
    <w:p>
      <w:pPr>
        <w:ind w:firstLine="749"/>
        <w:spacing w:after="0" w:line="302" w:lineRule="auto"/>
        <w:rPr>
          <w:sz w:val="20"/>
          <w:szCs w:val="20"/>
          <w:color w:val="auto"/>
        </w:rPr>
      </w:pPr>
      <w:r>
        <w:rPr>
          <w:rFonts w:ascii="Arial" w:cs="Arial" w:eastAsia="Arial" w:hAnsi="Arial"/>
          <w:sz w:val="16"/>
          <w:szCs w:val="16"/>
          <w:color w:val="auto"/>
        </w:rPr>
        <w:t>Our fully integrated discovery and development team is advancing a diverse pipeline of innovative therapies designed to counter resistance mechanisms in cancer by leveraging our expertise within three specific areas: hormone-dependent cancers, precision oncology and key tumor dependencies. Our lead product candidate, ORIC-101, builds upon a legacy of successful drug development by our founders in the field of nuclear hormone receptors and their efforts to elucidate the cause of resistance to the groundbreaking prostate cancer therapies that they had developed. ORIC-101 is a potent and selective small molecule antagonist of the glucocorticoid receptor (GR), which has been linked to resistance to multiple classes of cancer therapeutics across a variety of solid tumors. In 2019, we initiated two separate Phase 1b trials of ORIC-101 in combination with (1) Xtandi (enzalutamide) in metastatic prostate cancer and (2) Abraxane (nab-paclitaxel) in advanced or metastatic solid tumors. In December 2020, we selected the recommended Phase 2 dose (RP2D) and initiated the dose expansion portion of the Phase 1b trial of ORIC-101 in combination with nab-paclitaxel. In June 2021, we reported initial data from our ongoing Phase 1b study evaluating ORIC-101, in combination with nab-paclitaxel, in advanced solid tumors. In January 2021, we selected the RP2D and initiated the dose expansion portion of the Phase 1b trial of ORIC-101 in combination with enzalutamide and we expect to report interim safety, efficacy, and translational data from this trial in the second half of 2021. Our other product candidates include (1) ORIC-533, an orally bioavailable small molecule inhibitor of CD73, a key node in the adenosine pathway believed to play a central role in resistance to chemotherapy-and immunotherapy-based treatment regimens, (2) ORIC-944, an allosteric inhibitor of the polycomb repressive complex 2 (PRC2) via the embryonic ectoderm development (EED) subunit, for which we licensed development and commercialization rights from Mirati Therapeutics, Inc. (Mirati) in August 2020 (Mirati License Agreement) and (3) ORIC-114, a brain penetrant, orally bioavailable, irreversible inhibitor designed to selectively target epidermal growth factor receptor (EGFR) and human epidermal growth factor receptor 2 (HER2) with high potency towards exon 20 insertion mutations, for which we licensed development and commercialization rights from Voronoi, Inc. (Voronoi) in October 2020 (Voronoi License Agreement). In June 2021, the U.S. Food and Drug Administration (FDA) cleared the Investigational New Drug Application (IND) for ORIC-533. We expect to file an IND for ORIC-944 in the second half of 2021 and a Clinical Trial Application (CTA) for ORIC-114 in the second half of 2021. Beyond these product candidates, we are developing multiple precision medicines targeting other hallmark cancer resistance mechanisms.</w:t>
      </w:r>
    </w:p>
    <w:p>
      <w:pPr>
        <w:spacing w:after="0" w:line="299" w:lineRule="exact"/>
        <w:rPr>
          <w:sz w:val="20"/>
          <w:szCs w:val="20"/>
          <w:color w:val="auto"/>
        </w:rPr>
      </w:pPr>
    </w:p>
    <w:p>
      <w:pPr>
        <w:ind w:right="140" w:firstLine="749"/>
        <w:spacing w:after="0" w:line="329" w:lineRule="auto"/>
        <w:rPr>
          <w:sz w:val="20"/>
          <w:szCs w:val="20"/>
          <w:color w:val="auto"/>
        </w:rPr>
      </w:pPr>
      <w:r>
        <w:rPr>
          <w:rFonts w:ascii="Arial" w:cs="Arial" w:eastAsia="Arial" w:hAnsi="Arial"/>
          <w:sz w:val="16"/>
          <w:szCs w:val="16"/>
          <w:color w:val="auto"/>
        </w:rPr>
        <w:t>Since our inception in 2014, we have devoted substantially all of our resources to research and development activities, including with respect to our GR antagonist and CD73 inhibitor programs and other preclinical programs, in-licensing of external programs, business planning, establishing and maintaining our intellectual property portfolio, hiring personnel, raising capital and providing general and administrative support for these operations.</w:t>
      </w:r>
    </w:p>
    <w:p>
      <w:pPr>
        <w:spacing w:after="0" w:line="40" w:lineRule="exact"/>
        <w:rPr>
          <w:sz w:val="20"/>
          <w:szCs w:val="20"/>
          <w:color w:val="auto"/>
        </w:rPr>
      </w:pPr>
    </w:p>
    <w:p>
      <w:pPr>
        <w:ind w:right="140" w:firstLine="749"/>
        <w:spacing w:after="0" w:line="288" w:lineRule="auto"/>
        <w:rPr>
          <w:sz w:val="20"/>
          <w:szCs w:val="20"/>
          <w:color w:val="auto"/>
        </w:rPr>
      </w:pPr>
      <w:r>
        <w:rPr>
          <w:rFonts w:ascii="Arial" w:cs="Arial" w:eastAsia="Arial" w:hAnsi="Arial"/>
          <w:sz w:val="17"/>
          <w:szCs w:val="17"/>
          <w:color w:val="auto"/>
        </w:rPr>
        <w:t>We have incurred significant losses since the commencement of our operations. Our net loss for the six months ended June 30, 2021 was $37.5 million and we had an accumulated deficit of $203.9 million as of June 30, 2021. Our losses and accumulated deficit have resulted primarily from costs incurred in connection with research and development activities including in-licensing and to a lesser extent from general and administrative costs associated with our operations. We expect to incur significant losses for the foreseeable future, and we anticipate these losses will increase significantly as we continue our development of ORIC-101, ORIC-533, ORIC-944, ORIC-114 and any future product candidates from discovery through preclinical development and into clinical trials as we seek regulatory approval for these product candidates. Our net losses may fluctuate significantly from period to period, depending on the timing of and expenditures on our planned research and development activities.</w:t>
      </w:r>
    </w:p>
    <w:p>
      <w:pPr>
        <w:spacing w:after="0" w:line="73" w:lineRule="exact"/>
        <w:rPr>
          <w:sz w:val="20"/>
          <w:szCs w:val="20"/>
          <w:color w:val="auto"/>
        </w:rPr>
      </w:pPr>
    </w:p>
    <w:p>
      <w:pPr>
        <w:ind w:firstLine="749"/>
        <w:spacing w:after="0" w:line="270" w:lineRule="auto"/>
        <w:rPr>
          <w:sz w:val="20"/>
          <w:szCs w:val="20"/>
          <w:color w:val="auto"/>
        </w:rPr>
      </w:pPr>
      <w:r>
        <w:rPr>
          <w:rFonts w:ascii="Arial" w:cs="Arial" w:eastAsia="Arial" w:hAnsi="Arial"/>
          <w:sz w:val="18"/>
          <w:szCs w:val="18"/>
          <w:color w:val="auto"/>
        </w:rPr>
        <w:t>In March 2020, the World Health Organization declared the novel coronavirus disease, or COVID-19, outbreak a global pandemic. To limit the spread of COVID-19, governments have taken various actions including the issuance of stay-at-home orders and physical distancing guidelines. Accordingly, businesses have adjusted, reduced or suspended operating activities. A portion of our workforce continues to work from home. Disruptions caused by the COVID-19 pandemic, including the effects of the stay-at-home orders and work-from-home policies, have impacted productivity, have resulted in increased operational expenses, certain adjustments to the operations of our clinical trials, the suspension of enrollment of new patients at certain of our clinical trial sites, and delays in certain supply chain activities and collecting and analyzing data from patients in our clinical trials, and may further disrupt our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ind w:right="100"/>
        <w:spacing w:after="0" w:line="275" w:lineRule="auto"/>
        <w:rPr>
          <w:sz w:val="20"/>
          <w:szCs w:val="20"/>
          <w:color w:val="auto"/>
        </w:rPr>
      </w:pPr>
      <w:r>
        <w:rPr>
          <w:rFonts w:ascii="Arial" w:cs="Arial" w:eastAsia="Arial" w:hAnsi="Arial"/>
          <w:sz w:val="18"/>
          <w:szCs w:val="18"/>
          <w:color w:val="auto"/>
        </w:rPr>
        <w:t>business and delay our development programs and regulatory timelines, the magnitude of which will depend, in part, on the length and severity of the restrictions and other limitations on our ability to conduct business in the ordinary course. As a result, research and development expenses and general and administrative expenses may vary significantly if there is an increased impact from COVID-19 on the costs and timing associated with the conduct of our clinical trials and other related business activities.</w:t>
      </w:r>
    </w:p>
    <w:p>
      <w:pPr>
        <w:spacing w:after="0" w:line="77" w:lineRule="exact"/>
        <w:rPr>
          <w:sz w:val="20"/>
          <w:szCs w:val="20"/>
          <w:color w:val="auto"/>
        </w:rPr>
      </w:pPr>
    </w:p>
    <w:p>
      <w:pPr>
        <w:ind w:right="40" w:firstLine="749"/>
        <w:spacing w:after="0" w:line="272" w:lineRule="auto"/>
        <w:rPr>
          <w:sz w:val="20"/>
          <w:szCs w:val="20"/>
          <w:color w:val="auto"/>
        </w:rPr>
      </w:pPr>
      <w:r>
        <w:rPr>
          <w:rFonts w:ascii="Arial" w:cs="Arial" w:eastAsia="Arial" w:hAnsi="Arial"/>
          <w:sz w:val="18"/>
          <w:szCs w:val="18"/>
          <w:color w:val="auto"/>
        </w:rPr>
        <w:t>On May 6, 2021, we entered into an "at-the-market" (ATM) sales agreement with Jefferies LLC as our sales agent, under which we may offer and sell from time to time up to $150 million of our common stock in negotiated transactions or transactions that are deemed to be an ATM offering. On July 8, 2021, we raised gross proceeds of $50.0 million through the sale of 2,597,402 shares in an ATM offering, with participation based on unsolicited interest received from a healthcare specialist fund. We sold such shares at a purchase price per share of $19.25, a premium to the market price at the time of sale.</w:t>
      </w:r>
    </w:p>
    <w:p>
      <w:pPr>
        <w:spacing w:after="0" w:line="83" w:lineRule="exact"/>
        <w:rPr>
          <w:sz w:val="20"/>
          <w:szCs w:val="20"/>
          <w:color w:val="auto"/>
        </w:rPr>
      </w:pPr>
    </w:p>
    <w:p>
      <w:pPr>
        <w:ind w:right="40" w:firstLine="749"/>
        <w:spacing w:after="0" w:line="275" w:lineRule="auto"/>
        <w:rPr>
          <w:sz w:val="20"/>
          <w:szCs w:val="20"/>
          <w:color w:val="auto"/>
        </w:rPr>
      </w:pPr>
      <w:r>
        <w:rPr>
          <w:rFonts w:ascii="Arial" w:cs="Arial" w:eastAsia="Arial" w:hAnsi="Arial"/>
          <w:sz w:val="18"/>
          <w:szCs w:val="18"/>
          <w:color w:val="auto"/>
        </w:rPr>
        <w:t>In the third and fourth quarter of 2020, we entered into license agreements with Mirati and Voronoi, respectively. As consideration for the license granted under the Mirati License Agreement, we issued to Mirati 588,235 shares of our common stock in August 2020. As consideration for the license granted under the Voronoi License Agreement, we made a one-time $5.0 million cash payment in November 2020 and issued 283,259 shares of our common stock to Voronoi in October 2020.</w:t>
      </w:r>
    </w:p>
    <w:p>
      <w:pPr>
        <w:spacing w:after="0" w:line="77" w:lineRule="exact"/>
        <w:rPr>
          <w:sz w:val="20"/>
          <w:szCs w:val="20"/>
          <w:color w:val="auto"/>
        </w:rPr>
      </w:pPr>
    </w:p>
    <w:p>
      <w:pPr>
        <w:ind w:right="160" w:firstLine="749"/>
        <w:spacing w:after="0" w:line="272" w:lineRule="auto"/>
        <w:rPr>
          <w:sz w:val="20"/>
          <w:szCs w:val="20"/>
          <w:color w:val="auto"/>
        </w:rPr>
      </w:pPr>
      <w:r>
        <w:rPr>
          <w:rFonts w:ascii="Arial" w:cs="Arial" w:eastAsia="Arial" w:hAnsi="Arial"/>
          <w:sz w:val="18"/>
          <w:szCs w:val="18"/>
          <w:color w:val="auto"/>
        </w:rPr>
        <w:t>On November 17, 2020, we completed a public offering of our common stock. In connection with this offering, we issued and sold 5,796,000 shares of our common stock, including 756,000 associated with the full exercise of the underwriters’ option to purchase additional shares, at a price to the public of $23.00 per share resulting in gross proceeds of $133.3 million before deducting underwriting discounts and commissions and estimated offering expenses. After deducting underwriting discounts and commissions and other offering expenses of $8.5 million, the net proceeds we received from the transaction were approximately $124.8 million.</w:t>
      </w:r>
    </w:p>
    <w:p>
      <w:pPr>
        <w:spacing w:after="0" w:line="83" w:lineRule="exact"/>
        <w:rPr>
          <w:sz w:val="20"/>
          <w:szCs w:val="20"/>
          <w:color w:val="auto"/>
        </w:rPr>
      </w:pPr>
    </w:p>
    <w:p>
      <w:pPr>
        <w:ind w:firstLine="749"/>
        <w:spacing w:after="0" w:line="275" w:lineRule="auto"/>
        <w:rPr>
          <w:sz w:val="20"/>
          <w:szCs w:val="20"/>
          <w:color w:val="auto"/>
        </w:rPr>
      </w:pPr>
      <w:r>
        <w:rPr>
          <w:rFonts w:ascii="Arial" w:cs="Arial" w:eastAsia="Arial" w:hAnsi="Arial"/>
          <w:sz w:val="18"/>
          <w:szCs w:val="18"/>
          <w:color w:val="auto"/>
        </w:rPr>
        <w:t>On April 28, 2020, we completed our IPO of our common stock. In connection with our IPO, we issued and sold 8,625,000 shares of our common stock, including 1,125,000 shares associated with the full exercise of the underwriters’ option to purchase additional shares, at a price to the public of $16.00 per share resulting in gross proceeds of $138.0 million. After deducting underwriting discounts and commissions and other offering expenses of $12.8 million, the net proceeds we received from our IPO were approximately $125.2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ind w:right="320" w:firstLine="749"/>
        <w:spacing w:after="0" w:line="293" w:lineRule="auto"/>
        <w:rPr>
          <w:sz w:val="20"/>
          <w:szCs w:val="20"/>
          <w:color w:val="auto"/>
        </w:rPr>
      </w:pPr>
      <w:r>
        <w:rPr>
          <w:rFonts w:ascii="Arial" w:cs="Arial" w:eastAsia="Arial" w:hAnsi="Arial"/>
          <w:sz w:val="18"/>
          <w:szCs w:val="18"/>
          <w:color w:val="auto"/>
        </w:rPr>
        <w:t>Research and development expenses account for a significant portion of our operating expenses and consist primarily of external and internal costs incurred in connection with the discovery and development of our product candidates.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External expenses include:</w:t>
      </w:r>
    </w:p>
    <w:p>
      <w:pPr>
        <w:spacing w:after="0" w:line="131" w:lineRule="exact"/>
        <w:rPr>
          <w:sz w:val="20"/>
          <w:szCs w:val="20"/>
          <w:color w:val="auto"/>
        </w:rPr>
      </w:pPr>
    </w:p>
    <w:p>
      <w:pPr>
        <w:ind w:left="1200" w:right="140"/>
        <w:spacing w:after="0" w:line="293" w:lineRule="auto"/>
        <w:rPr>
          <w:sz w:val="20"/>
          <w:szCs w:val="20"/>
          <w:color w:val="auto"/>
        </w:rPr>
      </w:pPr>
      <w:r>
        <w:rPr>
          <w:rFonts w:ascii="Arial" w:cs="Arial" w:eastAsia="Arial" w:hAnsi="Arial"/>
          <w:sz w:val="18"/>
          <w:szCs w:val="18"/>
          <w:color w:val="auto"/>
        </w:rPr>
        <w:t>payments to third parties in connection with the clinical development of our product candidates, including contract research organizations (CROs) and consultants;</w:t>
      </w:r>
    </w:p>
    <w:p>
      <w:pPr>
        <w:spacing w:after="0" w:line="62" w:lineRule="exact"/>
        <w:rPr>
          <w:sz w:val="20"/>
          <w:szCs w:val="20"/>
          <w:color w:val="auto"/>
        </w:rPr>
      </w:pPr>
    </w:p>
    <w:p>
      <w:pPr>
        <w:ind w:left="1200" w:right="480"/>
        <w:spacing w:after="0" w:line="293" w:lineRule="auto"/>
        <w:rPr>
          <w:sz w:val="20"/>
          <w:szCs w:val="20"/>
          <w:color w:val="auto"/>
        </w:rPr>
      </w:pPr>
      <w:r>
        <w:rPr>
          <w:rFonts w:ascii="Arial" w:cs="Arial" w:eastAsia="Arial" w:hAnsi="Arial"/>
          <w:sz w:val="18"/>
          <w:szCs w:val="18"/>
          <w:color w:val="auto"/>
        </w:rPr>
        <w:t>the cost of manufacturing products for use in our preclinical studies and clinical trials, including payments to contract manufacturing organizations (CMOs) and consultants;</w:t>
      </w:r>
    </w:p>
    <w:p>
      <w:pPr>
        <w:spacing w:after="0" w:line="62" w:lineRule="exact"/>
        <w:rPr>
          <w:sz w:val="20"/>
          <w:szCs w:val="20"/>
          <w:color w:val="auto"/>
        </w:rPr>
      </w:pPr>
    </w:p>
    <w:p>
      <w:pPr>
        <w:ind w:left="1200" w:right="420"/>
        <w:spacing w:after="0" w:line="324" w:lineRule="auto"/>
        <w:rPr>
          <w:sz w:val="20"/>
          <w:szCs w:val="20"/>
          <w:color w:val="auto"/>
        </w:rPr>
      </w:pPr>
      <w:r>
        <w:rPr>
          <w:rFonts w:ascii="Arial" w:cs="Arial" w:eastAsia="Arial" w:hAnsi="Arial"/>
          <w:sz w:val="17"/>
          <w:szCs w:val="17"/>
          <w:color w:val="auto"/>
        </w:rPr>
        <w:t>payments to third parties in connection with the preclinical development of our product candidates, including outsourced professional scientific development services, consulting research fees and sponsored research arrangements with third parties;</w:t>
      </w:r>
    </w:p>
    <w:p>
      <w:pPr>
        <w:spacing w:after="0" w:line="3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laboratory supplies; and</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allocated facilities, depreciation and other expenses, which include direct or allocated expenses for IT, rent and maintenance of facilities.</w:t>
      </w:r>
    </w:p>
    <w:p>
      <w:pPr>
        <w:spacing w:after="0" w:line="154" w:lineRule="exact"/>
        <w:rPr>
          <w:sz w:val="20"/>
          <w:szCs w:val="20"/>
          <w:color w:val="auto"/>
        </w:rPr>
      </w:pPr>
    </w:p>
    <w:p>
      <w:pPr>
        <w:ind w:right="100" w:firstLine="749"/>
        <w:spacing w:after="0" w:line="275" w:lineRule="auto"/>
        <w:rPr>
          <w:sz w:val="20"/>
          <w:szCs w:val="20"/>
          <w:color w:val="auto"/>
        </w:rPr>
      </w:pPr>
      <w:r>
        <w:rPr>
          <w:rFonts w:ascii="Arial" w:cs="Arial" w:eastAsia="Arial" w:hAnsi="Arial"/>
          <w:sz w:val="18"/>
          <w:szCs w:val="18"/>
          <w:color w:val="auto"/>
        </w:rPr>
        <w:t>We may also incur in-process research and development expense as we acquire or in-license assets from other parties. Technology acquisitions are expensed or capitalized based upon the asset achieving technological feasibility in accordance with management’s assessment regarding the ultimate recoverability of the amounts paid and the potential for alternative future use. Acquired in-process research and development costs that have no alternative future use are immediately expensed.</w:t>
      </w:r>
    </w:p>
    <w:p>
      <w:pPr>
        <w:spacing w:after="0" w:line="77" w:lineRule="exact"/>
        <w:rPr>
          <w:sz w:val="20"/>
          <w:szCs w:val="20"/>
          <w:color w:val="auto"/>
        </w:rPr>
      </w:pPr>
    </w:p>
    <w:p>
      <w:pPr>
        <w:ind w:right="800" w:firstLine="749"/>
        <w:spacing w:after="0" w:line="293" w:lineRule="auto"/>
        <w:rPr>
          <w:sz w:val="20"/>
          <w:szCs w:val="20"/>
          <w:color w:val="auto"/>
        </w:rPr>
      </w:pPr>
      <w:r>
        <w:rPr>
          <w:rFonts w:ascii="Arial" w:cs="Arial" w:eastAsia="Arial" w:hAnsi="Arial"/>
          <w:sz w:val="18"/>
          <w:szCs w:val="18"/>
          <w:color w:val="auto"/>
        </w:rPr>
        <w:t>Internal expenses include employee-related costs such as salaries, related benefits and non-cash stock-based compensation expense for employees engaged in research and development functions.</w:t>
      </w:r>
    </w:p>
    <w:p>
      <w:pPr>
        <w:spacing w:after="0" w:line="62" w:lineRule="exact"/>
        <w:rPr>
          <w:sz w:val="20"/>
          <w:szCs w:val="20"/>
          <w:color w:val="auto"/>
        </w:rPr>
      </w:pPr>
    </w:p>
    <w:p>
      <w:pPr>
        <w:ind w:right="20" w:firstLine="749"/>
        <w:spacing w:after="0" w:line="275" w:lineRule="auto"/>
        <w:rPr>
          <w:sz w:val="20"/>
          <w:szCs w:val="20"/>
          <w:color w:val="auto"/>
        </w:rPr>
      </w:pPr>
      <w:r>
        <w:rPr>
          <w:rFonts w:ascii="Arial" w:cs="Arial" w:eastAsia="Arial" w:hAnsi="Arial"/>
          <w:sz w:val="18"/>
          <w:szCs w:val="18"/>
          <w:color w:val="auto"/>
        </w:rPr>
        <w:t>We expense research and development costs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costs by program, clinical or preclinical. We do not track internal costs by program because these costs are deployed across multiple programs and, as such, are not separately classified.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8" w:name="page19"/>
    <w:bookmarkEnd w:id="18"/>
    <w:p>
      <w:pPr>
        <w:ind w:right="20" w:firstLine="749"/>
        <w:spacing w:after="0" w:line="319" w:lineRule="auto"/>
        <w:rPr>
          <w:sz w:val="20"/>
          <w:szCs w:val="20"/>
          <w:color w:val="auto"/>
        </w:rPr>
      </w:pPr>
      <w:r>
        <w:rPr>
          <w:rFonts w:ascii="Arial" w:cs="Arial" w:eastAsia="Arial" w:hAnsi="Arial"/>
          <w:sz w:val="16"/>
          <w:szCs w:val="16"/>
          <w:color w:val="auto"/>
        </w:rPr>
        <w:t>Product candidates in later stages of clinical development generally have higher development costs than those in earlier stages, primarily due to the increased size and duration of later-stage clinical trials. As a result, we expect that our research and development expenses will increase substantially in the foreseeable future as we advance our product candidates through preclinical studies and clinical trials; continue to discover and develop additional product candidates and expand our pipeline; maintain, expand, protect and enforce our intellectual property portfolio; and hire additional personnel.</w:t>
      </w:r>
    </w:p>
    <w:p>
      <w:pPr>
        <w:spacing w:after="0" w:line="48" w:lineRule="exact"/>
        <w:rPr>
          <w:sz w:val="20"/>
          <w:szCs w:val="20"/>
          <w:color w:val="auto"/>
        </w:rPr>
      </w:pPr>
    </w:p>
    <w:p>
      <w:pPr>
        <w:ind w:firstLine="749"/>
        <w:spacing w:after="0" w:line="270" w:lineRule="auto"/>
        <w:rPr>
          <w:sz w:val="20"/>
          <w:szCs w:val="20"/>
          <w:color w:val="auto"/>
        </w:rPr>
      </w:pPr>
      <w:r>
        <w:rPr>
          <w:rFonts w:ascii="Arial" w:cs="Arial" w:eastAsia="Arial" w:hAnsi="Arial"/>
          <w:sz w:val="18"/>
          <w:szCs w:val="18"/>
          <w:color w:val="auto"/>
        </w:rPr>
        <w:t>The successful development of our product candidates is highly uncertain, and we do not believe it is possible at this time to accurately project the nature, timing and estimated costs of the efforts necessary to complete the development of, and obtain regulatory approval for, any of our product candidates. To the extent our product candidates continue to advance into clinical trials, as well as advance into larger and later-stage clinical trials, our expenses will increase substantially and may become more variable. We are also unable to predict when, if ever, we will generate revenue from our product candidates to offset these expenses. Our expenditures on current and future preclinical and clinical development programs are subject to numerous uncertainties in timing and cost to completion. The duration, costs and timing of preclinical studies and clinical trials and development of our product candidates will depend on a variety of factors, including:</w:t>
      </w:r>
    </w:p>
    <w:p>
      <w:pPr>
        <w:spacing w:after="0" w:line="11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timing and progress of preclinical and clinical development activities;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number and scope of preclinical and clinical programs we decide to pursue;</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ability to maintain our current research and development programs and to establish new ones;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establishing an appropriate safety profile with IND-enabling toxicology studies;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successful patient enrollment in, and the initiation and completion of, clinical trials;</w:t>
      </w:r>
    </w:p>
    <w:p>
      <w:pPr>
        <w:spacing w:after="0" w:line="131" w:lineRule="exact"/>
        <w:rPr>
          <w:sz w:val="20"/>
          <w:szCs w:val="20"/>
          <w:color w:val="auto"/>
        </w:rPr>
      </w:pPr>
    </w:p>
    <w:p>
      <w:pPr>
        <w:ind w:left="1200" w:right="40"/>
        <w:spacing w:after="0" w:line="293" w:lineRule="auto"/>
        <w:rPr>
          <w:sz w:val="20"/>
          <w:szCs w:val="20"/>
          <w:color w:val="auto"/>
        </w:rPr>
      </w:pPr>
      <w:r>
        <w:rPr>
          <w:rFonts w:ascii="Arial" w:cs="Arial" w:eastAsia="Arial" w:hAnsi="Arial"/>
          <w:sz w:val="18"/>
          <w:szCs w:val="18"/>
          <w:color w:val="auto"/>
        </w:rPr>
        <w:t>the successful completion of clinical trials with safety, tolerability and efficacy profiles that are satisfactory to the FDA or any comparable foreign regulatory authority;</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receipt of regulatory approvals from applicable regulatory authorities;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timing, receipt and terms of any marketing approvals from applicable regulatory authorities;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ability to establish licensing or collaboration arrangements;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performance of our future collaborators, if any;</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obtaining and retaining research and development personnel;</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1" w:lineRule="exact"/>
        <w:rPr>
          <w:sz w:val="20"/>
          <w:szCs w:val="20"/>
          <w:color w:val="auto"/>
        </w:rPr>
      </w:pPr>
    </w:p>
    <w:p>
      <w:pPr>
        <w:ind w:left="1200" w:right="700"/>
        <w:spacing w:after="0" w:line="293" w:lineRule="auto"/>
        <w:rPr>
          <w:sz w:val="20"/>
          <w:szCs w:val="20"/>
          <w:color w:val="auto"/>
        </w:rPr>
      </w:pPr>
      <w:r>
        <w:rPr>
          <w:rFonts w:ascii="Arial" w:cs="Arial" w:eastAsia="Arial" w:hAnsi="Arial"/>
          <w:sz w:val="18"/>
          <w:szCs w:val="18"/>
          <w:color w:val="auto"/>
        </w:rPr>
        <w:t>development and timely delivery of commercial-grade product formulations that can be used in our planned clinical trials and for commercial launch;</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obtaining, maintaining, defending and enforcing patent claims and other intellectual property rights;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launching commercial sales of our product candidates, if approved, whether alone or in collaboration with others; and</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maintaining a continued acceptable safety profile of our products following approval.</w:t>
      </w:r>
    </w:p>
    <w:p>
      <w:pPr>
        <w:spacing w:after="0" w:line="131" w:lineRule="exact"/>
        <w:rPr>
          <w:sz w:val="20"/>
          <w:szCs w:val="20"/>
          <w:color w:val="auto"/>
        </w:rPr>
      </w:pPr>
    </w:p>
    <w:p>
      <w:pPr>
        <w:ind w:right="60" w:firstLine="749"/>
        <w:spacing w:after="0" w:line="293" w:lineRule="auto"/>
        <w:rPr>
          <w:sz w:val="20"/>
          <w:szCs w:val="20"/>
          <w:color w:val="auto"/>
        </w:rPr>
      </w:pPr>
      <w:r>
        <w:rPr>
          <w:rFonts w:ascii="Arial" w:cs="Arial" w:eastAsia="Arial" w:hAnsi="Arial"/>
          <w:sz w:val="18"/>
          <w:szCs w:val="18"/>
          <w:color w:val="auto"/>
        </w:rPr>
        <w:t>Any changes in the outcome of any of these factors could significantly impact the costs, timing and viability associated with the development of our product candidates.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31" w:lineRule="exact"/>
        <w:rPr>
          <w:sz w:val="20"/>
          <w:szCs w:val="20"/>
          <w:color w:val="auto"/>
        </w:rPr>
      </w:pPr>
    </w:p>
    <w:p>
      <w:pPr>
        <w:ind w:right="120" w:firstLine="749"/>
        <w:spacing w:after="0" w:line="309" w:lineRule="auto"/>
        <w:rPr>
          <w:sz w:val="20"/>
          <w:szCs w:val="20"/>
          <w:color w:val="auto"/>
        </w:rPr>
      </w:pPr>
      <w:r>
        <w:rPr>
          <w:rFonts w:ascii="Arial" w:cs="Arial" w:eastAsia="Arial" w:hAnsi="Arial"/>
          <w:sz w:val="16"/>
          <w:szCs w:val="16"/>
          <w:color w:val="auto"/>
        </w:rPr>
        <w:t>General and administrative expenses consist primarily of salaries, related benefits and stock-based compensation expense for personnel in executive, finance and administrative functions. General and administrative expenses also include allocated facilities, depreciation and other expenses, which include direct or allocated expenses for rent and maintenance of facilities and insurance, not otherwise included in research and development expenses, as well as professional fees for legal, patent, consulting, investor and public relations, accounting and audit services. We expect that our general and administrative expenses will increase substantially in the foreseeable future as we increase our headcount to support the continued research and development of our programs and the growth of our business. We also anticipate increased expenses relating to accounting, audit, legal, regulatory, compliance, director and officer insurance and investor and public relations costs associated with operating as a public company.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w:t>
      </w:r>
    </w:p>
    <w:p>
      <w:pPr>
        <w:spacing w:after="0" w:line="131" w:lineRule="exact"/>
        <w:rPr>
          <w:sz w:val="20"/>
          <w:szCs w:val="20"/>
          <w:color w:val="auto"/>
        </w:rPr>
      </w:pPr>
    </w:p>
    <w:p>
      <w:pPr>
        <w:ind w:right="600" w:firstLine="749"/>
        <w:spacing w:after="0" w:line="279" w:lineRule="auto"/>
        <w:rPr>
          <w:sz w:val="20"/>
          <w:szCs w:val="20"/>
          <w:color w:val="auto"/>
        </w:rPr>
      </w:pPr>
      <w:r>
        <w:rPr>
          <w:rFonts w:ascii="Arial" w:cs="Arial" w:eastAsia="Arial" w:hAnsi="Arial"/>
          <w:sz w:val="18"/>
          <w:szCs w:val="18"/>
          <w:color w:val="auto"/>
        </w:rPr>
        <w:t>Interest income, net primarily consists of interest income generated from our investments in interest-bearing money market accounts and marketable securities. Other income historically had consisted of rental income from the sub-leasing of a portion of our office space in South San Francisco, California. In August 2020, this sublease expired and we reclaimed the space at that time.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2021 and 2020</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3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9"/>
        </w:trPr>
        <w:tc>
          <w:tcPr>
            <w:tcW w:w="3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3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Changes</w:t>
            </w:r>
          </w:p>
        </w:tc>
        <w:tc>
          <w:tcPr>
            <w:tcW w:w="220" w:type="dxa"/>
            <w:vAlign w:val="bottom"/>
          </w:tcPr>
          <w:p>
            <w:pPr>
              <w:spacing w:after="0"/>
              <w:rPr>
                <w:sz w:val="21"/>
                <w:szCs w:val="21"/>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Changes</w:t>
            </w:r>
          </w:p>
        </w:tc>
      </w:tr>
      <w:tr>
        <w:trPr>
          <w:trHeight w:val="256"/>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shd w:val="clear" w:color="auto" w:fill="CFF0FC"/>
          </w:tcPr>
          <w:p>
            <w:pPr>
              <w:spacing w:after="0"/>
              <w:rPr>
                <w:sz w:val="22"/>
                <w:szCs w:val="22"/>
                <w:color w:val="auto"/>
              </w:rPr>
            </w:pPr>
          </w:p>
        </w:tc>
        <w:tc>
          <w:tcPr>
            <w:tcW w:w="78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74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680" w:type="dxa"/>
            <w:vAlign w:val="bottom"/>
            <w:tcBorders>
              <w:top w:val="single" w:sz="8" w:color="auto"/>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72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62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70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5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15,517</w:t>
            </w:r>
          </w:p>
        </w:tc>
        <w:tc>
          <w:tcPr>
            <w:tcW w:w="2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7,723</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7,794</w:t>
            </w:r>
          </w:p>
        </w:tc>
        <w:tc>
          <w:tcPr>
            <w:tcW w:w="26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27,214</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14,977</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12,237</w:t>
            </w:r>
          </w:p>
        </w:tc>
        <w:tc>
          <w:tcPr>
            <w:tcW w:w="100" w:type="dxa"/>
            <w:vAlign w:val="bottom"/>
          </w:tcPr>
          <w:p>
            <w:pPr>
              <w:spacing w:after="0"/>
              <w:rPr>
                <w:sz w:val="21"/>
                <w:szCs w:val="21"/>
                <w:color w:val="auto"/>
              </w:rPr>
            </w:pPr>
          </w:p>
        </w:tc>
      </w:tr>
      <w:tr>
        <w:trPr>
          <w:trHeight w:val="257"/>
        </w:trPr>
        <w:tc>
          <w:tcPr>
            <w:tcW w:w="35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5,540</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10,396</w:t>
            </w: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5,325</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6"/>
        </w:trPr>
        <w:tc>
          <w:tcPr>
            <w:tcW w:w="3540" w:type="dxa"/>
            <w:vAlign w:val="bottom"/>
          </w:tcPr>
          <w:p>
            <w:pPr>
              <w:ind w:left="6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21,057</w:t>
            </w: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11,123</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9,934</w:t>
            </w:r>
          </w:p>
        </w:tc>
        <w:tc>
          <w:tcPr>
            <w:tcW w:w="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37,610</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20,302</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17,308</w:t>
            </w:r>
          </w:p>
        </w:tc>
        <w:tc>
          <w:tcPr>
            <w:tcW w:w="100" w:type="dxa"/>
            <w:vAlign w:val="bottom"/>
          </w:tcPr>
          <w:p>
            <w:pPr>
              <w:spacing w:after="0"/>
              <w:rPr>
                <w:sz w:val="22"/>
                <w:szCs w:val="22"/>
                <w:color w:val="auto"/>
              </w:rPr>
            </w:pPr>
          </w:p>
        </w:tc>
      </w:tr>
      <w:tr>
        <w:trPr>
          <w:trHeight w:val="25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(21,057 )</w:t>
            </w: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(11,123 )</w:t>
            </w:r>
          </w:p>
        </w:tc>
        <w:tc>
          <w:tcPr>
            <w:tcW w:w="1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(9,934 )</w:t>
            </w: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(37,610 )</w:t>
            </w:r>
          </w:p>
        </w:tc>
        <w:tc>
          <w:tcPr>
            <w:tcW w:w="1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1"/>
              </w:rPr>
              <w:t>(20,302 )</w:t>
            </w:r>
          </w:p>
        </w:tc>
        <w:tc>
          <w:tcPr>
            <w:tcW w:w="1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(17,308 )</w:t>
            </w:r>
          </w:p>
        </w:tc>
      </w:tr>
      <w:tr>
        <w:trPr>
          <w:trHeight w:val="257"/>
        </w:trPr>
        <w:tc>
          <w:tcPr>
            <w:tcW w:w="3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spacing w:after="0"/>
              <w:rPr>
                <w:sz w:val="22"/>
                <w:szCs w:val="22"/>
                <w:color w:val="auto"/>
              </w:rPr>
            </w:pPr>
          </w:p>
        </w:tc>
      </w:tr>
      <w:tr>
        <w:trPr>
          <w:trHeight w:val="257"/>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w:t>
            </w:r>
          </w:p>
        </w:tc>
        <w:tc>
          <w:tcPr>
            <w:tcW w:w="22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(51 )</w:t>
            </w:r>
          </w:p>
        </w:tc>
        <w:tc>
          <w:tcPr>
            <w:tcW w:w="22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(314 )</w:t>
            </w:r>
          </w:p>
        </w:tc>
      </w:tr>
      <w:tr>
        <w:trPr>
          <w:trHeight w:val="250"/>
        </w:trPr>
        <w:tc>
          <w:tcPr>
            <w:tcW w:w="3540" w:type="dxa"/>
            <w:vAlign w:val="bottom"/>
            <w:tcBorders>
              <w:top w:val="single" w:sz="8" w:color="CFF0FC"/>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77"/>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(21,009 )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(11,024 )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(9,985 )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(37,518 )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1"/>
              </w:rPr>
              <w:t>(19,896 )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(17,622 )</w:t>
            </w:r>
          </w:p>
        </w:tc>
      </w:tr>
      <w:tr>
        <w:trPr>
          <w:trHeight w:val="20"/>
        </w:trPr>
        <w:tc>
          <w:tcPr>
            <w:tcW w:w="35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-1024890</wp:posOffset>
            </wp:positionV>
            <wp:extent cx="15430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-1024890</wp:posOffset>
            </wp:positionV>
            <wp:extent cx="13716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-1024890</wp:posOffset>
            </wp:positionV>
            <wp:extent cx="16256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-1024890</wp:posOffset>
            </wp:positionV>
            <wp:extent cx="14541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-1024890</wp:posOffset>
            </wp:positionV>
            <wp:extent cx="14605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-1024890</wp:posOffset>
            </wp:positionV>
            <wp:extent cx="6032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-356235</wp:posOffset>
            </wp:positionV>
            <wp:extent cx="15430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-356235</wp:posOffset>
            </wp:positionV>
            <wp:extent cx="13716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-356235</wp:posOffset>
            </wp:positionV>
            <wp:extent cx="16256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-356235</wp:posOffset>
            </wp:positionV>
            <wp:extent cx="14541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-356235</wp:posOffset>
            </wp:positionV>
            <wp:extent cx="14605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-356235</wp:posOffset>
            </wp:positionV>
            <wp:extent cx="6032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-24765</wp:posOffset>
            </wp:positionV>
            <wp:extent cx="15430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-7620</wp:posOffset>
            </wp:positionV>
            <wp:extent cx="15430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-24765</wp:posOffset>
            </wp:positionV>
            <wp:extent cx="137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137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1625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1625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1454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1454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1460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14605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ind w:right="20" w:firstLine="749"/>
        <w:spacing w:after="0" w:line="270" w:lineRule="auto"/>
        <w:rPr>
          <w:sz w:val="20"/>
          <w:szCs w:val="20"/>
          <w:color w:val="auto"/>
        </w:rPr>
      </w:pPr>
      <w:r>
        <w:rPr>
          <w:rFonts w:ascii="Arial" w:cs="Arial" w:eastAsia="Arial" w:hAnsi="Arial"/>
          <w:sz w:val="18"/>
          <w:szCs w:val="18"/>
          <w:color w:val="auto"/>
        </w:rPr>
        <w:t>Research and development expenses were $15.5 million for the three months ended June 30, 2021, compared to $7.7 million for the same period in 2020, an increase of $7.8 million. The increase was primarily driven by an increase in external expenses related to the advancement of our ORIC-101 program and our other product candidates of $6.4 million, as well as higher personnel costs, including additional non-cash stock-based compensation of $0.7 million. For the six months ended June 30, 2021, research and development expenses were $27.2 million compared to $15.0 million for the same period in 2020, an increase of $12.2 million. This increase was primarily driven by $10.0 million of additional external costs related to the advancement of ORIC-101 program and our other product candidates, as well as higher personnel costs, including additional non-cash stock-based compensation of $1.5 million.</w:t>
      </w:r>
    </w:p>
    <w:p>
      <w:pPr>
        <w:spacing w:after="0" w:line="8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summarizes our external and internal costs for the three and six months ended June 30, 2021 and 2020 (in thousands):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w w:val="98"/>
              </w:rPr>
              <w:t>Three Months Ended</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9"/>
        </w:trPr>
        <w:tc>
          <w:tcPr>
            <w:tcW w:w="4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8"/>
        </w:trPr>
        <w:tc>
          <w:tcPr>
            <w:tcW w:w="4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Changes</w:t>
            </w:r>
          </w:p>
        </w:tc>
        <w:tc>
          <w:tcPr>
            <w:tcW w:w="180" w:type="dxa"/>
            <w:vAlign w:val="bottom"/>
          </w:tcPr>
          <w:p>
            <w:pPr>
              <w:spacing w:after="0"/>
              <w:rPr>
                <w:sz w:val="24"/>
                <w:szCs w:val="24"/>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b w:val="1"/>
                <w:bCs w:val="1"/>
                <w:color w:val="auto"/>
                <w:w w:val="87"/>
              </w:rPr>
              <w:t>Changes</w:t>
            </w:r>
          </w:p>
        </w:tc>
        <w:tc>
          <w:tcPr>
            <w:tcW w:w="100" w:type="dxa"/>
            <w:vAlign w:val="bottom"/>
          </w:tcPr>
          <w:p>
            <w:pPr>
              <w:spacing w:after="0"/>
              <w:rPr>
                <w:sz w:val="24"/>
                <w:szCs w:val="24"/>
                <w:color w:val="auto"/>
              </w:rPr>
            </w:pPr>
          </w:p>
        </w:tc>
      </w:tr>
      <w:tr>
        <w:trPr>
          <w:trHeight w:val="256"/>
        </w:trPr>
        <w:tc>
          <w:tcPr>
            <w:tcW w:w="4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External costs:</w:t>
            </w:r>
          </w:p>
        </w:tc>
        <w:tc>
          <w:tcPr>
            <w:tcW w:w="180" w:type="dxa"/>
            <w:vAlign w:val="bottom"/>
            <w:tcBorders>
              <w:top w:val="single" w:sz="8" w:color="auto"/>
            </w:tcBorders>
            <w:shd w:val="clear" w:color="auto" w:fill="CFF0FC"/>
          </w:tcPr>
          <w:p>
            <w:pPr>
              <w:spacing w:after="0"/>
              <w:rPr>
                <w:sz w:val="22"/>
                <w:szCs w:val="22"/>
                <w:color w:val="auto"/>
              </w:rPr>
            </w:pPr>
          </w:p>
        </w:tc>
        <w:tc>
          <w:tcPr>
            <w:tcW w:w="620" w:type="dxa"/>
            <w:vAlign w:val="bottom"/>
            <w:tcBorders>
              <w:top w:val="single" w:sz="8" w:color="auto"/>
            </w:tcBorders>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600" w:type="dxa"/>
            <w:vAlign w:val="bottom"/>
            <w:tcBorders>
              <w:top w:val="single" w:sz="8" w:color="auto"/>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680" w:type="dxa"/>
            <w:vAlign w:val="bottom"/>
            <w:tcBorders>
              <w:top w:val="single" w:sz="8" w:color="auto"/>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62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58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66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060" w:type="dxa"/>
            <w:vAlign w:val="bottom"/>
          </w:tcPr>
          <w:p>
            <w:pPr>
              <w:ind w:left="380"/>
              <w:spacing w:after="0"/>
              <w:rPr>
                <w:sz w:val="20"/>
                <w:szCs w:val="20"/>
                <w:color w:val="auto"/>
              </w:rPr>
            </w:pPr>
            <w:r>
              <w:rPr>
                <w:rFonts w:ascii="Arial" w:cs="Arial" w:eastAsia="Arial" w:hAnsi="Arial"/>
                <w:sz w:val="18"/>
                <w:szCs w:val="18"/>
                <w:color w:val="auto"/>
              </w:rPr>
              <w:t>ORIC-101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4,027</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1,468</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2,559</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7,104</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2,769</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4,335</w:t>
            </w:r>
          </w:p>
        </w:tc>
        <w:tc>
          <w:tcPr>
            <w:tcW w:w="100" w:type="dxa"/>
            <w:vAlign w:val="bottom"/>
          </w:tcPr>
          <w:p>
            <w:pPr>
              <w:spacing w:after="0"/>
              <w:rPr>
                <w:sz w:val="21"/>
                <w:szCs w:val="21"/>
                <w:color w:val="auto"/>
              </w:rPr>
            </w:pPr>
          </w:p>
        </w:tc>
      </w:tr>
      <w:tr>
        <w:trPr>
          <w:trHeight w:val="257"/>
        </w:trPr>
        <w:tc>
          <w:tcPr>
            <w:tcW w:w="40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Preclinical and other unallocated costs</w:t>
            </w:r>
          </w:p>
        </w:tc>
        <w:tc>
          <w:tcPr>
            <w:tcW w:w="18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6,871</w:t>
            </w:r>
          </w:p>
        </w:tc>
        <w:tc>
          <w:tcPr>
            <w:tcW w:w="1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3,052</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3,819</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11,364</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5,710</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060" w:type="dxa"/>
            <w:vAlign w:val="bottom"/>
          </w:tcPr>
          <w:p>
            <w:pPr>
              <w:ind w:left="520"/>
              <w:spacing w:after="0"/>
              <w:rPr>
                <w:sz w:val="20"/>
                <w:szCs w:val="20"/>
                <w:color w:val="auto"/>
              </w:rPr>
            </w:pPr>
            <w:r>
              <w:rPr>
                <w:rFonts w:ascii="Arial" w:cs="Arial" w:eastAsia="Arial" w:hAnsi="Arial"/>
                <w:sz w:val="18"/>
                <w:szCs w:val="18"/>
                <w:color w:val="auto"/>
              </w:rPr>
              <w:t>Total external costs</w:t>
            </w: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10,898</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4,520</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6,378</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18,468</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8,479</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9,989</w:t>
            </w:r>
          </w:p>
        </w:tc>
        <w:tc>
          <w:tcPr>
            <w:tcW w:w="100" w:type="dxa"/>
            <w:vAlign w:val="bottom"/>
          </w:tcPr>
          <w:p>
            <w:pPr>
              <w:spacing w:after="0"/>
              <w:rPr>
                <w:sz w:val="21"/>
                <w:szCs w:val="21"/>
                <w:color w:val="auto"/>
              </w:rPr>
            </w:pPr>
          </w:p>
        </w:tc>
      </w:tr>
      <w:tr>
        <w:trPr>
          <w:trHeight w:val="250"/>
        </w:trPr>
        <w:tc>
          <w:tcPr>
            <w:tcW w:w="40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Internal costs</w:t>
            </w:r>
          </w:p>
        </w:tc>
        <w:tc>
          <w:tcPr>
            <w:tcW w:w="1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4,619</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3,203</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8,746</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6,498</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7"/>
        </w:trPr>
        <w:tc>
          <w:tcPr>
            <w:tcW w:w="4060" w:type="dxa"/>
            <w:vAlign w:val="bottom"/>
          </w:tcPr>
          <w:p>
            <w:pPr>
              <w:ind w:left="140"/>
              <w:spacing w:after="0"/>
              <w:rPr>
                <w:sz w:val="20"/>
                <w:szCs w:val="20"/>
                <w:color w:val="auto"/>
              </w:rPr>
            </w:pPr>
            <w:r>
              <w:rPr>
                <w:rFonts w:ascii="Arial" w:cs="Arial" w:eastAsia="Arial" w:hAnsi="Arial"/>
                <w:sz w:val="18"/>
                <w:szCs w:val="18"/>
                <w:color w:val="auto"/>
              </w:rPr>
              <w:t>Total research and development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15,517</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7,723</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7,794</w:t>
            </w:r>
          </w:p>
        </w:tc>
        <w:tc>
          <w:tcPr>
            <w:tcW w:w="2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27,214</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14,977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12,237</w:t>
            </w:r>
          </w:p>
        </w:tc>
        <w:tc>
          <w:tcPr>
            <w:tcW w:w="100" w:type="dxa"/>
            <w:vAlign w:val="bottom"/>
          </w:tcPr>
          <w:p>
            <w:pPr>
              <w:spacing w:after="0"/>
              <w:rPr>
                <w:sz w:val="22"/>
                <w:szCs w:val="22"/>
                <w:color w:val="auto"/>
              </w:rPr>
            </w:pPr>
          </w:p>
        </w:tc>
      </w:tr>
      <w:tr>
        <w:trPr>
          <w:trHeight w:val="20"/>
        </w:trPr>
        <w:tc>
          <w:tcPr>
            <w:tcW w:w="4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-536575</wp:posOffset>
            </wp:positionV>
            <wp:extent cx="11176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-536575</wp:posOffset>
            </wp:positionV>
            <wp:extent cx="16319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-536575</wp:posOffset>
            </wp:positionV>
            <wp:extent cx="16256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-536575</wp:posOffset>
            </wp:positionV>
            <wp:extent cx="14605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-536575</wp:posOffset>
            </wp:positionV>
            <wp:extent cx="14541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-536575</wp:posOffset>
            </wp:positionV>
            <wp:extent cx="6032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-193675</wp:posOffset>
            </wp:positionV>
            <wp:extent cx="11176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-193675</wp:posOffset>
            </wp:positionV>
            <wp:extent cx="16319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-193675</wp:posOffset>
            </wp:positionV>
            <wp:extent cx="16256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-193675</wp:posOffset>
            </wp:positionV>
            <wp:extent cx="14605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-193675</wp:posOffset>
            </wp:positionV>
            <wp:extent cx="14541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-193675</wp:posOffset>
            </wp:positionV>
            <wp:extent cx="6032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49" w:lineRule="exact"/>
        <w:rPr>
          <w:sz w:val="20"/>
          <w:szCs w:val="20"/>
          <w:color w:val="auto"/>
        </w:rPr>
      </w:pPr>
    </w:p>
    <w:p>
      <w:pPr>
        <w:ind w:right="120" w:firstLine="749"/>
        <w:spacing w:after="0" w:line="279" w:lineRule="auto"/>
        <w:rPr>
          <w:sz w:val="20"/>
          <w:szCs w:val="20"/>
          <w:color w:val="auto"/>
        </w:rPr>
      </w:pPr>
      <w:r>
        <w:rPr>
          <w:rFonts w:ascii="Arial" w:cs="Arial" w:eastAsia="Arial" w:hAnsi="Arial"/>
          <w:sz w:val="18"/>
          <w:szCs w:val="18"/>
          <w:color w:val="auto"/>
        </w:rPr>
        <w:t>We expect our research and development expenses to increase substantially for the foreseeable future as we continue to invest in research and development activities related to developing our product candidates, including investments in manufacturing, as our programs advance into later stages of development and as we conduct additional clinical trials.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31" w:lineRule="exact"/>
        <w:rPr>
          <w:sz w:val="20"/>
          <w:szCs w:val="20"/>
          <w:color w:val="auto"/>
        </w:rPr>
      </w:pPr>
    </w:p>
    <w:p>
      <w:pPr>
        <w:ind w:right="80" w:firstLine="749"/>
        <w:spacing w:after="0" w:line="292" w:lineRule="auto"/>
        <w:rPr>
          <w:sz w:val="20"/>
          <w:szCs w:val="20"/>
          <w:color w:val="auto"/>
        </w:rPr>
      </w:pPr>
      <w:r>
        <w:rPr>
          <w:rFonts w:ascii="Arial" w:cs="Arial" w:eastAsia="Arial" w:hAnsi="Arial"/>
          <w:sz w:val="17"/>
          <w:szCs w:val="17"/>
          <w:color w:val="auto"/>
        </w:rPr>
        <w:t>General and administrative expenses were $5.5 million for the three months ended June 30, 2021, compared to $3.4 million for the same period in 2020, an increase of $2.1 million. The increase was primarily due to higher personnel costs, including additional non-cash stock-based compensation of $1.1 million. For the six months ended June 30, 2021, general and administrative expenses were $10.4 million compared to $5.3 million for the same period in 2020, an increase of $5.1 million. The increase was primarily due to higher personnel costs, including additional non-cash stock-based compensation of $2.5 million, and higher related costs to operate as a public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31" w:lineRule="exact"/>
        <w:rPr>
          <w:sz w:val="20"/>
          <w:szCs w:val="20"/>
          <w:color w:val="auto"/>
        </w:rPr>
      </w:pPr>
    </w:p>
    <w:p>
      <w:pPr>
        <w:ind w:firstLine="749"/>
        <w:spacing w:after="0" w:line="293" w:lineRule="auto"/>
        <w:rPr>
          <w:sz w:val="20"/>
          <w:szCs w:val="20"/>
          <w:color w:val="auto"/>
        </w:rPr>
      </w:pPr>
      <w:r>
        <w:rPr>
          <w:rFonts w:ascii="Arial" w:cs="Arial" w:eastAsia="Arial" w:hAnsi="Arial"/>
          <w:sz w:val="18"/>
          <w:szCs w:val="18"/>
          <w:color w:val="auto"/>
        </w:rPr>
        <w:t>On May 6, 2021, we entered into an ATM sales agreement with Jefferies LLC as our sales agent, under which we may offer and sell from time to time up to $150 million of our common stock in negotiated transactions or transactions that are deemed to be an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20" w:name="page21"/>
    <w:bookmarkEnd w:id="20"/>
    <w:p>
      <w:pPr>
        <w:jc w:val="both"/>
        <w:ind w:right="420"/>
        <w:spacing w:after="0" w:line="279" w:lineRule="auto"/>
        <w:rPr>
          <w:sz w:val="20"/>
          <w:szCs w:val="20"/>
          <w:color w:val="auto"/>
        </w:rPr>
      </w:pPr>
      <w:r>
        <w:rPr>
          <w:rFonts w:ascii="Arial" w:cs="Arial" w:eastAsia="Arial" w:hAnsi="Arial"/>
          <w:sz w:val="18"/>
          <w:szCs w:val="18"/>
          <w:color w:val="auto"/>
        </w:rPr>
        <w:t>ATM offering. On July 8, 2021, we raised gross proceeds of $50.0 million through the sale of 2,597,402 shares in an ATM offering, with participation based on unsolicited interest received from a healthcare specialist fund. We sold such shares at a purchase price per share of $19.25, a premium to the market price at the time of sale.</w:t>
      </w:r>
    </w:p>
    <w:p>
      <w:pPr>
        <w:spacing w:after="0" w:line="75" w:lineRule="exact"/>
        <w:rPr>
          <w:sz w:val="20"/>
          <w:szCs w:val="20"/>
          <w:color w:val="auto"/>
        </w:rPr>
      </w:pPr>
    </w:p>
    <w:p>
      <w:pPr>
        <w:ind w:right="240" w:firstLine="749"/>
        <w:spacing w:after="0" w:line="279" w:lineRule="auto"/>
        <w:rPr>
          <w:sz w:val="20"/>
          <w:szCs w:val="20"/>
          <w:color w:val="auto"/>
        </w:rPr>
      </w:pPr>
      <w:r>
        <w:rPr>
          <w:rFonts w:ascii="Arial" w:cs="Arial" w:eastAsia="Arial" w:hAnsi="Arial"/>
          <w:sz w:val="18"/>
          <w:szCs w:val="18"/>
          <w:color w:val="auto"/>
        </w:rPr>
        <w:t>On November 17, 2020, we completed our follow-on offering of our common stock. In connection with our follow-on offering, we issued and sold 5,796,000 shares of our common stock at a price to the public of $23.00 per share, resulting in gross proceeds of $133.3 million before deducting underwriting discounts and commissions and other offering expenses.</w:t>
      </w:r>
    </w:p>
    <w:p>
      <w:pPr>
        <w:spacing w:after="0" w:line="75" w:lineRule="exact"/>
        <w:rPr>
          <w:sz w:val="20"/>
          <w:szCs w:val="20"/>
          <w:color w:val="auto"/>
        </w:rPr>
      </w:pPr>
    </w:p>
    <w:p>
      <w:pPr>
        <w:jc w:val="both"/>
        <w:ind w:right="200" w:firstLine="749"/>
        <w:spacing w:after="0" w:line="279" w:lineRule="auto"/>
        <w:rPr>
          <w:sz w:val="20"/>
          <w:szCs w:val="20"/>
          <w:color w:val="auto"/>
        </w:rPr>
      </w:pPr>
      <w:r>
        <w:rPr>
          <w:rFonts w:ascii="Arial" w:cs="Arial" w:eastAsia="Arial" w:hAnsi="Arial"/>
          <w:sz w:val="18"/>
          <w:szCs w:val="18"/>
          <w:color w:val="auto"/>
        </w:rPr>
        <w:t>On April 28, 2020, we completed our IPO. In connection with our IPO, we issued and sold 8,625,000 shares of our common stock at a price to the public of $16.00 per share resulting in gross proceeds of $138.0 million before deducting underwriting discounts and commissions and other offering expenses.</w:t>
      </w:r>
    </w:p>
    <w:p>
      <w:pPr>
        <w:spacing w:after="0" w:line="75" w:lineRule="exact"/>
        <w:rPr>
          <w:sz w:val="20"/>
          <w:szCs w:val="20"/>
          <w:color w:val="auto"/>
        </w:rPr>
      </w:pPr>
    </w:p>
    <w:p>
      <w:pPr>
        <w:ind w:right="80" w:firstLine="749"/>
        <w:spacing w:after="0" w:line="293" w:lineRule="auto"/>
        <w:rPr>
          <w:sz w:val="20"/>
          <w:szCs w:val="20"/>
          <w:color w:val="auto"/>
        </w:rPr>
      </w:pPr>
      <w:r>
        <w:rPr>
          <w:rFonts w:ascii="Arial" w:cs="Arial" w:eastAsia="Arial" w:hAnsi="Arial"/>
          <w:sz w:val="18"/>
          <w:szCs w:val="18"/>
          <w:color w:val="auto"/>
        </w:rPr>
        <w:t>Prior to our IPO, we funded our operations primarily with proceeds from the sale of convertible preferred stock resulting in total net proceeds of approximately $178.1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31" w:lineRule="exact"/>
        <w:rPr>
          <w:sz w:val="20"/>
          <w:szCs w:val="20"/>
          <w:color w:val="auto"/>
        </w:rPr>
      </w:pPr>
    </w:p>
    <w:p>
      <w:pPr>
        <w:ind w:right="20" w:firstLine="749"/>
        <w:spacing w:after="0" w:line="290" w:lineRule="auto"/>
        <w:rPr>
          <w:sz w:val="20"/>
          <w:szCs w:val="20"/>
          <w:color w:val="auto"/>
        </w:rPr>
      </w:pPr>
      <w:r>
        <w:rPr>
          <w:rFonts w:ascii="Arial" w:cs="Arial" w:eastAsia="Arial" w:hAnsi="Arial"/>
          <w:sz w:val="17"/>
          <w:szCs w:val="17"/>
          <w:color w:val="auto"/>
        </w:rPr>
        <w:t>To date, we have not generated any revenue. We do not expect to generate any meaningful revenue unless and until we obtain regulatory approval of and commercialize any of our product candidates, and we do not know when, or if at all, that will occur. We will continue to require substantial additional capital to develop our product candidates and fund operations for the foreseeable future. Moreover, we expect our expenses to increase in connection with our ongoing activities, particularly as we continue the development of and seek regulatory approvals for our product candidates. Further, we are subject to all the risks incident in the development of new pharmaceutical products, and we may encounter unforeseen expenses, difficulties, complications, delays and other unknown factors that may harm our business. Our expenses will increase if, and as, we:</w:t>
      </w:r>
    </w:p>
    <w:p>
      <w:pPr>
        <w:spacing w:after="0" w:line="6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advance our product candidates through preclinical and clinical development;</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seek regulatory approvals for any product candidates that successfully complete clinical trials;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seek to discover and develop additional product candidates;</w:t>
      </w:r>
    </w:p>
    <w:p>
      <w:pPr>
        <w:spacing w:after="0" w:line="131" w:lineRule="exact"/>
        <w:rPr>
          <w:sz w:val="20"/>
          <w:szCs w:val="20"/>
          <w:color w:val="auto"/>
        </w:rPr>
      </w:pPr>
    </w:p>
    <w:p>
      <w:pPr>
        <w:ind w:left="1200" w:right="360"/>
        <w:spacing w:after="0" w:line="293" w:lineRule="auto"/>
        <w:rPr>
          <w:sz w:val="20"/>
          <w:szCs w:val="20"/>
          <w:color w:val="auto"/>
        </w:rPr>
      </w:pPr>
      <w:r>
        <w:rPr>
          <w:rFonts w:ascii="Arial" w:cs="Arial" w:eastAsia="Arial" w:hAnsi="Arial"/>
          <w:sz w:val="18"/>
          <w:szCs w:val="18"/>
          <w:color w:val="auto"/>
        </w:rPr>
        <w:t>establish a sales, marketing, medical affairs and distribution infrastructure to commercialize any product candidates for which we may obtain marketing approval and intend to commercialize on our own or jointly;</w:t>
      </w:r>
    </w:p>
    <w:p>
      <w:pPr>
        <w:spacing w:after="0" w:line="62" w:lineRule="exact"/>
        <w:rPr>
          <w:sz w:val="20"/>
          <w:szCs w:val="20"/>
          <w:color w:val="auto"/>
        </w:rPr>
      </w:pPr>
    </w:p>
    <w:p>
      <w:pPr>
        <w:ind w:left="1200" w:right="480"/>
        <w:spacing w:after="0" w:line="293" w:lineRule="auto"/>
        <w:rPr>
          <w:sz w:val="20"/>
          <w:szCs w:val="20"/>
          <w:color w:val="auto"/>
        </w:rPr>
      </w:pPr>
      <w:r>
        <w:rPr>
          <w:rFonts w:ascii="Arial" w:cs="Arial" w:eastAsia="Arial" w:hAnsi="Arial"/>
          <w:sz w:val="18"/>
          <w:szCs w:val="18"/>
          <w:color w:val="auto"/>
        </w:rPr>
        <w:t>expand our operational, financial and management systems and increase personnel, including personnel to support our development, manufacturing and commercialization efforts and our operations as a public company;</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maintain, expand, protect and enforce our intellectual property portfolio; and</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acquire or in-license other product candidates and technologies.</w:t>
      </w:r>
    </w:p>
    <w:p>
      <w:pPr>
        <w:spacing w:after="0" w:line="131" w:lineRule="exact"/>
        <w:rPr>
          <w:sz w:val="20"/>
          <w:szCs w:val="20"/>
          <w:color w:val="auto"/>
        </w:rPr>
      </w:pPr>
    </w:p>
    <w:p>
      <w:pPr>
        <w:ind w:firstLine="749"/>
        <w:spacing w:after="0" w:line="303" w:lineRule="auto"/>
        <w:rPr>
          <w:sz w:val="20"/>
          <w:szCs w:val="20"/>
          <w:color w:val="auto"/>
        </w:rPr>
      </w:pPr>
      <w:r>
        <w:rPr>
          <w:rFonts w:ascii="Arial" w:cs="Arial" w:eastAsia="Arial" w:hAnsi="Arial"/>
          <w:sz w:val="16"/>
          <w:szCs w:val="16"/>
          <w:color w:val="auto"/>
        </w:rPr>
        <w:t>We expect our current cash, cash equivalents and short-term investments will be sufficient to fund our current operating plan into 2024. However, our forecast of the period of time through which our financial resources will be adequate to support our operations is a forward-looking statement that involves risks and uncertainties, and actual results could vary materially. In order to complete the development of our product candidates and to build the sales, marketing and distribution infrastructure that we believe will be necessary to commercialize our product candidates, if approved, we will require substantial additional funding. Until we can generate a sufficient amount of revenue from the commercialization of our product candidates, we may seek to raise any necessary additional capital through the sale of equity, debt financings or other capital sources, which could include income from collaborations, strategic partnerships or marketing, distribution or licensing arrangements with third parties or from grants.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collaborations, strategic partnerships and other similar arrangements with third parties, we may be required to grant rights to develop and market product candidates that we would otherwise prefer to develop and market ourselves. We may be unable to raise additional funds or to enter into such agreements or arrangements on favorable terms, or at all. If we are unable to raise additional funds when needed, we may be required to delay, reduce or eliminate our product development or future commercialization efforts.</w:t>
      </w:r>
    </w:p>
    <w:p>
      <w:pPr>
        <w:spacing w:after="0" w:line="66" w:lineRule="exact"/>
        <w:rPr>
          <w:sz w:val="20"/>
          <w:szCs w:val="20"/>
          <w:color w:val="auto"/>
        </w:rPr>
      </w:pPr>
    </w:p>
    <w:p>
      <w:pPr>
        <w:ind w:right="160" w:firstLine="749"/>
        <w:spacing w:after="0" w:line="279" w:lineRule="auto"/>
        <w:rPr>
          <w:sz w:val="20"/>
          <w:szCs w:val="20"/>
          <w:color w:val="auto"/>
        </w:rPr>
      </w:pPr>
      <w:r>
        <w:rPr>
          <w:rFonts w:ascii="Arial" w:cs="Arial" w:eastAsia="Arial" w:hAnsi="Arial"/>
          <w:sz w:val="18"/>
          <w:szCs w:val="18"/>
          <w:color w:val="auto"/>
        </w:rPr>
        <w:t>We have based our projections of operating capital requirements on our current operating plan, which is based on several assumptions that may prove to be incorrect and we may use all of our available capital resources sooner than we expect. Because of the numerous risks and uncertainties associated with research, development and commercialization of product candidates, we are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1" w:name="page22"/>
    <w:bookmarkEnd w:id="21"/>
    <w:p>
      <w:pPr>
        <w:ind w:right="580"/>
        <w:spacing w:after="0" w:line="293" w:lineRule="auto"/>
        <w:rPr>
          <w:sz w:val="20"/>
          <w:szCs w:val="20"/>
          <w:color w:val="auto"/>
        </w:rPr>
      </w:pPr>
      <w:r>
        <w:rPr>
          <w:rFonts w:ascii="Arial" w:cs="Arial" w:eastAsia="Arial" w:hAnsi="Arial"/>
          <w:sz w:val="18"/>
          <w:szCs w:val="18"/>
          <w:color w:val="auto"/>
        </w:rPr>
        <w:t>unable to estimate the exact amount and timing of our working capital requirements. Our future funding requirements will depend on many factors, including:</w:t>
      </w:r>
    </w:p>
    <w:p>
      <w:pPr>
        <w:spacing w:after="0" w:line="89" w:lineRule="exact"/>
        <w:rPr>
          <w:sz w:val="20"/>
          <w:szCs w:val="20"/>
          <w:color w:val="auto"/>
        </w:rPr>
      </w:pPr>
    </w:p>
    <w:p>
      <w:pPr>
        <w:ind w:left="1200" w:right="40"/>
        <w:spacing w:after="0" w:line="293" w:lineRule="auto"/>
        <w:rPr>
          <w:sz w:val="20"/>
          <w:szCs w:val="20"/>
          <w:color w:val="auto"/>
        </w:rPr>
      </w:pPr>
      <w:r>
        <w:rPr>
          <w:rFonts w:ascii="Arial" w:cs="Arial" w:eastAsia="Arial" w:hAnsi="Arial"/>
          <w:sz w:val="18"/>
          <w:szCs w:val="18"/>
          <w:color w:val="auto"/>
        </w:rPr>
        <w:t>the scope, progress, results and costs of researching and developing our product candidates, and conducting preclinical studies and clinical trials;</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costs, timing and outcome of regulatory review of our product candidates;</w:t>
      </w:r>
    </w:p>
    <w:p>
      <w:pPr>
        <w:spacing w:after="0" w:line="131" w:lineRule="exact"/>
        <w:rPr>
          <w:sz w:val="20"/>
          <w:szCs w:val="20"/>
          <w:color w:val="auto"/>
        </w:rPr>
      </w:pPr>
    </w:p>
    <w:p>
      <w:pPr>
        <w:ind w:left="1200" w:right="280"/>
        <w:spacing w:after="0" w:line="293" w:lineRule="auto"/>
        <w:rPr>
          <w:sz w:val="20"/>
          <w:szCs w:val="20"/>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costs of manufacturing commercial-grade products and sufficient inventory to support commercial launch;</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revenue, if any, received from commercial sale of our products, should any of our product candidates receive marketing approval;</w:t>
      </w:r>
    </w:p>
    <w:p>
      <w:pPr>
        <w:spacing w:after="0" w:line="14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cost and timing of hiring new employees to support our continued growth;</w:t>
      </w:r>
    </w:p>
    <w:p>
      <w:pPr>
        <w:spacing w:after="0" w:line="131" w:lineRule="exact"/>
        <w:rPr>
          <w:sz w:val="20"/>
          <w:szCs w:val="20"/>
          <w:color w:val="auto"/>
        </w:rPr>
      </w:pPr>
    </w:p>
    <w:p>
      <w:pPr>
        <w:ind w:left="1200" w:right="80"/>
        <w:spacing w:after="0" w:line="293" w:lineRule="auto"/>
        <w:rPr>
          <w:sz w:val="20"/>
          <w:szCs w:val="20"/>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ability to establish and maintain collaborations on favorable terms, if at all;</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extent to which we acquire or in-license other product candidates and technologies; and</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timing, receipt and amount of sales of, or milestone payments related to or royalties on, our current or future product candidates, if any.</w:t>
      </w:r>
    </w:p>
    <w:p>
      <w:pPr>
        <w:spacing w:after="0" w:line="181" w:lineRule="exact"/>
        <w:rPr>
          <w:sz w:val="20"/>
          <w:szCs w:val="20"/>
          <w:color w:val="auto"/>
        </w:rPr>
      </w:pPr>
    </w:p>
    <w:p>
      <w:pPr>
        <w:ind w:right="120" w:firstLine="749"/>
        <w:spacing w:after="0" w:line="303" w:lineRule="auto"/>
        <w:rPr>
          <w:sz w:val="20"/>
          <w:szCs w:val="20"/>
          <w:color w:val="auto"/>
        </w:rPr>
      </w:pPr>
      <w:r>
        <w:rPr>
          <w:rFonts w:ascii="Arial" w:cs="Arial" w:eastAsia="Arial" w:hAnsi="Arial"/>
          <w:sz w:val="17"/>
          <w:szCs w:val="17"/>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sources and uses of our cash (in thousands):</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219"/>
        </w:trPr>
        <w:tc>
          <w:tcPr>
            <w:tcW w:w="6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r>
      <w:tr>
        <w:trPr>
          <w:trHeight w:val="278"/>
        </w:trPr>
        <w:tc>
          <w:tcPr>
            <w:tcW w:w="618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4"/>
                <w:szCs w:val="24"/>
                <w:color w:val="auto"/>
              </w:rPr>
            </w:pPr>
          </w:p>
        </w:tc>
      </w:tr>
      <w:tr>
        <w:trPr>
          <w:trHeight w:val="256"/>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(31,115 )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(17,863 )</w:t>
            </w:r>
          </w:p>
        </w:tc>
      </w:tr>
      <w:tr>
        <w:trPr>
          <w:trHeight w:val="250"/>
        </w:trPr>
        <w:tc>
          <w:tcPr>
            <w:tcW w:w="61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123,012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(13 )</w:t>
            </w:r>
          </w:p>
        </w:tc>
      </w:tr>
      <w:tr>
        <w:trPr>
          <w:trHeight w:val="26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(265 )</w:t>
            </w: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125,359</w:t>
            </w:r>
          </w:p>
        </w:tc>
        <w:tc>
          <w:tcPr>
            <w:tcW w:w="80" w:type="dxa"/>
            <w:vAlign w:val="bottom"/>
            <w:shd w:val="clear" w:color="auto" w:fill="CFF0FC"/>
          </w:tcPr>
          <w:p>
            <w:pPr>
              <w:spacing w:after="0"/>
              <w:rPr>
                <w:sz w:val="22"/>
                <w:szCs w:val="22"/>
                <w:color w:val="auto"/>
              </w:rPr>
            </w:pPr>
          </w:p>
        </w:tc>
      </w:tr>
      <w:tr>
        <w:trPr>
          <w:trHeight w:val="250"/>
        </w:trPr>
        <w:tc>
          <w:tcPr>
            <w:tcW w:w="6180" w:type="dxa"/>
            <w:vAlign w:val="bottom"/>
            <w:tcBorders>
              <w:top w:val="single" w:sz="8" w:color="CFF0FC"/>
            </w:tcBorders>
          </w:tcPr>
          <w:p>
            <w:pPr>
              <w:ind w:left="26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91,632</w:t>
            </w:r>
          </w:p>
        </w:tc>
        <w:tc>
          <w:tcPr>
            <w:tcW w:w="22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107,483</w:t>
            </w:r>
          </w:p>
        </w:tc>
        <w:tc>
          <w:tcPr>
            <w:tcW w:w="80" w:type="dxa"/>
            <w:vAlign w:val="bottom"/>
            <w:tcBorders>
              <w:top w:val="single" w:sz="8" w:color="CFF0FC"/>
            </w:tcBorders>
          </w:tcPr>
          <w:p>
            <w:pPr>
              <w:spacing w:after="0"/>
              <w:rPr>
                <w:sz w:val="21"/>
                <w:szCs w:val="21"/>
                <w:color w:val="auto"/>
              </w:rPr>
            </w:pPr>
          </w:p>
        </w:tc>
      </w:tr>
      <w:tr>
        <w:trPr>
          <w:trHeight w:val="20"/>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-193675</wp:posOffset>
            </wp:positionV>
            <wp:extent cx="13716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wp:posOffset>
            </wp:positionV>
            <wp:extent cx="5143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31" w:lineRule="exact"/>
        <w:rPr>
          <w:sz w:val="20"/>
          <w:szCs w:val="20"/>
          <w:color w:val="auto"/>
        </w:rPr>
      </w:pPr>
    </w:p>
    <w:p>
      <w:pPr>
        <w:jc w:val="both"/>
        <w:ind w:right="40" w:firstLine="749"/>
        <w:spacing w:after="0" w:line="279" w:lineRule="auto"/>
        <w:rPr>
          <w:sz w:val="20"/>
          <w:szCs w:val="20"/>
          <w:color w:val="auto"/>
        </w:rPr>
      </w:pPr>
      <w:r>
        <w:rPr>
          <w:rFonts w:ascii="Arial" w:cs="Arial" w:eastAsia="Arial" w:hAnsi="Arial"/>
          <w:sz w:val="18"/>
          <w:szCs w:val="18"/>
          <w:color w:val="auto"/>
        </w:rPr>
        <w:t>Net cash used in operating activities during the six months ended June 30, 2021 of $31.1 million was attributable to our net loss of $37.5 million and a net decrease in working capital of $0.9 million primarily related to a decrease in accrued compensation, offset by non-cash expenses of $7.3 million, which was mainly driven by stock-based compensation.</w:t>
      </w:r>
    </w:p>
    <w:p>
      <w:pPr>
        <w:spacing w:after="0" w:line="75" w:lineRule="exact"/>
        <w:rPr>
          <w:sz w:val="20"/>
          <w:szCs w:val="20"/>
          <w:color w:val="auto"/>
        </w:rPr>
      </w:pPr>
    </w:p>
    <w:p>
      <w:pPr>
        <w:jc w:val="both"/>
        <w:ind w:right="260" w:firstLine="749"/>
        <w:spacing w:after="0" w:line="279" w:lineRule="auto"/>
        <w:rPr>
          <w:sz w:val="20"/>
          <w:szCs w:val="20"/>
          <w:color w:val="auto"/>
        </w:rPr>
      </w:pPr>
      <w:r>
        <w:rPr>
          <w:rFonts w:ascii="Arial" w:cs="Arial" w:eastAsia="Arial" w:hAnsi="Arial"/>
          <w:sz w:val="18"/>
          <w:szCs w:val="18"/>
          <w:color w:val="auto"/>
        </w:rPr>
        <w:t>Net cash used in operating activities during the six months ended June 30, 2020 of $17.9 million was primarily attributable to our net loss of $19.9 million, offset by non-cash expenses of $2.4 million, primarily related to stock-based compensation, and a net decrease in working capital of $0.4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1" w:lineRule="exact"/>
        <w:rPr>
          <w:sz w:val="20"/>
          <w:szCs w:val="20"/>
          <w:color w:val="auto"/>
        </w:rPr>
      </w:pPr>
    </w:p>
    <w:p>
      <w:pPr>
        <w:ind w:right="280" w:firstLine="749"/>
        <w:spacing w:after="0" w:line="293" w:lineRule="auto"/>
        <w:rPr>
          <w:sz w:val="20"/>
          <w:szCs w:val="20"/>
          <w:color w:val="auto"/>
        </w:rPr>
      </w:pPr>
      <w:r>
        <w:rPr>
          <w:rFonts w:ascii="Arial" w:cs="Arial" w:eastAsia="Arial" w:hAnsi="Arial"/>
          <w:sz w:val="18"/>
          <w:szCs w:val="18"/>
          <w:color w:val="auto"/>
        </w:rPr>
        <w:t>Net cash provided by investing activities during the six months ended June 30, 2021 of $123.0 million was primarily attributable to sales and maturities of investments of $123.3 million, net of purchases.</w:t>
      </w:r>
    </w:p>
    <w:p>
      <w:pPr>
        <w:spacing w:after="0" w:line="62" w:lineRule="exact"/>
        <w:rPr>
          <w:sz w:val="20"/>
          <w:szCs w:val="20"/>
          <w:color w:val="auto"/>
        </w:rPr>
      </w:pPr>
    </w:p>
    <w:p>
      <w:pPr>
        <w:ind w:right="580" w:firstLine="749"/>
        <w:spacing w:after="0" w:line="293" w:lineRule="auto"/>
        <w:rPr>
          <w:sz w:val="20"/>
          <w:szCs w:val="20"/>
          <w:color w:val="auto"/>
        </w:rPr>
      </w:pPr>
      <w:r>
        <w:rPr>
          <w:rFonts w:ascii="Arial" w:cs="Arial" w:eastAsia="Arial" w:hAnsi="Arial"/>
          <w:sz w:val="18"/>
          <w:szCs w:val="18"/>
          <w:color w:val="auto"/>
        </w:rPr>
        <w:t>Net cash used in investing activities during the six months ended June 30, 2020 of less than $0.1 million was primarily attributable to the purchase of property and equipment partially offset by proceeds from a note receivable that was paid in full.</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1" w:lineRule="exact"/>
        <w:rPr>
          <w:sz w:val="20"/>
          <w:szCs w:val="20"/>
          <w:color w:val="auto"/>
        </w:rPr>
      </w:pPr>
    </w:p>
    <w:p>
      <w:pPr>
        <w:ind w:right="320" w:firstLine="749"/>
        <w:spacing w:after="0" w:line="293" w:lineRule="auto"/>
        <w:rPr>
          <w:sz w:val="20"/>
          <w:szCs w:val="20"/>
          <w:color w:val="auto"/>
        </w:rPr>
      </w:pPr>
      <w:r>
        <w:rPr>
          <w:rFonts w:ascii="Arial" w:cs="Arial" w:eastAsia="Arial" w:hAnsi="Arial"/>
          <w:sz w:val="18"/>
          <w:szCs w:val="18"/>
          <w:color w:val="auto"/>
        </w:rPr>
        <w:t>Net cash used in financing activities during the six months ended June 30, 2021 was $0.3 million, primarily attributable to deferred financing costs in connection with our ATM sales agreement.</w:t>
      </w:r>
    </w:p>
    <w:p>
      <w:pPr>
        <w:spacing w:after="0" w:line="62" w:lineRule="exact"/>
        <w:rPr>
          <w:sz w:val="20"/>
          <w:szCs w:val="20"/>
          <w:color w:val="auto"/>
        </w:rPr>
      </w:pPr>
    </w:p>
    <w:p>
      <w:pPr>
        <w:ind w:right="620" w:firstLine="749"/>
        <w:spacing w:after="0" w:line="293" w:lineRule="auto"/>
        <w:rPr>
          <w:sz w:val="20"/>
          <w:szCs w:val="20"/>
          <w:color w:val="auto"/>
        </w:rPr>
      </w:pPr>
      <w:r>
        <w:rPr>
          <w:rFonts w:ascii="Arial" w:cs="Arial" w:eastAsia="Arial" w:hAnsi="Arial"/>
          <w:sz w:val="18"/>
          <w:szCs w:val="18"/>
          <w:color w:val="auto"/>
        </w:rPr>
        <w:t>Net cash provided by financing activities during the six months ended June 30, 2020 was $125.4 million, primarily attributable to the net proceeds we received in connection with our IPO.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31" w:lineRule="exact"/>
        <w:rPr>
          <w:sz w:val="20"/>
          <w:szCs w:val="20"/>
          <w:color w:val="auto"/>
        </w:rPr>
      </w:pPr>
    </w:p>
    <w:p>
      <w:pPr>
        <w:ind w:right="360" w:firstLine="749"/>
        <w:spacing w:after="0" w:line="293" w:lineRule="auto"/>
        <w:rPr>
          <w:sz w:val="20"/>
          <w:szCs w:val="20"/>
          <w:color w:val="auto"/>
        </w:rPr>
      </w:pPr>
      <w:r>
        <w:rPr>
          <w:rFonts w:ascii="Arial" w:cs="Arial" w:eastAsia="Arial" w:hAnsi="Arial"/>
          <w:sz w:val="18"/>
          <w:szCs w:val="18"/>
          <w:color w:val="auto"/>
        </w:rPr>
        <w:t>We do not currently have, nor did we have any off-balance sheet arrangements, as defined in the rules and regulations of the SEC, during the periods presented</w:t>
      </w:r>
      <w:r>
        <w:rPr>
          <w:rFonts w:ascii="Arial" w:cs="Arial" w:eastAsia="Arial" w:hAnsi="Arial"/>
          <w:sz w:val="18"/>
          <w:szCs w:val="18"/>
          <w:color w:val="231F20"/>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Judgements and Estimates</w:t>
      </w:r>
    </w:p>
    <w:p>
      <w:pPr>
        <w:spacing w:after="0" w:line="131" w:lineRule="exact"/>
        <w:rPr>
          <w:sz w:val="20"/>
          <w:szCs w:val="20"/>
          <w:color w:val="auto"/>
        </w:rPr>
      </w:pPr>
    </w:p>
    <w:p>
      <w:pPr>
        <w:ind w:right="80" w:firstLine="749"/>
        <w:spacing w:after="0" w:line="287"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generally accepted accounting principles in the United States (US GAAP). The preparation of these financial statements in conformity with US GAAP requires management to make estimates and assumptions that impact the reported amounts of assets, liabilities, expenses, and the disclosure of contingent assets and liabilities in our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Actual results may differ materially from these estimates under different assumptions or conditions. There have been no significant changes in our critical accounting policies as discussed in our Annual Report on Form 10-K for the year ended December 31, 2020.</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31" w:lineRule="exact"/>
        <w:rPr>
          <w:sz w:val="20"/>
          <w:szCs w:val="20"/>
          <w:color w:val="auto"/>
        </w:rPr>
      </w:pPr>
    </w:p>
    <w:p>
      <w:pPr>
        <w:ind w:right="60" w:firstLine="749"/>
        <w:spacing w:after="0" w:line="272" w:lineRule="auto"/>
        <w:rPr>
          <w:sz w:val="20"/>
          <w:szCs w:val="20"/>
          <w:color w:val="auto"/>
        </w:rPr>
      </w:pPr>
      <w:r>
        <w:rPr>
          <w:rFonts w:ascii="Arial" w:cs="Arial" w:eastAsia="Arial" w:hAnsi="Arial"/>
          <w:sz w:val="18"/>
          <w:szCs w:val="18"/>
          <w:color w:val="auto"/>
        </w:rPr>
        <w:t>Section 107 of the JOBS Act permits an “emerging growth company” such as us to take advantage of an extended transition time to comply with new or revised accounting standards as applicable to public companies. Thus, an emerging growth company can delay the adoption of certain accounting standards until those standards would otherwise apply to private companies. We have elected not to use the extended transition, which election is irrevocable. As a result, our financial statements may not be comparable to other emerging growth companies that elect to take advantage of the extended transition period.</w:t>
      </w:r>
    </w:p>
    <w:p>
      <w:pPr>
        <w:spacing w:after="0" w:line="83" w:lineRule="exact"/>
        <w:rPr>
          <w:sz w:val="20"/>
          <w:szCs w:val="20"/>
          <w:color w:val="auto"/>
        </w:rPr>
      </w:pPr>
    </w:p>
    <w:p>
      <w:pPr>
        <w:ind w:right="660" w:firstLine="749"/>
        <w:spacing w:after="0" w:line="275"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December 31, 2025.</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31" w:lineRule="exact"/>
        <w:rPr>
          <w:sz w:val="20"/>
          <w:szCs w:val="20"/>
          <w:color w:val="auto"/>
        </w:rPr>
      </w:pPr>
    </w:p>
    <w:p>
      <w:pPr>
        <w:ind w:firstLine="749"/>
        <w:spacing w:after="0" w:line="306" w:lineRule="auto"/>
        <w:rPr>
          <w:sz w:val="20"/>
          <w:szCs w:val="20"/>
          <w:color w:val="auto"/>
        </w:rPr>
      </w:pPr>
      <w:r>
        <w:rPr>
          <w:rFonts w:ascii="Arial" w:cs="Arial" w:eastAsia="Arial" w:hAnsi="Arial"/>
          <w:sz w:val="16"/>
          <w:szCs w:val="16"/>
          <w:color w:val="auto"/>
        </w:rPr>
        <w:t>The primary objective of our investment activities is to preserve principal and liquidity while at the same time maximizing the income we receive without significantly increasing risk. To achieve this objective, we may invest in money market funds, U.S. Treasury notes, and high-quality marketable debt instruments of corporations and government sponsored enterprises with contractual maturity dates of generally less than two years, in accordance with an investment policy approved by our audit committee. Some of the financial instruments that we invest in could be subject to market risk, meaning that a change in prevailing interest rates may cause the value of the instruments to fluctuate. For example, if we purchase a security that was issued with a fixed interest rate and the prevailing interest rate later rises, the value of that security will probably decline. To minimize this risk, we intend to maintain a portfolio which may include a variety of securities, including money market funds, government debt securities and commercial paper, all with various maturity dates. As of June 30, 2021, we had cash equivalents and short-term investments of $261.1 million, consisting of interest-bearing money market funds and securities issued by the U.S. Treasury. Due to the nature of our cash equivalents and short-term investments, an immediate 100 basis point change in interest rates would not have a material effect on the fair market value of our cash and cash equivalents.</w:t>
      </w:r>
    </w:p>
    <w:p>
      <w:pPr>
        <w:spacing w:after="0" w:line="57" w:lineRule="exact"/>
        <w:rPr>
          <w:sz w:val="20"/>
          <w:szCs w:val="20"/>
          <w:color w:val="auto"/>
        </w:rPr>
      </w:pPr>
    </w:p>
    <w:p>
      <w:pPr>
        <w:ind w:right="180" w:firstLine="749"/>
        <w:spacing w:after="0" w:line="293" w:lineRule="auto"/>
        <w:rPr>
          <w:sz w:val="20"/>
          <w:szCs w:val="20"/>
          <w:color w:val="auto"/>
        </w:rPr>
      </w:pPr>
      <w:r>
        <w:rPr>
          <w:rFonts w:ascii="Arial" w:cs="Arial" w:eastAsia="Arial" w:hAnsi="Arial"/>
          <w:sz w:val="18"/>
          <w:szCs w:val="18"/>
          <w:color w:val="auto"/>
        </w:rPr>
        <w:t>We do not believe that inflation, interest rate changes or exchange rate fluctuations had a significant impact on our results of operations for any periods presented herein.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31" w:lineRule="exact"/>
        <w:rPr>
          <w:sz w:val="20"/>
          <w:szCs w:val="20"/>
          <w:color w:val="auto"/>
        </w:rPr>
      </w:pPr>
    </w:p>
    <w:p>
      <w:pPr>
        <w:ind w:right="60" w:firstLine="749"/>
        <w:spacing w:after="0" w:line="272"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 specified in the SEC's rules and forms, and that such information is accumulated and communicated to management including our Chief Executive Officer and Chief Financial Officer, as appropriate, to allow timely decisions regarding required disclosure. As of June 30, 2021, we carried out an evaluation under the supervision and with the participation of our management, including our Chief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 w:name="page24"/>
    <w:bookmarkEnd w:id="23"/>
    <w:p>
      <w:pPr>
        <w:ind w:right="180"/>
        <w:spacing w:after="0" w:line="329" w:lineRule="auto"/>
        <w:rPr>
          <w:sz w:val="20"/>
          <w:szCs w:val="20"/>
          <w:color w:val="auto"/>
        </w:rPr>
      </w:pPr>
      <w:r>
        <w:rPr>
          <w:rFonts w:ascii="Arial" w:cs="Arial" w:eastAsia="Arial" w:hAnsi="Arial"/>
          <w:sz w:val="16"/>
          <w:szCs w:val="16"/>
          <w:color w:val="auto"/>
        </w:rPr>
        <w:t>Executive Officer and Chief Financial Officer, of the effectiveness of the design and operation of our disclosure controls and procedures, as defined in Rules 13a-15(e) and 15d-15(e) under the Securities Exchange Act of 1934. Based upon that evaluation, our Chief Executive Officer and Chief Financial Officer concluded that our disclosure controls and procedures were effective at a reasonable assurance level as of June 30, 2021.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4"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Securities Exchange Act of 1934 that occurred during the quarter ended June 30, 2021 that has materially affected, or is reasonably likely to materially affect, our internal control over financial reporting.</w:t>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76" w:right="4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right="100" w:firstLine="749"/>
        <w:spacing w:after="0" w:line="275" w:lineRule="auto"/>
        <w:rPr>
          <w:sz w:val="20"/>
          <w:szCs w:val="20"/>
          <w:color w:val="auto"/>
        </w:rPr>
      </w:pPr>
      <w:r>
        <w:rPr>
          <w:rFonts w:ascii="Arial" w:cs="Arial" w:eastAsia="Arial" w:hAnsi="Arial"/>
          <w:sz w:val="18"/>
          <w:szCs w:val="18"/>
          <w:color w:val="auto"/>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right="40" w:firstLine="749"/>
        <w:spacing w:after="0" w:line="271" w:lineRule="auto"/>
        <w:rPr>
          <w:sz w:val="20"/>
          <w:szCs w:val="20"/>
          <w:color w:val="auto"/>
        </w:rPr>
      </w:pPr>
      <w:r>
        <w:rPr>
          <w:rFonts w:ascii="Arial" w:cs="Arial" w:eastAsia="Arial" w:hAnsi="Arial"/>
          <w:sz w:val="18"/>
          <w:szCs w:val="18"/>
          <w:i w:val="1"/>
          <w:iCs w:val="1"/>
          <w:color w:val="auto"/>
        </w:rPr>
        <w:t>You should carefully consider the risks described below, as well as the other information in this quarterly report on Form 10-Q, including our financial statements and related notes and the section titled “Management’s Discussion and Analysis of Financial Condition and Results of Operations,”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Additional risks and uncertainties not presently known to us or that we currently deem immaterial also may impair our business operations and the market price of our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6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i w:val="1"/>
          <w:iCs w:val="1"/>
          <w:color w:val="auto"/>
        </w:rPr>
        <w:t>The following summarizes the most material risks that make an investment in our securities risky or speculative. If any of the following risks occur or persist, our business, financial condition, results of operations and prospects could be materially harmed and the market price of our common stock could significantly decline: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4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limited operating history</w:t>
      </w:r>
    </w:p>
    <w:p>
      <w:pPr>
        <w:spacing w:after="0" w:line="5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past and anticipated future net losses</w:t>
      </w:r>
    </w:p>
    <w:p>
      <w:pPr>
        <w:spacing w:after="0" w:line="3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uncertainty related to our ability to generate revenue and achieve profitability</w:t>
      </w:r>
    </w:p>
    <w:p>
      <w:pPr>
        <w:spacing w:after="0" w:line="3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need for substantial additional capital to finance our operations</w:t>
      </w:r>
    </w:p>
    <w:p>
      <w:pPr>
        <w:spacing w:after="0" w:line="154" w:lineRule="exact"/>
        <w:rPr>
          <w:sz w:val="20"/>
          <w:szCs w:val="20"/>
          <w:color w:val="auto"/>
        </w:rPr>
      </w:pPr>
    </w:p>
    <w:p>
      <w:pPr>
        <w:ind w:left="1200" w:right="4380" w:hanging="1189"/>
        <w:spacing w:after="0" w:line="268" w:lineRule="auto"/>
        <w:rPr>
          <w:sz w:val="20"/>
          <w:szCs w:val="20"/>
          <w:color w:val="auto"/>
        </w:rPr>
      </w:pPr>
      <w:r>
        <w:rPr>
          <w:rFonts w:ascii="Arial" w:cs="Arial" w:eastAsia="Arial" w:hAnsi="Arial"/>
          <w:sz w:val="18"/>
          <w:szCs w:val="18"/>
          <w:b w:val="1"/>
          <w:bCs w:val="1"/>
          <w:color w:val="auto"/>
        </w:rPr>
        <w:t xml:space="preserve">Risks related to discovery, development and commercialization of our product candidates </w:t>
      </w:r>
      <w:r>
        <w:rPr>
          <w:rFonts w:ascii="Arial" w:cs="Arial" w:eastAsia="Arial" w:hAnsi="Arial"/>
          <w:sz w:val="18"/>
          <w:szCs w:val="18"/>
          <w:color w:val="auto"/>
        </w:rPr>
        <w:t>our substantial dependence on ORIC-101</w:t>
      </w:r>
    </w:p>
    <w:p>
      <w:pPr>
        <w:spacing w:after="0" w:line="2" w:lineRule="exact"/>
        <w:rPr>
          <w:sz w:val="20"/>
          <w:szCs w:val="20"/>
          <w:color w:val="auto"/>
        </w:rPr>
      </w:pPr>
    </w:p>
    <w:p>
      <w:pPr>
        <w:ind w:left="1200" w:right="3320"/>
        <w:spacing w:after="0" w:line="281" w:lineRule="auto"/>
        <w:rPr>
          <w:sz w:val="20"/>
          <w:szCs w:val="20"/>
          <w:color w:val="auto"/>
        </w:rPr>
      </w:pPr>
      <w:r>
        <w:rPr>
          <w:rFonts w:ascii="Arial" w:cs="Arial" w:eastAsia="Arial" w:hAnsi="Arial"/>
          <w:sz w:val="17"/>
          <w:szCs w:val="17"/>
          <w:color w:val="auto"/>
        </w:rPr>
        <w:t>our challenges in discovering, developing and commercializing additional product candidates limitations in regulatory approval processes and product candidate approvals our clinical trials that may fail to satisfactorily demonstrate safety and efficacy</w:t>
      </w:r>
    </w:p>
    <w:p>
      <w:pPr>
        <w:spacing w:after="0" w:line="2" w:lineRule="exact"/>
        <w:rPr>
          <w:sz w:val="20"/>
          <w:szCs w:val="20"/>
          <w:color w:val="auto"/>
        </w:rPr>
      </w:pPr>
    </w:p>
    <w:p>
      <w:pPr>
        <w:ind w:left="1200" w:right="1980"/>
        <w:spacing w:after="0" w:line="266" w:lineRule="auto"/>
        <w:rPr>
          <w:sz w:val="20"/>
          <w:szCs w:val="20"/>
          <w:color w:val="auto"/>
        </w:rPr>
      </w:pPr>
      <w:r>
        <w:rPr>
          <w:rFonts w:ascii="Arial" w:cs="Arial" w:eastAsia="Arial" w:hAnsi="Arial"/>
          <w:sz w:val="18"/>
          <w:szCs w:val="18"/>
          <w:color w:val="auto"/>
        </w:rPr>
        <w:t>our product candidates that may cause significant adverse events, toxicities or other undesirable side effects potentially negative clinical trial results and challenges related to FDA, EMA and other regulatory requirements deficiencies in audits and verification procedures of our clinical trial data</w:t>
      </w:r>
    </w:p>
    <w:p>
      <w:pPr>
        <w:ind w:left="1200" w:right="2520"/>
        <w:spacing w:after="0" w:line="266" w:lineRule="auto"/>
        <w:rPr>
          <w:sz w:val="20"/>
          <w:szCs w:val="20"/>
          <w:color w:val="auto"/>
        </w:rPr>
      </w:pPr>
      <w:r>
        <w:rPr>
          <w:rFonts w:ascii="Arial" w:cs="Arial" w:eastAsia="Arial" w:hAnsi="Arial"/>
          <w:sz w:val="18"/>
          <w:szCs w:val="18"/>
          <w:color w:val="auto"/>
        </w:rPr>
        <w:t>adverse effects due to third parties investigating the same product candidates as us in different territories potential delays or difficulties in enrollment and/or maintenance of patients in clinical trials the impact of the COVID-19 pandemic on our operations</w:t>
      </w:r>
    </w:p>
    <w:p>
      <w:pPr>
        <w:ind w:left="1200" w:right="3760"/>
        <w:spacing w:after="0" w:line="299" w:lineRule="auto"/>
        <w:rPr>
          <w:sz w:val="20"/>
          <w:szCs w:val="20"/>
          <w:color w:val="auto"/>
        </w:rPr>
      </w:pPr>
      <w:r>
        <w:rPr>
          <w:rFonts w:ascii="Arial" w:cs="Arial" w:eastAsia="Arial" w:hAnsi="Arial"/>
          <w:sz w:val="16"/>
          <w:szCs w:val="16"/>
          <w:color w:val="auto"/>
        </w:rPr>
        <w:t>our inability to develop effective companion diagnostic tests for our product candidates unexpected difficulties in developing ORIC-101 and other potential programs</w:t>
      </w:r>
    </w:p>
    <w:p>
      <w:pPr>
        <w:spacing w:after="0" w:line="1" w:lineRule="exact"/>
        <w:rPr>
          <w:sz w:val="20"/>
          <w:szCs w:val="20"/>
          <w:color w:val="auto"/>
        </w:rPr>
      </w:pPr>
    </w:p>
    <w:p>
      <w:pPr>
        <w:ind w:left="1200" w:right="3240"/>
        <w:spacing w:after="0" w:line="266" w:lineRule="auto"/>
        <w:rPr>
          <w:sz w:val="20"/>
          <w:szCs w:val="20"/>
          <w:color w:val="auto"/>
        </w:rPr>
      </w:pPr>
      <w:r>
        <w:rPr>
          <w:rFonts w:ascii="Arial" w:cs="Arial" w:eastAsia="Arial" w:hAnsi="Arial"/>
          <w:sz w:val="18"/>
          <w:szCs w:val="18"/>
          <w:color w:val="auto"/>
        </w:rPr>
        <w:t>profitability challenges related to our focus on developing ORIC-101 for particular indications significant competition in the markets in which we operate production difficulties encountered by our third-party manufacturers</w:t>
      </w:r>
    </w:p>
    <w:p>
      <w:pPr>
        <w:ind w:left="1200"/>
        <w:spacing w:after="0"/>
        <w:rPr>
          <w:sz w:val="20"/>
          <w:szCs w:val="20"/>
          <w:color w:val="auto"/>
        </w:rPr>
      </w:pPr>
      <w:r>
        <w:rPr>
          <w:rFonts w:ascii="Arial" w:cs="Arial" w:eastAsia="Arial" w:hAnsi="Arial"/>
          <w:sz w:val="18"/>
          <w:szCs w:val="18"/>
          <w:color w:val="auto"/>
        </w:rPr>
        <w:t>changes in methods of product candidate manufacturing or formulation</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market unacceptance of our product candidates in the medical community</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limited market opportunities for ORIC-101 and other product candidates</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inability to augment our product pipeline through acquisitions and in-licenses</w:t>
      </w:r>
    </w:p>
    <w:p>
      <w:pPr>
        <w:spacing w:after="0" w:line="23" w:lineRule="exact"/>
        <w:rPr>
          <w:sz w:val="20"/>
          <w:szCs w:val="20"/>
          <w:color w:val="auto"/>
        </w:rPr>
      </w:pPr>
    </w:p>
    <w:p>
      <w:pPr>
        <w:ind w:left="1200" w:right="2760"/>
        <w:spacing w:after="0" w:line="292" w:lineRule="auto"/>
        <w:rPr>
          <w:sz w:val="20"/>
          <w:szCs w:val="20"/>
          <w:color w:val="auto"/>
        </w:rPr>
      </w:pPr>
      <w:r>
        <w:rPr>
          <w:rFonts w:ascii="Arial" w:cs="Arial" w:eastAsia="Arial" w:hAnsi="Arial"/>
          <w:sz w:val="18"/>
          <w:szCs w:val="18"/>
          <w:color w:val="auto"/>
        </w:rPr>
        <w:t>potential for unfavorable third-party coverage and reimbursement practices of our product candidates limitations of our product liability and insurance coverage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legal and other compliance matters</w:t>
      </w:r>
    </w:p>
    <w:p>
      <w:pPr>
        <w:spacing w:after="0" w:line="2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difficulties in our ability to obtain regulatory approval of our product candidates</w:t>
      </w:r>
    </w:p>
    <w:p>
      <w:pPr>
        <w:spacing w:after="0" w:line="23" w:lineRule="exact"/>
        <w:rPr>
          <w:sz w:val="20"/>
          <w:szCs w:val="20"/>
          <w:color w:val="auto"/>
        </w:rPr>
      </w:pPr>
    </w:p>
    <w:p>
      <w:pPr>
        <w:ind w:left="1200" w:right="1880"/>
        <w:spacing w:after="0" w:line="299" w:lineRule="auto"/>
        <w:rPr>
          <w:sz w:val="20"/>
          <w:szCs w:val="20"/>
          <w:color w:val="auto"/>
        </w:rPr>
      </w:pPr>
      <w:r>
        <w:rPr>
          <w:rFonts w:ascii="Arial" w:cs="Arial" w:eastAsia="Arial" w:hAnsi="Arial"/>
          <w:sz w:val="16"/>
          <w:szCs w:val="16"/>
          <w:color w:val="auto"/>
        </w:rPr>
        <w:t>FDA, EMA and other regulatory authorities’ unacceptance of data from trials conducted outside their jurisdiction our inability to obtain and maintain regulatory approval of our product candidates in various jurisdictions burdens related to post-marketing regulatory requirements and oversight of our product candidates</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impacts of regulatory authorities’ enforcement of laws and regulations prohibiting promotion of off-label uses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ind w:left="1200"/>
        <w:spacing w:after="0"/>
        <w:rPr>
          <w:sz w:val="20"/>
          <w:szCs w:val="20"/>
          <w:color w:val="auto"/>
        </w:rPr>
      </w:pPr>
      <w:r>
        <w:rPr>
          <w:rFonts w:ascii="Arial" w:cs="Arial" w:eastAsia="Arial" w:hAnsi="Arial"/>
          <w:sz w:val="18"/>
          <w:szCs w:val="18"/>
          <w:color w:val="auto"/>
        </w:rPr>
        <w:t>challenges related to FDA approval of required companion diagnostic tests</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challenges related to our ability to obtain Fast Track designation from the FDA for our product candidates</w:t>
      </w:r>
    </w:p>
    <w:p>
      <w:pPr>
        <w:spacing w:after="0" w:line="23" w:lineRule="exact"/>
        <w:rPr>
          <w:sz w:val="20"/>
          <w:szCs w:val="20"/>
          <w:color w:val="auto"/>
        </w:rPr>
      </w:pPr>
    </w:p>
    <w:p>
      <w:pPr>
        <w:ind w:left="1200" w:right="1260"/>
        <w:spacing w:after="0" w:line="266" w:lineRule="auto"/>
        <w:rPr>
          <w:sz w:val="20"/>
          <w:szCs w:val="20"/>
          <w:color w:val="auto"/>
        </w:rPr>
      </w:pPr>
      <w:r>
        <w:rPr>
          <w:rFonts w:ascii="Arial" w:cs="Arial" w:eastAsia="Arial" w:hAnsi="Arial"/>
          <w:sz w:val="18"/>
          <w:szCs w:val="18"/>
          <w:color w:val="auto"/>
        </w:rPr>
        <w:t>limitations to our ability to obtain orphan drug designation or maintain orphan drug exclusivity for our product candidates any delays or barriers to secure approval for accelerated registration pathways changes to current regulations and future legislation that impact us adversely</w:t>
      </w:r>
    </w:p>
    <w:p>
      <w:pPr>
        <w:jc w:val="both"/>
        <w:ind w:left="1200" w:right="2180"/>
        <w:spacing w:after="0" w:line="281" w:lineRule="auto"/>
        <w:rPr>
          <w:sz w:val="20"/>
          <w:szCs w:val="20"/>
          <w:color w:val="auto"/>
        </w:rPr>
      </w:pPr>
      <w:r>
        <w:rPr>
          <w:rFonts w:ascii="Arial" w:cs="Arial" w:eastAsia="Arial" w:hAnsi="Arial"/>
          <w:sz w:val="17"/>
          <w:szCs w:val="17"/>
          <w:color w:val="auto"/>
        </w:rPr>
        <w:t>inadequate funding of regulatory agencies that may hinder timely product development or commercialization potential misconduct or noncompliance with regulatory standards by our employees and certain third parties any potential incompliance with U.S. healthcare laws and requirements</w:t>
      </w:r>
    </w:p>
    <w:p>
      <w:pPr>
        <w:spacing w:after="0" w:line="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any potential incompliance with environmental, health and safety laws and regulations</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any potential incompliance with anti-bribery, anti-corruption, export, trade sanctions and import laws or regulations</w:t>
      </w:r>
    </w:p>
    <w:p>
      <w:pPr>
        <w:spacing w:after="0" w:line="23" w:lineRule="exact"/>
        <w:rPr>
          <w:sz w:val="20"/>
          <w:szCs w:val="20"/>
          <w:color w:val="auto"/>
        </w:rPr>
      </w:pPr>
    </w:p>
    <w:p>
      <w:pPr>
        <w:ind w:left="1200"/>
        <w:spacing w:after="0" w:line="292" w:lineRule="auto"/>
        <w:rPr>
          <w:sz w:val="20"/>
          <w:szCs w:val="20"/>
          <w:color w:val="auto"/>
        </w:rPr>
      </w:pPr>
      <w:r>
        <w:rPr>
          <w:rFonts w:ascii="Arial" w:cs="Arial" w:eastAsia="Arial" w:hAnsi="Arial"/>
          <w:sz w:val="18"/>
          <w:szCs w:val="18"/>
          <w:color w:val="auto"/>
        </w:rPr>
        <w:t>any potential incompliance with California laws or The NASDAQ Global Select Market (Nasdaq) rules governing diversity of our board of directors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management of our growth</w:t>
      </w:r>
    </w:p>
    <w:p>
      <w:pPr>
        <w:spacing w:after="0" w:line="27" w:lineRule="exact"/>
        <w:rPr>
          <w:sz w:val="20"/>
          <w:szCs w:val="20"/>
          <w:color w:val="auto"/>
        </w:rPr>
      </w:pPr>
    </w:p>
    <w:p>
      <w:pPr>
        <w:ind w:left="1200" w:right="3400"/>
        <w:spacing w:after="0" w:line="266" w:lineRule="auto"/>
        <w:rPr>
          <w:sz w:val="20"/>
          <w:szCs w:val="20"/>
          <w:color w:val="auto"/>
        </w:rPr>
      </w:pPr>
      <w:r>
        <w:rPr>
          <w:rFonts w:ascii="Arial" w:cs="Arial" w:eastAsia="Arial" w:hAnsi="Arial"/>
          <w:sz w:val="18"/>
          <w:szCs w:val="18"/>
          <w:color w:val="auto"/>
        </w:rPr>
        <w:t>challenges to our ability to attract and retain highly skilled executive officers and employees difficulties in our ability to sell or market our product candidates</w:t>
      </w:r>
    </w:p>
    <w:p>
      <w:pPr>
        <w:ind w:left="1200"/>
        <w:spacing w:after="0"/>
        <w:rPr>
          <w:sz w:val="20"/>
          <w:szCs w:val="20"/>
          <w:color w:val="auto"/>
        </w:rPr>
      </w:pPr>
      <w:r>
        <w:rPr>
          <w:rFonts w:ascii="Arial" w:cs="Arial" w:eastAsia="Arial" w:hAnsi="Arial"/>
          <w:sz w:val="18"/>
          <w:szCs w:val="18"/>
          <w:color w:val="auto"/>
        </w:rPr>
        <w:t>our potential inability to grow and manage growth of our organization</w:t>
      </w:r>
    </w:p>
    <w:p>
      <w:pPr>
        <w:spacing w:after="0" w:line="23" w:lineRule="exact"/>
        <w:rPr>
          <w:sz w:val="20"/>
          <w:szCs w:val="20"/>
          <w:color w:val="auto"/>
        </w:rPr>
      </w:pPr>
    </w:p>
    <w:p>
      <w:pPr>
        <w:ind w:left="1200" w:right="3360"/>
        <w:spacing w:after="0" w:line="299" w:lineRule="auto"/>
        <w:rPr>
          <w:sz w:val="20"/>
          <w:szCs w:val="20"/>
          <w:color w:val="auto"/>
        </w:rPr>
      </w:pPr>
      <w:r>
        <w:rPr>
          <w:rFonts w:ascii="Arial" w:cs="Arial" w:eastAsia="Arial" w:hAnsi="Arial"/>
          <w:sz w:val="16"/>
          <w:szCs w:val="16"/>
          <w:color w:val="auto"/>
        </w:rPr>
        <w:t>security or data privacy breaches of our internal systems or those of commercial third parties natural disasters and other catastrophic events that may cause damage or disruption investigation of two of our officers by the Securities and Exchange Commission</w:t>
      </w:r>
    </w:p>
    <w:p>
      <w:pPr>
        <w:spacing w:after="0" w:line="1" w:lineRule="exact"/>
        <w:rPr>
          <w:sz w:val="20"/>
          <w:szCs w:val="20"/>
          <w:color w:val="auto"/>
        </w:rPr>
      </w:pPr>
    </w:p>
    <w:p>
      <w:pPr>
        <w:ind w:left="1200" w:right="2920"/>
        <w:spacing w:after="0" w:line="302" w:lineRule="auto"/>
        <w:rPr>
          <w:sz w:val="20"/>
          <w:szCs w:val="20"/>
          <w:color w:val="auto"/>
        </w:rPr>
      </w:pPr>
      <w:r>
        <w:rPr>
          <w:rFonts w:ascii="Arial" w:cs="Arial" w:eastAsia="Arial" w:hAnsi="Arial"/>
          <w:sz w:val="17"/>
          <w:szCs w:val="17"/>
          <w:color w:val="auto"/>
        </w:rPr>
        <w:t>our potential inability to use our net operating losses and tax credits to offset future taxable income U.S. federal income tax reform and additional effort and expenses incurred as a result complexities related to international marketing of our product candidates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7" w:lineRule="exact"/>
        <w:rPr>
          <w:sz w:val="20"/>
          <w:szCs w:val="20"/>
          <w:color w:val="auto"/>
        </w:rPr>
      </w:pPr>
    </w:p>
    <w:p>
      <w:pPr>
        <w:ind w:left="1200" w:right="3700"/>
        <w:spacing w:after="0" w:line="266" w:lineRule="auto"/>
        <w:rPr>
          <w:sz w:val="20"/>
          <w:szCs w:val="20"/>
          <w:color w:val="auto"/>
        </w:rPr>
      </w:pPr>
      <w:r>
        <w:rPr>
          <w:rFonts w:ascii="Arial" w:cs="Arial" w:eastAsia="Arial" w:hAnsi="Arial"/>
          <w:sz w:val="18"/>
          <w:szCs w:val="18"/>
          <w:color w:val="auto"/>
        </w:rPr>
        <w:t>challenges to our ability to protect our intellectual property and proprietary technologies the potentially narrow scope of patent protection we receive potential threats to our competitive advantage</w:t>
      </w:r>
    </w:p>
    <w:p>
      <w:pPr>
        <w:ind w:left="1200" w:right="1980"/>
        <w:spacing w:after="0" w:line="266" w:lineRule="auto"/>
        <w:rPr>
          <w:sz w:val="20"/>
          <w:szCs w:val="20"/>
          <w:color w:val="auto"/>
        </w:rPr>
      </w:pPr>
      <w:r>
        <w:rPr>
          <w:rFonts w:ascii="Arial" w:cs="Arial" w:eastAsia="Arial" w:hAnsi="Arial"/>
          <w:sz w:val="18"/>
          <w:szCs w:val="18"/>
          <w:color w:val="auto"/>
        </w:rPr>
        <w:t>our ability to operate without infringing intellectual property rights and claims of infringement by third parties our potential inability to obtain or maintain rights to our product candidates through acquisitions and in-licenses costs associated with protecting or enforcing our patents and our licensors’ patents intellectual property litigation that may lead to unfavorable publicity</w:t>
      </w:r>
    </w:p>
    <w:p>
      <w:pPr>
        <w:ind w:left="1200"/>
        <w:spacing w:after="0"/>
        <w:rPr>
          <w:sz w:val="20"/>
          <w:szCs w:val="20"/>
          <w:color w:val="auto"/>
        </w:rPr>
      </w:pPr>
      <w:r>
        <w:rPr>
          <w:rFonts w:ascii="Arial" w:cs="Arial" w:eastAsia="Arial" w:hAnsi="Arial"/>
          <w:sz w:val="18"/>
          <w:szCs w:val="18"/>
          <w:color w:val="auto"/>
        </w:rPr>
        <w:t>unfavorable outcomes from necessary derivation proceedings</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patent reform legislation and related uncertainties and costs</w:t>
      </w:r>
    </w:p>
    <w:p>
      <w:pPr>
        <w:spacing w:after="0" w:line="23" w:lineRule="exact"/>
        <w:rPr>
          <w:sz w:val="20"/>
          <w:szCs w:val="20"/>
          <w:color w:val="auto"/>
        </w:rPr>
      </w:pPr>
    </w:p>
    <w:p>
      <w:pPr>
        <w:ind w:left="1200" w:right="4060"/>
        <w:spacing w:after="0" w:line="299" w:lineRule="auto"/>
        <w:rPr>
          <w:sz w:val="20"/>
          <w:szCs w:val="20"/>
          <w:color w:val="auto"/>
        </w:rPr>
      </w:pPr>
      <w:r>
        <w:rPr>
          <w:rFonts w:ascii="Arial" w:cs="Arial" w:eastAsia="Arial" w:hAnsi="Arial"/>
          <w:sz w:val="16"/>
          <w:szCs w:val="16"/>
          <w:color w:val="auto"/>
        </w:rPr>
        <w:t>changes in U.S. and international intellectual property laws and related challenges claims challenging ownership of our intellectual property, including internationally</w:t>
      </w:r>
    </w:p>
    <w:p>
      <w:pPr>
        <w:spacing w:after="0" w:line="1" w:lineRule="exact"/>
        <w:rPr>
          <w:sz w:val="20"/>
          <w:szCs w:val="20"/>
          <w:color w:val="auto"/>
        </w:rPr>
      </w:pPr>
    </w:p>
    <w:p>
      <w:pPr>
        <w:ind w:left="1200" w:right="3240"/>
        <w:spacing w:after="0" w:line="281" w:lineRule="auto"/>
        <w:rPr>
          <w:sz w:val="20"/>
          <w:szCs w:val="20"/>
          <w:color w:val="auto"/>
        </w:rPr>
      </w:pPr>
      <w:r>
        <w:rPr>
          <w:rFonts w:ascii="Arial" w:cs="Arial" w:eastAsia="Arial" w:hAnsi="Arial"/>
          <w:sz w:val="17"/>
          <w:szCs w:val="17"/>
          <w:color w:val="auto"/>
        </w:rPr>
        <w:t>patent terms and access to extensions that may not adequately protect our competitive position our patent protection and dependence on compliance with various regulations</w:t>
      </w:r>
    </w:p>
    <w:p>
      <w:pPr>
        <w:spacing w:after="0" w:line="1" w:lineRule="exact"/>
        <w:rPr>
          <w:sz w:val="20"/>
          <w:szCs w:val="20"/>
          <w:color w:val="auto"/>
        </w:rPr>
      </w:pPr>
    </w:p>
    <w:p>
      <w:pPr>
        <w:ind w:left="1200" w:right="1920"/>
        <w:spacing w:after="0" w:line="266" w:lineRule="auto"/>
        <w:rPr>
          <w:sz w:val="20"/>
          <w:szCs w:val="20"/>
          <w:color w:val="auto"/>
        </w:rPr>
      </w:pPr>
      <w:r>
        <w:rPr>
          <w:rFonts w:ascii="Arial" w:cs="Arial" w:eastAsia="Arial" w:hAnsi="Arial"/>
          <w:sz w:val="18"/>
          <w:szCs w:val="18"/>
          <w:color w:val="auto"/>
        </w:rPr>
        <w:t>potentially limited name recognition in our markets that depend on protection of our trademarks and trade names difficulties in protecting confidentiality of our trade secrets</w:t>
      </w:r>
    </w:p>
    <w:p>
      <w:pPr>
        <w:ind w:left="1200"/>
        <w:spacing w:after="0"/>
        <w:rPr>
          <w:sz w:val="20"/>
          <w:szCs w:val="20"/>
          <w:color w:val="auto"/>
        </w:rPr>
      </w:pPr>
      <w:r>
        <w:rPr>
          <w:rFonts w:ascii="Arial" w:cs="Arial" w:eastAsia="Arial" w:hAnsi="Arial"/>
          <w:sz w:val="18"/>
          <w:szCs w:val="18"/>
          <w:color w:val="auto"/>
        </w:rPr>
        <w:t>claims of wrongful disclosure of our confidential information or trade secrets</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claims of wrongful hiring or disclosure or use of competitors’ confidential information or trade secrets</w:t>
      </w:r>
    </w:p>
    <w:p>
      <w:pPr>
        <w:spacing w:after="0" w:line="23" w:lineRule="exact"/>
        <w:rPr>
          <w:sz w:val="20"/>
          <w:szCs w:val="20"/>
          <w:color w:val="auto"/>
        </w:rPr>
      </w:pPr>
    </w:p>
    <w:p>
      <w:pPr>
        <w:ind w:left="1200" w:right="1440"/>
        <w:spacing w:after="0" w:line="266" w:lineRule="auto"/>
        <w:rPr>
          <w:sz w:val="20"/>
          <w:szCs w:val="20"/>
          <w:color w:val="auto"/>
        </w:rPr>
      </w:pPr>
      <w:r>
        <w:rPr>
          <w:rFonts w:ascii="Arial" w:cs="Arial" w:eastAsia="Arial" w:hAnsi="Arial"/>
          <w:sz w:val="18"/>
          <w:szCs w:val="18"/>
          <w:color w:val="auto"/>
        </w:rPr>
        <w:t>our product development and commercialization rights that are subject to unfavorable terms and conditions of licensors potential business relationship disruptions due to failure to comply with license agreement obligations our patent protection and prosecution that may be dependent on third parties</w:t>
      </w:r>
    </w:p>
    <w:p>
      <w:pPr>
        <w:ind w:left="1200"/>
        <w:spacing w:after="0"/>
        <w:rPr>
          <w:sz w:val="20"/>
          <w:szCs w:val="20"/>
          <w:color w:val="auto"/>
        </w:rPr>
      </w:pPr>
      <w:r>
        <w:rPr>
          <w:rFonts w:ascii="Arial" w:cs="Arial" w:eastAsia="Arial" w:hAnsi="Arial"/>
          <w:sz w:val="18"/>
          <w:szCs w:val="18"/>
          <w:color w:val="auto"/>
        </w:rPr>
        <w:t>intellectual property discovered through government funding and potential limits on our exclusive rights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dependence on third parties</w:t>
      </w:r>
    </w:p>
    <w:p>
      <w:pPr>
        <w:spacing w:after="0" w:line="27" w:lineRule="exact"/>
        <w:rPr>
          <w:sz w:val="20"/>
          <w:szCs w:val="20"/>
          <w:color w:val="auto"/>
        </w:rPr>
      </w:pPr>
    </w:p>
    <w:p>
      <w:pPr>
        <w:ind w:left="1200" w:right="2140"/>
        <w:spacing w:after="0" w:line="266" w:lineRule="auto"/>
        <w:rPr>
          <w:sz w:val="20"/>
          <w:szCs w:val="20"/>
          <w:color w:val="auto"/>
        </w:rPr>
      </w:pPr>
      <w:r>
        <w:rPr>
          <w:rFonts w:ascii="Arial" w:cs="Arial" w:eastAsia="Arial" w:hAnsi="Arial"/>
          <w:sz w:val="18"/>
          <w:szCs w:val="18"/>
          <w:color w:val="auto"/>
        </w:rPr>
        <w:t>our dependence on third parties for production, preclinical studies and clinical trials of our product candidates acquisitions or strategic partnerships that may increase capital requirements, dilution and debt failure to establish commercially reasonable collaborations</w:t>
      </w:r>
    </w:p>
    <w:p>
      <w:pPr>
        <w:ind w:left="1200"/>
        <w:spacing w:after="0"/>
        <w:rPr>
          <w:sz w:val="20"/>
          <w:szCs w:val="20"/>
          <w:color w:val="auto"/>
        </w:rPr>
      </w:pPr>
      <w:r>
        <w:rPr>
          <w:rFonts w:ascii="Arial" w:cs="Arial" w:eastAsia="Arial" w:hAnsi="Arial"/>
          <w:sz w:val="18"/>
          <w:szCs w:val="18"/>
          <w:color w:val="auto"/>
        </w:rPr>
        <w:t>difficulties related to collaborations for development and commercialization of product candidates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27" w:lineRule="exact"/>
        <w:rPr>
          <w:sz w:val="20"/>
          <w:szCs w:val="20"/>
          <w:color w:val="auto"/>
        </w:rPr>
      </w:pPr>
    </w:p>
    <w:p>
      <w:pPr>
        <w:ind w:left="1200" w:right="4240"/>
        <w:spacing w:after="0" w:line="292" w:lineRule="auto"/>
        <w:rPr>
          <w:sz w:val="20"/>
          <w:szCs w:val="20"/>
          <w:color w:val="auto"/>
        </w:rPr>
      </w:pPr>
      <w:r>
        <w:rPr>
          <w:rFonts w:ascii="Arial" w:cs="Arial" w:eastAsia="Arial" w:hAnsi="Arial"/>
          <w:sz w:val="18"/>
          <w:szCs w:val="18"/>
          <w:color w:val="auto"/>
        </w:rPr>
        <w:t>market conditions and price that may limit your ability to sell our common stock the volatility of our stock price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ind w:left="1200" w:right="3920"/>
        <w:spacing w:after="0" w:line="266" w:lineRule="auto"/>
        <w:rPr>
          <w:sz w:val="20"/>
          <w:szCs w:val="20"/>
          <w:color w:val="auto"/>
        </w:rPr>
      </w:pPr>
      <w:r>
        <w:rPr>
          <w:rFonts w:ascii="Arial" w:cs="Arial" w:eastAsia="Arial" w:hAnsi="Arial"/>
          <w:sz w:val="18"/>
          <w:szCs w:val="18"/>
          <w:color w:val="auto"/>
        </w:rPr>
        <w:t>adverse or misleading industry analyst publications regarding our business or market significant fluctuations in our operating results</w:t>
      </w:r>
    </w:p>
    <w:p>
      <w:pPr>
        <w:spacing w:after="0" w:line="1" w:lineRule="exact"/>
        <w:rPr>
          <w:sz w:val="20"/>
          <w:szCs w:val="20"/>
          <w:color w:val="auto"/>
        </w:rPr>
      </w:pPr>
    </w:p>
    <w:p>
      <w:pPr>
        <w:ind w:left="1200" w:right="2220"/>
        <w:spacing w:after="0" w:line="266" w:lineRule="auto"/>
        <w:rPr>
          <w:sz w:val="20"/>
          <w:szCs w:val="20"/>
          <w:color w:val="auto"/>
        </w:rPr>
      </w:pPr>
      <w:r>
        <w:rPr>
          <w:rFonts w:ascii="Arial" w:cs="Arial" w:eastAsia="Arial" w:hAnsi="Arial"/>
          <w:sz w:val="18"/>
          <w:szCs w:val="18"/>
          <w:color w:val="auto"/>
        </w:rPr>
        <w:t>principal stockholders and management that may exert significant control over stockholder approval matters large sales of our stock that could cause our stock price to fall</w:t>
      </w:r>
    </w:p>
    <w:p>
      <w:pPr>
        <w:ind w:left="1200" w:right="2860"/>
        <w:spacing w:after="0" w:line="266" w:lineRule="auto"/>
        <w:rPr>
          <w:sz w:val="20"/>
          <w:szCs w:val="20"/>
          <w:color w:val="auto"/>
        </w:rPr>
      </w:pPr>
      <w:r>
        <w:rPr>
          <w:rFonts w:ascii="Arial" w:cs="Arial" w:eastAsia="Arial" w:hAnsi="Arial"/>
          <w:sz w:val="18"/>
          <w:szCs w:val="18"/>
          <w:color w:val="auto"/>
        </w:rPr>
        <w:t>limitations related to our status as an emerging growth company and our transition after such status failure of our internal controls that could impair our ability to produce accurate financial statements limitations of our disclosure controls and procedures liabilities related to securities litigation</w:t>
      </w:r>
    </w:p>
    <w:p>
      <w:pPr>
        <w:ind w:left="1200"/>
        <w:spacing w:after="0"/>
        <w:rPr>
          <w:sz w:val="20"/>
          <w:szCs w:val="20"/>
          <w:color w:val="auto"/>
        </w:rPr>
      </w:pPr>
      <w:r>
        <w:rPr>
          <w:rFonts w:ascii="Arial" w:cs="Arial" w:eastAsia="Arial" w:hAnsi="Arial"/>
          <w:sz w:val="18"/>
          <w:szCs w:val="18"/>
          <w:color w:val="auto"/>
        </w:rPr>
        <w:t>our intention not to pay dividends</w:t>
      </w:r>
    </w:p>
    <w:p>
      <w:pPr>
        <w:spacing w:after="0" w:line="23" w:lineRule="exact"/>
        <w:rPr>
          <w:sz w:val="20"/>
          <w:szCs w:val="20"/>
          <w:color w:val="auto"/>
        </w:rPr>
      </w:pPr>
    </w:p>
    <w:p>
      <w:pPr>
        <w:ind w:left="1200" w:right="2000"/>
        <w:spacing w:after="0" w:line="358" w:lineRule="auto"/>
        <w:rPr>
          <w:sz w:val="20"/>
          <w:szCs w:val="20"/>
          <w:color w:val="auto"/>
        </w:rPr>
      </w:pPr>
      <w:r>
        <w:rPr>
          <w:rFonts w:ascii="Arial" w:cs="Arial" w:eastAsia="Arial" w:hAnsi="Arial"/>
          <w:sz w:val="16"/>
          <w:szCs w:val="16"/>
          <w:color w:val="auto"/>
        </w:rPr>
        <w:t>provisions of our certificate of incorporation and bylaws that may prevent or delay a change in control exclusive forum provisions in our bylaws that may limit stockholder ability to obtain a favorable judicial forum</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35" w:lineRule="exact"/>
        <w:rPr>
          <w:sz w:val="20"/>
          <w:szCs w:val="20"/>
          <w:color w:val="auto"/>
        </w:rPr>
      </w:pPr>
    </w:p>
    <w:p>
      <w:pPr>
        <w:ind w:right="600"/>
        <w:spacing w:after="0" w:line="359" w:lineRule="auto"/>
        <w:rPr>
          <w:sz w:val="20"/>
          <w:szCs w:val="20"/>
          <w:color w:val="auto"/>
        </w:rPr>
      </w:pPr>
      <w:r>
        <w:rPr>
          <w:rFonts w:ascii="Arial" w:cs="Arial" w:eastAsia="Arial" w:hAnsi="Arial"/>
          <w:sz w:val="16"/>
          <w:szCs w:val="16"/>
          <w:b w:val="1"/>
          <w:bCs w:val="1"/>
          <w:i w:val="1"/>
          <w:iCs w:val="1"/>
          <w:color w:val="auto"/>
        </w:rPr>
        <w:t>We have a limited operating history, have not initiated or completed any large-scale or pivotal clinical trials, and have no products approved for commercial sale, which may make it difficult for you to evaluate our current business and likelihood of success and viability.</w:t>
      </w:r>
    </w:p>
    <w:p>
      <w:pPr>
        <w:spacing w:after="0" w:line="17" w:lineRule="exact"/>
        <w:rPr>
          <w:sz w:val="20"/>
          <w:szCs w:val="20"/>
          <w:color w:val="auto"/>
        </w:rPr>
      </w:pPr>
    </w:p>
    <w:p>
      <w:pPr>
        <w:ind w:firstLine="749"/>
        <w:spacing w:after="0" w:line="270" w:lineRule="auto"/>
        <w:rPr>
          <w:sz w:val="20"/>
          <w:szCs w:val="20"/>
          <w:color w:val="auto"/>
        </w:rPr>
      </w:pPr>
      <w:r>
        <w:rPr>
          <w:rFonts w:ascii="Arial" w:cs="Arial" w:eastAsia="Arial" w:hAnsi="Arial"/>
          <w:sz w:val="18"/>
          <w:szCs w:val="18"/>
          <w:color w:val="auto"/>
        </w:rPr>
        <w:t>We are a clinical-stage biopharmaceutical company with a limited operating history upon which you can evaluate our business and prospects. We commenced operations in 2014, have no products approved for commercial sale and have not generated any revenue. Drug development is a highly uncertain undertaking and involves a substantial degree of risk. In 2019, we initiated our first two Phase 1b clinical trials for our lead product candidate, ORIC-101, and have not initiated clinical trials for any other product candidate. To date, we have devoted substantially all of our resources to research and development activities, including with respect to our GR antagonist and CD73 inhibitor programs and other preclinical programs, in-licensing of external programs, business planning, establishing and maintaining our intellectual property portfolio, hiring personnel, raising capital and providing general and administrative support for these operations.</w:t>
      </w:r>
    </w:p>
    <w:p>
      <w:pPr>
        <w:spacing w:after="0" w:line="84" w:lineRule="exact"/>
        <w:rPr>
          <w:sz w:val="20"/>
          <w:szCs w:val="20"/>
          <w:color w:val="auto"/>
        </w:rPr>
      </w:pPr>
    </w:p>
    <w:p>
      <w:pPr>
        <w:ind w:right="140" w:firstLine="749"/>
        <w:spacing w:after="0" w:line="275" w:lineRule="auto"/>
        <w:rPr>
          <w:sz w:val="20"/>
          <w:szCs w:val="20"/>
          <w:color w:val="auto"/>
        </w:rPr>
      </w:pPr>
      <w:r>
        <w:rPr>
          <w:rFonts w:ascii="Arial" w:cs="Arial" w:eastAsia="Arial" w:hAnsi="Arial"/>
          <w:sz w:val="18"/>
          <w:szCs w:val="18"/>
          <w:color w:val="auto"/>
        </w:rPr>
        <w:t>We have not yet demonstrated our ability to successfully initiate and complete any large-scale or pivotal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77" w:lineRule="exact"/>
        <w:rPr>
          <w:sz w:val="20"/>
          <w:szCs w:val="20"/>
          <w:color w:val="auto"/>
        </w:rPr>
      </w:pPr>
    </w:p>
    <w:p>
      <w:pPr>
        <w:ind w:right="180" w:firstLine="749"/>
        <w:spacing w:after="0" w:line="272"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net losses since our inception, and we expect to continue to incur significant net losses for the foreseeable future.</w:t>
      </w:r>
    </w:p>
    <w:p>
      <w:pPr>
        <w:spacing w:after="0" w:line="154"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auto"/>
        </w:rPr>
        <w:t>We have incurred significant net losses since our inception, have not generated any revenue from product sales to date and have financed our operations principally through private placements of our convertible preferred stock and the sale of our common stock in our initial public offering (IPO) in April 2020 and our public offering in November 2020. Our net loss was $37.5 million for the six months ended June 30, 2021, and as of June 30, 2021, we had an accumulated deficit of $203.9 million. Our lead product candidate, ORIC-101, is in early-stage clinical trials and in June 2021, the U.S. Food and Drug Administration (FDA) cleared an Investigational New Drug Application (IND) for our product candidate, ORIC-533. In the second half of 2021, we plan on filing an IND with the FDA for our product candidate, ORIC-944, and a Clinical Trial Application (CTA) for our product candidate, ORIC-114.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74" w:lineRule="exact"/>
        <w:rPr>
          <w:sz w:val="20"/>
          <w:szCs w:val="20"/>
          <w:color w:val="auto"/>
        </w:rPr>
      </w:pPr>
    </w:p>
    <w:p>
      <w:pPr>
        <w:ind w:firstLine="749"/>
        <w:spacing w:after="0" w:line="292"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7" w:name="page28"/>
    <w:bookmarkEnd w:id="27"/>
    <w:p>
      <w:pPr>
        <w:ind w:right="440"/>
        <w:spacing w:after="0" w:line="293"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62" w:lineRule="exact"/>
        <w:rPr>
          <w:sz w:val="20"/>
          <w:szCs w:val="20"/>
          <w:color w:val="auto"/>
        </w:rPr>
      </w:pPr>
    </w:p>
    <w:p>
      <w:pPr>
        <w:ind w:firstLine="749"/>
        <w:spacing w:after="0" w:line="329" w:lineRule="auto"/>
        <w:rPr>
          <w:sz w:val="20"/>
          <w:szCs w:val="20"/>
          <w:color w:val="auto"/>
        </w:rPr>
      </w:pPr>
      <w:r>
        <w:rPr>
          <w:rFonts w:ascii="Arial" w:cs="Arial" w:eastAsia="Arial" w:hAnsi="Arial"/>
          <w:sz w:val="16"/>
          <w:szCs w:val="16"/>
          <w:color w:val="auto"/>
        </w:rPr>
        <w:t>Our business depends entirely on the successful discovery, development and commercialization of product candidates. We have no products approved for commercial sale and do not anticipate generating any revenue from product sales for the next several years, if ever. Our ability to generate revenue and achieve profitability depends significantly on our ability, or any current or future collaborator’s ability, to achieve several objectives, including:</w:t>
      </w:r>
    </w:p>
    <w:p>
      <w:pPr>
        <w:spacing w:after="0" w:line="26" w:lineRule="exact"/>
        <w:rPr>
          <w:sz w:val="20"/>
          <w:szCs w:val="20"/>
          <w:color w:val="auto"/>
        </w:rPr>
      </w:pPr>
    </w:p>
    <w:p>
      <w:pPr>
        <w:ind w:left="1200" w:right="240"/>
        <w:spacing w:after="0" w:line="277" w:lineRule="auto"/>
        <w:rPr>
          <w:sz w:val="20"/>
          <w:szCs w:val="20"/>
          <w:color w:val="auto"/>
        </w:rPr>
      </w:pPr>
      <w:r>
        <w:rPr>
          <w:rFonts w:ascii="Arial" w:cs="Arial" w:eastAsia="Arial" w:hAnsi="Arial"/>
          <w:sz w:val="18"/>
          <w:szCs w:val="18"/>
          <w:color w:val="auto"/>
        </w:rPr>
        <w:t>successful and timely completion of preclinical and clinical development of ORIC-101, ORIC-533, ORIC-944, ORIC-114 and our other future product candidates;</w:t>
      </w:r>
    </w:p>
    <w:p>
      <w:pPr>
        <w:spacing w:after="0" w:line="62" w:lineRule="exact"/>
        <w:rPr>
          <w:sz w:val="20"/>
          <w:szCs w:val="20"/>
          <w:color w:val="auto"/>
        </w:rPr>
      </w:pPr>
    </w:p>
    <w:p>
      <w:pPr>
        <w:ind w:left="1200" w:right="260"/>
        <w:spacing w:after="0" w:line="277" w:lineRule="auto"/>
        <w:rPr>
          <w:sz w:val="20"/>
          <w:szCs w:val="20"/>
          <w:color w:val="auto"/>
        </w:rPr>
      </w:pPr>
      <w:r>
        <w:rPr>
          <w:rFonts w:ascii="Arial" w:cs="Arial" w:eastAsia="Arial" w:hAnsi="Arial"/>
          <w:sz w:val="18"/>
          <w:szCs w:val="18"/>
          <w:color w:val="auto"/>
        </w:rPr>
        <w:t>establishing and maintaining relationships with contract research organizations (CROs) and clinical sites for the clinical development of ORIC-101, ORIC-533, ORIC-944, ORIC-114 and our other future product candidates;</w:t>
      </w:r>
    </w:p>
    <w:p>
      <w:pPr>
        <w:spacing w:after="0" w:line="62" w:lineRule="exact"/>
        <w:rPr>
          <w:sz w:val="20"/>
          <w:szCs w:val="20"/>
          <w:color w:val="auto"/>
        </w:rPr>
      </w:pPr>
    </w:p>
    <w:p>
      <w:pPr>
        <w:ind w:left="1200" w:right="680"/>
        <w:spacing w:after="0" w:line="277" w:lineRule="auto"/>
        <w:rPr>
          <w:sz w:val="20"/>
          <w:szCs w:val="20"/>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62" w:lineRule="exact"/>
        <w:rPr>
          <w:sz w:val="20"/>
          <w:szCs w:val="20"/>
          <w:color w:val="auto"/>
        </w:rPr>
      </w:pPr>
    </w:p>
    <w:p>
      <w:pPr>
        <w:ind w:left="1200" w:right="480"/>
        <w:spacing w:after="0" w:line="277" w:lineRule="auto"/>
        <w:rPr>
          <w:sz w:val="20"/>
          <w:szCs w:val="20"/>
          <w:color w:val="auto"/>
        </w:rPr>
      </w:pPr>
      <w:r>
        <w:rPr>
          <w:rFonts w:ascii="Arial" w:cs="Arial" w:eastAsia="Arial" w:hAnsi="Arial"/>
          <w:sz w:val="18"/>
          <w:szCs w:val="18"/>
          <w:color w:val="auto"/>
        </w:rPr>
        <w:t>developing an efficient and scalable manufacturing process for our product candidates, including obtaining finished products that are appropriately packaged for sale;</w:t>
      </w:r>
    </w:p>
    <w:p>
      <w:pPr>
        <w:spacing w:after="0" w:line="62" w:lineRule="exact"/>
        <w:rPr>
          <w:sz w:val="20"/>
          <w:szCs w:val="20"/>
          <w:color w:val="auto"/>
        </w:rPr>
      </w:pPr>
    </w:p>
    <w:p>
      <w:pPr>
        <w:jc w:val="both"/>
        <w:ind w:left="1200" w:right="80"/>
        <w:spacing w:after="0" w:line="263" w:lineRule="auto"/>
        <w:rPr>
          <w:sz w:val="20"/>
          <w:szCs w:val="20"/>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76" w:lineRule="exact"/>
        <w:rPr>
          <w:sz w:val="20"/>
          <w:szCs w:val="20"/>
          <w:color w:val="auto"/>
        </w:rPr>
      </w:pPr>
    </w:p>
    <w:p>
      <w:pPr>
        <w:ind w:left="1200" w:right="240"/>
        <w:spacing w:after="0" w:line="277" w:lineRule="auto"/>
        <w:rPr>
          <w:sz w:val="20"/>
          <w:szCs w:val="20"/>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62" w:lineRule="exact"/>
        <w:rPr>
          <w:sz w:val="20"/>
          <w:szCs w:val="20"/>
          <w:color w:val="auto"/>
        </w:rPr>
      </w:pPr>
    </w:p>
    <w:p>
      <w:pPr>
        <w:ind w:left="1200" w:right="2160"/>
        <w:spacing w:after="0" w:line="375" w:lineRule="auto"/>
        <w:rPr>
          <w:sz w:val="20"/>
          <w:szCs w:val="20"/>
          <w:color w:val="auto"/>
        </w:rPr>
      </w:pPr>
      <w:r>
        <w:rPr>
          <w:rFonts w:ascii="Arial" w:cs="Arial" w:eastAsia="Arial" w:hAnsi="Arial"/>
          <w:sz w:val="18"/>
          <w:szCs w:val="18"/>
          <w:color w:val="auto"/>
        </w:rPr>
        <w:t>a continued acceptable safety profile following any marketing approval of our product candidates; commercial acceptance of our product candidates by patients, the medical community and third-party payors; satisfying any required post-marketing approval commitments to applicable regulatory authorities; identifying, assessing and developing new product candidates;</w:t>
      </w:r>
    </w:p>
    <w:p>
      <w:pPr>
        <w:spacing w:after="0" w:line="2" w:lineRule="exact"/>
        <w:rPr>
          <w:sz w:val="20"/>
          <w:szCs w:val="20"/>
          <w:color w:val="auto"/>
        </w:rPr>
      </w:pPr>
    </w:p>
    <w:p>
      <w:pPr>
        <w:ind w:left="1200" w:right="280"/>
        <w:spacing w:after="0" w:line="277" w:lineRule="auto"/>
        <w:rPr>
          <w:sz w:val="20"/>
          <w:szCs w:val="20"/>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protecting our rights in our intellectual property portfolio;</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defending against third-party interference or infringement claims, if any;</w:t>
      </w:r>
    </w:p>
    <w:p>
      <w:pPr>
        <w:spacing w:after="0" w:line="117" w:lineRule="exact"/>
        <w:rPr>
          <w:sz w:val="20"/>
          <w:szCs w:val="20"/>
          <w:color w:val="auto"/>
        </w:rPr>
      </w:pPr>
    </w:p>
    <w:p>
      <w:pPr>
        <w:ind w:left="1200" w:right="620"/>
        <w:spacing w:after="0" w:line="277" w:lineRule="auto"/>
        <w:rPr>
          <w:sz w:val="20"/>
          <w:szCs w:val="20"/>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62" w:lineRule="exact"/>
        <w:rPr>
          <w:sz w:val="20"/>
          <w:szCs w:val="20"/>
          <w:color w:val="auto"/>
        </w:rPr>
      </w:pPr>
    </w:p>
    <w:p>
      <w:pPr>
        <w:ind w:left="1200" w:right="3000"/>
        <w:spacing w:after="0" w:line="375" w:lineRule="auto"/>
        <w:rPr>
          <w:sz w:val="20"/>
          <w:szCs w:val="20"/>
          <w:color w:val="auto"/>
        </w:rPr>
      </w:pPr>
      <w:r>
        <w:rPr>
          <w:rFonts w:ascii="Arial" w:cs="Arial" w:eastAsia="Arial" w:hAnsi="Arial"/>
          <w:sz w:val="18"/>
          <w:szCs w:val="18"/>
          <w:color w:val="auto"/>
        </w:rPr>
        <w:t>obtaining coverage and adequate reimbursement by third-party payors for our product candidates; addressing any competing therapies and technological and market developments; and attracting, hiring and retaining qualified personnel.</w:t>
      </w:r>
    </w:p>
    <w:p>
      <w:pPr>
        <w:spacing w:after="0" w:line="2" w:lineRule="exact"/>
        <w:rPr>
          <w:sz w:val="20"/>
          <w:szCs w:val="20"/>
          <w:color w:val="auto"/>
        </w:rPr>
      </w:pPr>
    </w:p>
    <w:p>
      <w:pPr>
        <w:ind w:right="180" w:firstLine="749"/>
        <w:spacing w:after="0" w:line="279" w:lineRule="auto"/>
        <w:rPr>
          <w:sz w:val="20"/>
          <w:szCs w:val="20"/>
          <w:color w:val="auto"/>
        </w:rPr>
      </w:pPr>
      <w:r>
        <w:rPr>
          <w:rFonts w:ascii="Arial" w:cs="Arial" w:eastAsia="Arial" w:hAnsi="Arial"/>
          <w:sz w:val="17"/>
          <w:szCs w:val="17"/>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77" w:lineRule="exact"/>
        <w:rPr>
          <w:sz w:val="20"/>
          <w:szCs w:val="20"/>
          <w:color w:val="auto"/>
        </w:rPr>
      </w:pPr>
    </w:p>
    <w:p>
      <w:pPr>
        <w:ind w:right="100"/>
        <w:spacing w:after="0" w:line="394" w:lineRule="auto"/>
        <w:rPr>
          <w:sz w:val="20"/>
          <w:szCs w:val="20"/>
          <w:color w:val="auto"/>
        </w:rPr>
      </w:pPr>
      <w:r>
        <w:rPr>
          <w:rFonts w:ascii="Arial" w:cs="Arial" w:eastAsia="Arial" w:hAnsi="Arial"/>
          <w:sz w:val="15"/>
          <w:szCs w:val="15"/>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 w:lineRule="exact"/>
        <w:rPr>
          <w:sz w:val="20"/>
          <w:szCs w:val="20"/>
          <w:color w:val="auto"/>
        </w:rPr>
      </w:pPr>
    </w:p>
    <w:p>
      <w:pPr>
        <w:ind w:firstLine="749"/>
        <w:spacing w:after="0" w:line="309"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ORIC-101 and advance our other programs.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European Medicines Agency (EMA) or other regulatory agencies to perform clinical trials or preclinical studies in addition to those that we currently anticipate. Other unanticipated costs may also arise. Because the design and outcome of our planned and anticipated clinical trials are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8" w:name="page29"/>
    <w:bookmarkEnd w:id="28"/>
    <w:p>
      <w:pPr>
        <w:ind w:right="180"/>
        <w:spacing w:after="0" w:line="296" w:lineRule="auto"/>
        <w:rPr>
          <w:sz w:val="20"/>
          <w:szCs w:val="20"/>
          <w:color w:val="auto"/>
        </w:rPr>
      </w:pPr>
      <w:r>
        <w:rPr>
          <w:rFonts w:ascii="Arial" w:cs="Arial" w:eastAsia="Arial" w:hAnsi="Arial"/>
          <w:sz w:val="17"/>
          <w:szCs w:val="17"/>
          <w:color w:val="auto"/>
        </w:rPr>
        <w:t>highly uncertain, we cannot reasonably estimate the actual amount of resources and funding that will be necessary to successfully complete the development and commercialization of any product candidate we develop. We have not yet met with the FDA to discuss any of our product candidates or development programs, and we are not permitted to market or promote ORIC-101, or any other product candidate, before we receive marketing approval from the FDA. Accordingly, we will need to obtain substantial additional funding in order to continue our operations.</w:t>
      </w:r>
    </w:p>
    <w:p>
      <w:pPr>
        <w:spacing w:after="0" w:line="62" w:lineRule="exact"/>
        <w:rPr>
          <w:sz w:val="20"/>
          <w:szCs w:val="20"/>
          <w:color w:val="auto"/>
        </w:rPr>
      </w:pPr>
    </w:p>
    <w:p>
      <w:pPr>
        <w:ind w:right="40" w:firstLine="749"/>
        <w:spacing w:after="0" w:line="286" w:lineRule="auto"/>
        <w:rPr>
          <w:sz w:val="20"/>
          <w:szCs w:val="20"/>
          <w:color w:val="auto"/>
        </w:rPr>
      </w:pPr>
      <w:r>
        <w:rPr>
          <w:rFonts w:ascii="Arial" w:cs="Arial" w:eastAsia="Arial" w:hAnsi="Arial"/>
          <w:sz w:val="17"/>
          <w:szCs w:val="17"/>
          <w:color w:val="auto"/>
        </w:rPr>
        <w:t>As of June 30, 2021, we had $261.1 million in cash, cash equivalents and short-term investments. In April 2020, we received $138.0 million of gross proceeds from the issuance of common stock upon the completion of our IPO. After deducting underwriting discounts and commissions and other offering expenses of $12.8 million, the net proceeds we received from our IPO were approximately $125.2 million. In November 2020, we received $133.3 million of gross proceeds from the issuance of common stock upon the completion of a follow-on offering. After deducting underwriting discounts and commissions and other offering expenses of $8.5 million, the net proceeds we received from the transaction were approximately $124.8 million. On July 8, 2021, we raised gross proceeds of $50.0 million through the sale of 2,597,402 shares in an ATM offering. Based on our current operating plan, we believe that our existing cash, cash equivalents and short-term investments will be sufficient to fund our operations into 2024. Our estimate as to how long we expect our existing cash, cash equivalents, and short-term investments,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70" w:lineRule="exact"/>
        <w:rPr>
          <w:sz w:val="20"/>
          <w:szCs w:val="20"/>
          <w:color w:val="auto"/>
        </w:rPr>
      </w:pPr>
    </w:p>
    <w:p>
      <w:pPr>
        <w:ind w:right="60" w:firstLine="749"/>
        <w:spacing w:after="0" w:line="269" w:lineRule="auto"/>
        <w:rPr>
          <w:sz w:val="20"/>
          <w:szCs w:val="20"/>
          <w:color w:val="auto"/>
        </w:rPr>
      </w:pPr>
      <w:r>
        <w:rPr>
          <w:rFonts w:ascii="Arial" w:cs="Arial" w:eastAsia="Arial" w:hAnsi="Arial"/>
          <w:sz w:val="18"/>
          <w:szCs w:val="18"/>
          <w:color w:val="auto"/>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86" w:lineRule="exact"/>
        <w:rPr>
          <w:sz w:val="20"/>
          <w:szCs w:val="20"/>
          <w:color w:val="auto"/>
        </w:rPr>
      </w:pPr>
    </w:p>
    <w:p>
      <w:pPr>
        <w:ind w:right="60" w:firstLine="749"/>
        <w:spacing w:after="0" w:line="279" w:lineRule="auto"/>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35"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ORIC-101, which is currently in early stage clinical trials. If we are unable to complete development of, obtain approval for and commercialize ORIC-101 for one or more indications in a timely manner, our business will be harmed.</w:t>
      </w:r>
    </w:p>
    <w:p>
      <w:pPr>
        <w:spacing w:after="0" w:line="75" w:lineRule="exact"/>
        <w:rPr>
          <w:sz w:val="20"/>
          <w:szCs w:val="20"/>
          <w:color w:val="auto"/>
        </w:rPr>
      </w:pPr>
    </w:p>
    <w:p>
      <w:pPr>
        <w:ind w:firstLine="749"/>
        <w:spacing w:after="0" w:line="306" w:lineRule="auto"/>
        <w:rPr>
          <w:sz w:val="20"/>
          <w:szCs w:val="20"/>
          <w:color w:val="auto"/>
        </w:rPr>
      </w:pPr>
      <w:r>
        <w:rPr>
          <w:rFonts w:ascii="Arial" w:cs="Arial" w:eastAsia="Arial" w:hAnsi="Arial"/>
          <w:sz w:val="16"/>
          <w:szCs w:val="16"/>
          <w:color w:val="auto"/>
        </w:rPr>
        <w:t>Our future success is dependent on our ability to timely and successfully complete clinical trials, obtain marketing approval for and successfully commercialize ORIC-101, our lead product candidate. We are investing the majority of our efforts and financial resources in the research and development of ORIC-101 for multiple indications. ORIC-101 is a potent and selective small molecule antagonist of GR, which has been linked to resistance to multiple classes of cancer therapeutics across a variety of solid tumors. In 2019, we initiated a Phase 1b clinical trial evaluating ORIC-101 in combination with nab-paclitaxel in patients with advanced or metastatic solid tumors. In the fourth quarter of 2019, we also initiated a Phase 1b clinical trial evaluating ORIC-101 in combination with enzalutamide in patients with metastatic prostate cancer progressing on enzalutamide. Prior to these two Phase 1b trials, ORIC-101 has only been studied in two Phase 1a trials in healthy volunteers. ORIC-101 will require additional clinical development, expansion of manufacturing capabilities, marketing approval from government regulators, substantial investment and significant marketing efforts before we can generate any revenues from product sales. We are not permitted to market or promote ORIC-101, or any other product candidate, before we receive marketing approval from the FDA and comparable foreign regulatory authorities, and we may never receive such marketing approvals.</w:t>
      </w:r>
    </w:p>
    <w:p>
      <w:pPr>
        <w:spacing w:after="0" w:line="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success of ORIC-101 will depend on several factors, including the following:</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successful and timely completion of our ongoing clinical trials of ORIC-101;</w:t>
      </w:r>
    </w:p>
    <w:p>
      <w:pPr>
        <w:spacing w:after="0" w:line="131" w:lineRule="exact"/>
        <w:rPr>
          <w:sz w:val="20"/>
          <w:szCs w:val="20"/>
          <w:color w:val="auto"/>
        </w:rPr>
      </w:pPr>
    </w:p>
    <w:p>
      <w:pPr>
        <w:ind w:left="1200" w:right="40"/>
        <w:spacing w:after="0" w:line="293" w:lineRule="auto"/>
        <w:rPr>
          <w:sz w:val="20"/>
          <w:szCs w:val="20"/>
          <w:color w:val="auto"/>
        </w:rPr>
      </w:pPr>
      <w:r>
        <w:rPr>
          <w:rFonts w:ascii="Arial" w:cs="Arial" w:eastAsia="Arial" w:hAnsi="Arial"/>
          <w:sz w:val="18"/>
          <w:szCs w:val="18"/>
          <w:color w:val="auto"/>
        </w:rPr>
        <w:t>addressing any delays in our clinical trials and additional costs incurred as a result of the coronavirus-19 (COVID-19) pandemic, including those resulting from preclinical study delays and adjustment to our clinical trials;</w:t>
      </w:r>
    </w:p>
    <w:p>
      <w:pPr>
        <w:spacing w:after="0" w:line="6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initiation and successful patient enrollment and completion of additional clinical trials of ORIC-101 on a timely basis;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9" w:name="page30"/>
    <w:bookmarkEnd w:id="29"/>
    <w:p>
      <w:pPr>
        <w:ind w:left="1200" w:right="20"/>
        <w:spacing w:after="0" w:line="293" w:lineRule="auto"/>
        <w:rPr>
          <w:sz w:val="20"/>
          <w:szCs w:val="20"/>
          <w:color w:val="auto"/>
        </w:rPr>
      </w:pPr>
      <w:r>
        <w:rPr>
          <w:rFonts w:ascii="Arial" w:cs="Arial" w:eastAsia="Arial" w:hAnsi="Arial"/>
          <w:sz w:val="18"/>
          <w:szCs w:val="18"/>
          <w:color w:val="auto"/>
        </w:rPr>
        <w:t>maintaining and establishing relationships with CROs and clinical sites for the clinical development of ORIC-101 both in the United States and internationally;</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frequency and severity of adverse events in clinical trials;</w:t>
      </w:r>
    </w:p>
    <w:p>
      <w:pPr>
        <w:spacing w:after="0" w:line="131" w:lineRule="exact"/>
        <w:rPr>
          <w:sz w:val="20"/>
          <w:szCs w:val="20"/>
          <w:color w:val="auto"/>
        </w:rPr>
      </w:pPr>
    </w:p>
    <w:p>
      <w:pPr>
        <w:ind w:left="1200" w:right="620"/>
        <w:spacing w:after="0" w:line="293" w:lineRule="auto"/>
        <w:rPr>
          <w:sz w:val="20"/>
          <w:szCs w:val="20"/>
          <w:color w:val="auto"/>
        </w:rPr>
      </w:pPr>
      <w:r>
        <w:rPr>
          <w:rFonts w:ascii="Arial" w:cs="Arial" w:eastAsia="Arial" w:hAnsi="Arial"/>
          <w:sz w:val="18"/>
          <w:szCs w:val="18"/>
          <w:color w:val="auto"/>
        </w:rPr>
        <w:t>demonstrating efficacy, safety and tolerability profiles that are satisfactory to the FDA, EMA or any comparable foreign regulatory authority for marketing approval;</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timely receipt of marketing approvals for ORIC-101 from applicable regulatory authorities;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timely identification, development and approval of companion diagnostic tests, if required;</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extent of any required post-marketing approval commitments to applicable regulatory authorities;</w:t>
      </w:r>
    </w:p>
    <w:p>
      <w:pPr>
        <w:spacing w:after="0" w:line="131" w:lineRule="exact"/>
        <w:rPr>
          <w:sz w:val="20"/>
          <w:szCs w:val="20"/>
          <w:color w:val="auto"/>
        </w:rPr>
      </w:pPr>
    </w:p>
    <w:p>
      <w:pPr>
        <w:ind w:left="1200"/>
        <w:spacing w:after="0" w:line="293" w:lineRule="auto"/>
        <w:rPr>
          <w:sz w:val="20"/>
          <w:szCs w:val="20"/>
          <w:color w:val="auto"/>
        </w:rPr>
      </w:pPr>
      <w:r>
        <w:rPr>
          <w:rFonts w:ascii="Arial" w:cs="Arial" w:eastAsia="Arial" w:hAnsi="Arial"/>
          <w:sz w:val="18"/>
          <w:szCs w:val="18"/>
          <w:color w:val="auto"/>
        </w:rPr>
        <w:t>the maintenance of existing or the establishment of new supply arrangements with third-party drug product suppliers and manufacturers for clinical development and, if approved, commercialization of ORIC-101;</w:t>
      </w:r>
    </w:p>
    <w:p>
      <w:pPr>
        <w:spacing w:after="0" w:line="62" w:lineRule="exact"/>
        <w:rPr>
          <w:sz w:val="20"/>
          <w:szCs w:val="20"/>
          <w:color w:val="auto"/>
        </w:rPr>
      </w:pPr>
    </w:p>
    <w:p>
      <w:pPr>
        <w:ind w:left="1200" w:right="1120"/>
        <w:spacing w:after="0" w:line="293" w:lineRule="auto"/>
        <w:rPr>
          <w:sz w:val="20"/>
          <w:szCs w:val="20"/>
          <w:color w:val="auto"/>
        </w:rPr>
      </w:pPr>
      <w:r>
        <w:rPr>
          <w:rFonts w:ascii="Arial" w:cs="Arial" w:eastAsia="Arial" w:hAnsi="Arial"/>
          <w:sz w:val="18"/>
          <w:szCs w:val="18"/>
          <w:color w:val="auto"/>
        </w:rPr>
        <w:t>obtaining and maintaining patent protection, trade secret protection and regulatory exclusivity, both in the United States and internationally;</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protection of our rights in our intellectual property portfolio;</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successful launch of commercial sales following any marketing approval;</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 continued acceptable safety profile following any marketing approval;</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commercial acceptance by patients, the medical community and third-party payors; and</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ability to compete with other therapies.</w:t>
      </w:r>
    </w:p>
    <w:p>
      <w:pPr>
        <w:spacing w:after="0" w:line="131" w:lineRule="exact"/>
        <w:rPr>
          <w:sz w:val="20"/>
          <w:szCs w:val="20"/>
          <w:color w:val="auto"/>
        </w:rPr>
      </w:pPr>
    </w:p>
    <w:p>
      <w:pPr>
        <w:ind w:right="40" w:firstLine="749"/>
        <w:spacing w:after="0" w:line="272" w:lineRule="auto"/>
        <w:rPr>
          <w:sz w:val="20"/>
          <w:szCs w:val="20"/>
          <w:color w:val="auto"/>
        </w:rPr>
      </w:pPr>
      <w:r>
        <w:rPr>
          <w:rFonts w:ascii="Arial" w:cs="Arial" w:eastAsia="Arial" w:hAnsi="Arial"/>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ORIC-101, which would materially harm our business. If we do not receive marketing approvals for ORIC-101, we may not be able to continue our operations.</w:t>
      </w:r>
    </w:p>
    <w:p>
      <w:pPr>
        <w:spacing w:after="0" w:line="83"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b w:val="1"/>
          <w:bCs w:val="1"/>
          <w:i w:val="1"/>
          <w:iCs w:val="1"/>
          <w:color w:val="auto"/>
        </w:rPr>
        <w:t>In addition to ORIC-101, our prospects depend in part upon discovering, developing and commercializing additional product candidates, which may fail in development or suffer delays that adversely affect their commercial viability.</w:t>
      </w:r>
    </w:p>
    <w:p>
      <w:pPr>
        <w:spacing w:after="0" w:line="62" w:lineRule="exact"/>
        <w:rPr>
          <w:sz w:val="20"/>
          <w:szCs w:val="20"/>
          <w:color w:val="auto"/>
        </w:rPr>
      </w:pPr>
    </w:p>
    <w:p>
      <w:pPr>
        <w:ind w:right="280" w:firstLine="749"/>
        <w:spacing w:after="0" w:line="271" w:lineRule="auto"/>
        <w:rPr>
          <w:sz w:val="20"/>
          <w:szCs w:val="20"/>
          <w:color w:val="auto"/>
        </w:rPr>
      </w:pPr>
      <w:r>
        <w:rPr>
          <w:rFonts w:ascii="Arial" w:cs="Arial" w:eastAsia="Arial" w:hAnsi="Arial"/>
          <w:sz w:val="18"/>
          <w:szCs w:val="18"/>
          <w:color w:val="auto"/>
        </w:rPr>
        <w:t>Our future operating results are dependent on our ability to successfully discover, develop, obtain regulatory approval for and commercialize product candidates other than ORIC-101. All of our current programs other than ORIC-101, including ORIC-533, ORIC-944 and ORIC-114, are in research or preclinical development. A product candidate can unexpectedly fail at any stage of preclinical and/or clinical development. The historical failure rate for product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p>
    <w:p>
      <w:pPr>
        <w:spacing w:after="0" w:line="8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success of other product candidates we may develop will depend on many factors, including the following:</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generating sufficient data to support the initiation or continuation of clinical trials;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addressing any delays in our research programs resulting from factors related to the COVID-19 pandemic;</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obtaining regulatory permission to initiate clinical trials;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contracting with the necessary parties to conduct clinical trials;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successful enrollment of patients in, and the completion of, clinical trials on a timely basis;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timely manufacture of sufficient quantities of a product candidate for use in clinical trials; and</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adverse events in clinical trials.</w:t>
      </w:r>
    </w:p>
    <w:p>
      <w:pPr>
        <w:spacing w:after="0" w:line="131" w:lineRule="exact"/>
        <w:rPr>
          <w:sz w:val="20"/>
          <w:szCs w:val="20"/>
          <w:color w:val="auto"/>
        </w:rPr>
      </w:pPr>
    </w:p>
    <w:p>
      <w:pPr>
        <w:ind w:right="560" w:firstLine="749"/>
        <w:spacing w:after="0" w:line="303" w:lineRule="auto"/>
        <w:rPr>
          <w:sz w:val="20"/>
          <w:szCs w:val="20"/>
          <w:color w:val="auto"/>
        </w:rPr>
      </w:pPr>
      <w:r>
        <w:rPr>
          <w:rFonts w:ascii="Arial" w:cs="Arial" w:eastAsia="Arial" w:hAnsi="Arial"/>
          <w:sz w:val="17"/>
          <w:szCs w:val="17"/>
          <w:color w:val="auto"/>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any product candidates.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 w:name="page31"/>
    <w:bookmarkEnd w:id="30"/>
    <w:p>
      <w:pPr>
        <w:jc w:val="both"/>
        <w:ind w:right="120"/>
        <w:spacing w:after="0" w:line="279" w:lineRule="auto"/>
        <w:rPr>
          <w:sz w:val="20"/>
          <w:szCs w:val="20"/>
          <w:color w:val="auto"/>
        </w:rPr>
      </w:pPr>
      <w:r>
        <w:rPr>
          <w:rFonts w:ascii="Arial" w:cs="Arial" w:eastAsia="Arial" w:hAnsi="Arial"/>
          <w:sz w:val="18"/>
          <w:szCs w:val="18"/>
          <w:b w:val="1"/>
          <w:bCs w:val="1"/>
          <w:i w:val="1"/>
          <w:iCs w:val="1"/>
          <w:color w:val="auto"/>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75" w:lineRule="exact"/>
        <w:rPr>
          <w:sz w:val="20"/>
          <w:szCs w:val="20"/>
          <w:color w:val="auto"/>
        </w:rPr>
      </w:pPr>
    </w:p>
    <w:p>
      <w:pPr>
        <w:ind w:right="20" w:firstLine="749"/>
        <w:spacing w:after="0" w:line="286" w:lineRule="auto"/>
        <w:rPr>
          <w:sz w:val="20"/>
          <w:szCs w:val="20"/>
          <w:color w:val="auto"/>
        </w:rPr>
      </w:pPr>
      <w:r>
        <w:rPr>
          <w:rFonts w:ascii="Arial" w:cs="Arial" w:eastAsia="Arial" w:hAnsi="Arial"/>
          <w:sz w:val="17"/>
          <w:szCs w:val="17"/>
          <w:color w:val="auto"/>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the following:</w:t>
      </w:r>
    </w:p>
    <w:p>
      <w:pPr>
        <w:spacing w:after="0" w:line="131" w:lineRule="exact"/>
        <w:rPr>
          <w:sz w:val="20"/>
          <w:szCs w:val="20"/>
          <w:color w:val="auto"/>
        </w:rPr>
      </w:pPr>
    </w:p>
    <w:p>
      <w:pPr>
        <w:ind w:left="1200" w:right="160"/>
        <w:spacing w:after="0" w:line="293" w:lineRule="auto"/>
        <w:rPr>
          <w:sz w:val="20"/>
          <w:szCs w:val="20"/>
          <w:color w:val="auto"/>
        </w:rPr>
      </w:pPr>
      <w:r>
        <w:rPr>
          <w:rFonts w:ascii="Arial" w:cs="Arial" w:eastAsia="Arial" w:hAnsi="Arial"/>
          <w:sz w:val="18"/>
          <w:szCs w:val="18"/>
          <w:color w:val="auto"/>
        </w:rPr>
        <w:t>the FDA, EMA or other comparable foreign regulatory authorities may disagree with the design, implementation or results of our clinical trials;</w:t>
      </w:r>
    </w:p>
    <w:p>
      <w:pPr>
        <w:spacing w:after="0" w:line="62" w:lineRule="exact"/>
        <w:rPr>
          <w:sz w:val="20"/>
          <w:szCs w:val="20"/>
          <w:color w:val="auto"/>
        </w:rPr>
      </w:pPr>
    </w:p>
    <w:p>
      <w:pPr>
        <w:ind w:left="1200"/>
        <w:spacing w:after="0" w:line="279" w:lineRule="auto"/>
        <w:rPr>
          <w:sz w:val="20"/>
          <w:szCs w:val="20"/>
          <w:color w:val="auto"/>
        </w:rPr>
      </w:pPr>
      <w:r>
        <w:rPr>
          <w:rFonts w:ascii="Arial" w:cs="Arial" w:eastAsia="Arial" w:hAnsi="Arial"/>
          <w:sz w:val="18"/>
          <w:szCs w:val="18"/>
          <w:color w:val="auto"/>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75" w:lineRule="exact"/>
        <w:rPr>
          <w:sz w:val="20"/>
          <w:szCs w:val="20"/>
          <w:color w:val="auto"/>
        </w:rPr>
      </w:pPr>
    </w:p>
    <w:p>
      <w:pPr>
        <w:ind w:left="1200" w:right="40"/>
        <w:spacing w:after="0" w:line="293" w:lineRule="auto"/>
        <w:rPr>
          <w:sz w:val="20"/>
          <w:szCs w:val="20"/>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62" w:lineRule="exact"/>
        <w:rPr>
          <w:sz w:val="20"/>
          <w:szCs w:val="20"/>
          <w:color w:val="auto"/>
        </w:rPr>
      </w:pPr>
    </w:p>
    <w:p>
      <w:pPr>
        <w:ind w:left="1200" w:right="140"/>
        <w:spacing w:after="0" w:line="293" w:lineRule="auto"/>
        <w:rPr>
          <w:sz w:val="20"/>
          <w:szCs w:val="20"/>
          <w:color w:val="auto"/>
        </w:rPr>
      </w:pPr>
      <w:r>
        <w:rPr>
          <w:rFonts w:ascii="Arial" w:cs="Arial" w:eastAsia="Arial" w:hAnsi="Arial"/>
          <w:sz w:val="18"/>
          <w:szCs w:val="18"/>
          <w:color w:val="auto"/>
        </w:rPr>
        <w:t>the FDA, EMA or other comparable foreign regulatory authorities may disagree with our interpretation of data from preclinical studies or clinical trials;</w:t>
      </w:r>
    </w:p>
    <w:p>
      <w:pPr>
        <w:spacing w:after="0" w:line="62" w:lineRule="exact"/>
        <w:rPr>
          <w:sz w:val="20"/>
          <w:szCs w:val="20"/>
          <w:color w:val="auto"/>
        </w:rPr>
      </w:pPr>
    </w:p>
    <w:p>
      <w:pPr>
        <w:ind w:left="1200" w:right="220"/>
        <w:spacing w:after="0" w:line="293" w:lineRule="auto"/>
        <w:rPr>
          <w:sz w:val="20"/>
          <w:szCs w:val="20"/>
          <w:color w:val="auto"/>
        </w:rPr>
      </w:pPr>
      <w:r>
        <w:rPr>
          <w:rFonts w:ascii="Arial" w:cs="Arial" w:eastAsia="Arial" w:hAnsi="Arial"/>
          <w:sz w:val="18"/>
          <w:szCs w:val="18"/>
          <w:color w:val="auto"/>
        </w:rPr>
        <w:t>we may be unable to demonstrate to the FDA, EMA or other comparable foreign regulatory authorities that our product candidate’s risk-benefit ratio for its proposed indication is acceptable;</w:t>
      </w:r>
    </w:p>
    <w:p>
      <w:pPr>
        <w:spacing w:after="0" w:line="62" w:lineRule="exact"/>
        <w:rPr>
          <w:sz w:val="20"/>
          <w:szCs w:val="20"/>
          <w:color w:val="auto"/>
        </w:rPr>
      </w:pPr>
    </w:p>
    <w:p>
      <w:pPr>
        <w:ind w:left="1200" w:right="260"/>
        <w:spacing w:after="0" w:line="324" w:lineRule="auto"/>
        <w:rPr>
          <w:sz w:val="20"/>
          <w:szCs w:val="20"/>
          <w:color w:val="auto"/>
        </w:rPr>
      </w:pPr>
      <w:r>
        <w:rPr>
          <w:rFonts w:ascii="Arial" w:cs="Arial" w:eastAsia="Arial" w:hAnsi="Arial"/>
          <w:sz w:val="17"/>
          <w:szCs w:val="17"/>
          <w:color w:val="auto"/>
        </w:rPr>
        <w:t>the FDA, EMA or other comparable foreign regulatory authorities may fail to approve the manufacturing processes, test procedures and specifications or facilities of third-party manufacturers with which we contract for clinical and commercial supplies;</w:t>
      </w:r>
    </w:p>
    <w:p>
      <w:pPr>
        <w:spacing w:after="0" w:line="39" w:lineRule="exact"/>
        <w:rPr>
          <w:sz w:val="20"/>
          <w:szCs w:val="20"/>
          <w:color w:val="auto"/>
        </w:rPr>
      </w:pPr>
    </w:p>
    <w:p>
      <w:pPr>
        <w:ind w:left="1200" w:right="40"/>
        <w:spacing w:after="0" w:line="293" w:lineRule="auto"/>
        <w:rPr>
          <w:sz w:val="20"/>
          <w:szCs w:val="20"/>
          <w:color w:val="auto"/>
        </w:rPr>
      </w:pPr>
      <w:r>
        <w:rPr>
          <w:rFonts w:ascii="Arial" w:cs="Arial" w:eastAsia="Arial" w:hAnsi="Arial"/>
          <w:sz w:val="18"/>
          <w:szCs w:val="18"/>
          <w:color w:val="auto"/>
        </w:rPr>
        <w:t>the FDA, EMA or other comparable regulatory authorities may fail to approve companion diagnostic tests that are required for our product candidates; and</w:t>
      </w:r>
    </w:p>
    <w:p>
      <w:pPr>
        <w:spacing w:after="0" w:line="62" w:lineRule="exact"/>
        <w:rPr>
          <w:sz w:val="20"/>
          <w:szCs w:val="20"/>
          <w:color w:val="auto"/>
        </w:rPr>
      </w:pPr>
    </w:p>
    <w:p>
      <w:pPr>
        <w:ind w:left="1200" w:right="340"/>
        <w:spacing w:after="0" w:line="293" w:lineRule="auto"/>
        <w:rPr>
          <w:sz w:val="20"/>
          <w:szCs w:val="20"/>
          <w:color w:val="auto"/>
        </w:rPr>
      </w:pPr>
      <w:r>
        <w:rPr>
          <w:rFonts w:ascii="Arial" w:cs="Arial" w:eastAsia="Arial" w:hAnsi="Arial"/>
          <w:sz w:val="18"/>
          <w:szCs w:val="18"/>
          <w:color w:val="auto"/>
        </w:rPr>
        <w:t>the approval policies or regulations of the FDA, EMA or other comparable foreign regulatory authorities may significantly change in a manner rendering our clinical data insufficient for approval.</w:t>
      </w:r>
    </w:p>
    <w:p>
      <w:pPr>
        <w:spacing w:after="0" w:line="62" w:lineRule="exact"/>
        <w:rPr>
          <w:sz w:val="20"/>
          <w:szCs w:val="20"/>
          <w:color w:val="auto"/>
        </w:rPr>
      </w:pPr>
    </w:p>
    <w:p>
      <w:pPr>
        <w:ind w:right="640" w:firstLine="749"/>
        <w:spacing w:after="0" w:line="359" w:lineRule="auto"/>
        <w:rPr>
          <w:sz w:val="20"/>
          <w:szCs w:val="20"/>
          <w:color w:val="auto"/>
        </w:rPr>
      </w:pPr>
      <w:r>
        <w:rPr>
          <w:rFonts w:ascii="Arial" w:cs="Arial" w:eastAsia="Arial" w:hAnsi="Arial"/>
          <w:sz w:val="16"/>
          <w:szCs w:val="16"/>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7"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b w:val="1"/>
          <w:bCs w:val="1"/>
          <w:i w:val="1"/>
          <w:iCs w:val="1"/>
          <w:color w:val="auto"/>
        </w:rPr>
        <w:t>The clinical trials of our product candidates may not demonstrate safety and efficacy to the satisfaction of the FDA, EMA or other comparable foreign regulatory authorities or otherwise produce positive results.</w:t>
      </w:r>
    </w:p>
    <w:p>
      <w:pPr>
        <w:spacing w:after="0" w:line="62" w:lineRule="exact"/>
        <w:rPr>
          <w:sz w:val="20"/>
          <w:szCs w:val="20"/>
          <w:color w:val="auto"/>
        </w:rPr>
      </w:pPr>
    </w:p>
    <w:p>
      <w:pPr>
        <w:ind w:right="80" w:firstLine="749"/>
        <w:spacing w:after="0" w:line="270" w:lineRule="auto"/>
        <w:rPr>
          <w:sz w:val="20"/>
          <w:szCs w:val="20"/>
          <w:color w:val="auto"/>
        </w:rPr>
      </w:pPr>
      <w:r>
        <w:rPr>
          <w:rFonts w:ascii="Arial" w:cs="Arial" w:eastAsia="Arial" w:hAnsi="Arial"/>
          <w:sz w:val="18"/>
          <w:szCs w:val="18"/>
          <w:color w:val="auto"/>
        </w:rPr>
        <w:t>Before obtaining marketing approval from the FDA, EMA or other comparable foreign regulatory authorities for the sale of our product candidates, we must complete preclinical development and extensive clinical trials to demonstrate with substantial evidence the safety and efficacy of such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1" w:name="page32"/>
    <w:bookmarkEnd w:id="31"/>
    <w:p>
      <w:pPr>
        <w:ind w:right="80" w:firstLine="749"/>
        <w:spacing w:after="0" w:line="293"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4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receipt of feedback from regulatory authorities that requires us to modify the design of our clinical trials;</w:t>
      </w:r>
    </w:p>
    <w:p>
      <w:pPr>
        <w:spacing w:after="0" w:line="104" w:lineRule="exact"/>
        <w:rPr>
          <w:sz w:val="20"/>
          <w:szCs w:val="20"/>
          <w:color w:val="auto"/>
        </w:rPr>
      </w:pPr>
    </w:p>
    <w:p>
      <w:pPr>
        <w:ind w:left="1200" w:right="160"/>
        <w:spacing w:after="0" w:line="261" w:lineRule="auto"/>
        <w:rPr>
          <w:sz w:val="20"/>
          <w:szCs w:val="20"/>
          <w:color w:val="auto"/>
        </w:rPr>
      </w:pPr>
      <w:r>
        <w:rPr>
          <w:rFonts w:ascii="Arial" w:cs="Arial" w:eastAsia="Arial" w:hAnsi="Arial"/>
          <w:sz w:val="18"/>
          <w:szCs w:val="18"/>
          <w:color w:val="auto"/>
        </w:rPr>
        <w:t>negative or inconclusive clinical trial results that may require us to conduct additional clinical trials or abandon certain drug development programs;</w:t>
      </w:r>
    </w:p>
    <w:p>
      <w:pPr>
        <w:spacing w:after="0" w:line="63" w:lineRule="exact"/>
        <w:rPr>
          <w:sz w:val="20"/>
          <w:szCs w:val="20"/>
          <w:color w:val="auto"/>
        </w:rPr>
      </w:pPr>
    </w:p>
    <w:p>
      <w:pPr>
        <w:ind w:left="1200" w:right="680"/>
        <w:spacing w:after="0" w:line="261" w:lineRule="auto"/>
        <w:rPr>
          <w:sz w:val="20"/>
          <w:szCs w:val="20"/>
          <w:color w:val="auto"/>
        </w:rPr>
      </w:pPr>
      <w:r>
        <w:rPr>
          <w:rFonts w:ascii="Arial" w:cs="Arial" w:eastAsia="Arial" w:hAnsi="Arial"/>
          <w:sz w:val="18"/>
          <w:szCs w:val="18"/>
          <w:color w:val="auto"/>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63" w:lineRule="exact"/>
        <w:rPr>
          <w:sz w:val="20"/>
          <w:szCs w:val="20"/>
          <w:color w:val="auto"/>
        </w:rPr>
      </w:pPr>
    </w:p>
    <w:p>
      <w:pPr>
        <w:ind w:left="1200" w:right="160"/>
        <w:spacing w:after="0" w:line="261" w:lineRule="auto"/>
        <w:rPr>
          <w:sz w:val="20"/>
          <w:szCs w:val="20"/>
          <w:color w:val="auto"/>
        </w:rPr>
      </w:pPr>
      <w:r>
        <w:rPr>
          <w:rFonts w:ascii="Arial" w:cs="Arial" w:eastAsia="Arial" w:hAnsi="Arial"/>
          <w:sz w:val="18"/>
          <w:szCs w:val="18"/>
          <w:color w:val="auto"/>
        </w:rPr>
        <w:t>third-party contractors failing to comply with regulatory requirements or meet their contractual obligations to us in a timely manner, or at all;</w:t>
      </w:r>
    </w:p>
    <w:p>
      <w:pPr>
        <w:spacing w:after="0" w:line="63" w:lineRule="exact"/>
        <w:rPr>
          <w:sz w:val="20"/>
          <w:szCs w:val="20"/>
          <w:color w:val="auto"/>
        </w:rPr>
      </w:pPr>
    </w:p>
    <w:p>
      <w:pPr>
        <w:ind w:left="1200" w:right="60"/>
        <w:spacing w:after="0" w:line="261" w:lineRule="auto"/>
        <w:rPr>
          <w:sz w:val="20"/>
          <w:szCs w:val="20"/>
          <w:color w:val="auto"/>
        </w:rPr>
      </w:pPr>
      <w:r>
        <w:rPr>
          <w:rFonts w:ascii="Arial" w:cs="Arial" w:eastAsia="Arial" w:hAnsi="Arial"/>
          <w:sz w:val="18"/>
          <w:szCs w:val="18"/>
          <w:color w:val="auto"/>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cost of clinical trials of our product candidates being greater than anticipated;</w:t>
      </w:r>
    </w:p>
    <w:p>
      <w:pPr>
        <w:spacing w:after="0" w:line="104" w:lineRule="exact"/>
        <w:rPr>
          <w:sz w:val="20"/>
          <w:szCs w:val="20"/>
          <w:color w:val="auto"/>
        </w:rPr>
      </w:pPr>
    </w:p>
    <w:p>
      <w:pPr>
        <w:ind w:left="1200" w:right="520"/>
        <w:spacing w:after="0" w:line="261" w:lineRule="auto"/>
        <w:rPr>
          <w:sz w:val="20"/>
          <w:szCs w:val="20"/>
          <w:color w:val="auto"/>
        </w:rPr>
      </w:pPr>
      <w:r>
        <w:rPr>
          <w:rFonts w:ascii="Arial" w:cs="Arial" w:eastAsia="Arial" w:hAnsi="Arial"/>
          <w:sz w:val="18"/>
          <w:szCs w:val="18"/>
          <w:color w:val="auto"/>
        </w:rPr>
        <w:t>the supply or quality of our product candidates or other materials necessary to conduct clinical trials of our product candidates being insufficient or inadequate; and</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regulators revising the requirements for approving our product candidates.</w:t>
      </w:r>
    </w:p>
    <w:p>
      <w:pPr>
        <w:spacing w:after="0" w:line="117" w:lineRule="exact"/>
        <w:rPr>
          <w:sz w:val="20"/>
          <w:szCs w:val="20"/>
          <w:color w:val="auto"/>
        </w:rPr>
      </w:pPr>
    </w:p>
    <w:p>
      <w:pPr>
        <w:ind w:firstLine="749"/>
        <w:spacing w:after="0" w:line="292"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spacing w:after="0" w:line="66"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75" w:lineRule="exact"/>
        <w:rPr>
          <w:sz w:val="20"/>
          <w:szCs w:val="20"/>
          <w:color w:val="auto"/>
        </w:rPr>
      </w:pPr>
    </w:p>
    <w:p>
      <w:pPr>
        <w:ind w:right="100" w:firstLine="749"/>
        <w:spacing w:after="0" w:line="290" w:lineRule="auto"/>
        <w:rPr>
          <w:sz w:val="20"/>
          <w:szCs w:val="20"/>
          <w:color w:val="auto"/>
        </w:rPr>
      </w:pPr>
      <w:r>
        <w:rPr>
          <w:rFonts w:ascii="Arial" w:cs="Arial" w:eastAsia="Arial" w:hAnsi="Arial"/>
          <w:sz w:val="17"/>
          <w:szCs w:val="17"/>
          <w:color w:val="auto"/>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68" w:lineRule="exact"/>
        <w:rPr>
          <w:sz w:val="20"/>
          <w:szCs w:val="20"/>
          <w:color w:val="auto"/>
        </w:rPr>
      </w:pPr>
    </w:p>
    <w:p>
      <w:pPr>
        <w:ind w:right="140" w:firstLine="749"/>
        <w:spacing w:after="0" w:line="272" w:lineRule="auto"/>
        <w:rPr>
          <w:sz w:val="20"/>
          <w:szCs w:val="20"/>
          <w:color w:val="auto"/>
        </w:rPr>
      </w:pPr>
      <w:r>
        <w:rPr>
          <w:rFonts w:ascii="Arial" w:cs="Arial" w:eastAsia="Arial" w:hAnsi="Arial"/>
          <w:sz w:val="18"/>
          <w:szCs w:val="18"/>
          <w:color w:val="auto"/>
        </w:rPr>
        <w:t>For example, in study ORIC-GR-17001, there were two Grade 1 adverse events: pain in the extremity and nausea. Both were mild, attributed to ORIC-101 and resolved without treatment. In study ORIC-GR-17002, Part A, the most commonly reported treatment-emergent adverse events were mild gastrointestinal adverse events. These were observed in two participants and consisted of Grade 1 nausea in one subject and Grade 1 nausea, abdominal pain, and diarrhea in a second subject. They were resolved without treatment. In study ORIC-GR-17002, Part B, the most common adverse events were gastrointestinal in nature and were deemed related to ORIC-101.</w:t>
      </w:r>
    </w:p>
    <w:p>
      <w:pPr>
        <w:spacing w:after="0" w:line="83" w:lineRule="exact"/>
        <w:rPr>
          <w:sz w:val="20"/>
          <w:szCs w:val="20"/>
          <w:color w:val="auto"/>
        </w:rPr>
      </w:pPr>
    </w:p>
    <w:p>
      <w:pPr>
        <w:ind w:right="80" w:firstLine="749"/>
        <w:spacing w:after="0" w:line="308" w:lineRule="auto"/>
        <w:rPr>
          <w:sz w:val="20"/>
          <w:szCs w:val="20"/>
          <w:color w:val="auto"/>
        </w:rPr>
      </w:pPr>
      <w:r>
        <w:rPr>
          <w:rFonts w:ascii="Arial" w:cs="Arial" w:eastAsia="Arial" w:hAnsi="Arial"/>
          <w:sz w:val="16"/>
          <w:szCs w:val="16"/>
          <w:color w:val="auto"/>
        </w:rPr>
        <w:t>For example, in our Phase 1b trial of ORIC-101 in combination with nab-paclitaxel in advanced or metastatic solid tumors, two patients experienced dose-limiting toxicity (DLT) during the first cycle of treatment. Specifically, one patient experienced Grade 3 fatigue and discontinued treatment after two weeks on study. A second patient with advanced pancreatic cancer that had metastasized to the liver experienced Grade 4 neutropenia and thrombocytopenia and Grade 5 hepatic failure in the setting of rapid disease progression. A CT scan of the patient’s abdomen on study Day 9 demonstrated disease progression, and the patient died on study Day 12. These toxicities are well-described for nab-paclitaxel (including reports of hepatic necrosis and hepatic encephalopathy leading to death). After review of safety and PK data from Dose Level 1 by the study’s Safety Review Committee (SRC), it was determined that Dose Level 1 exceeded the maximum tolerated doses of the combination of ORIC-101 and nab-paclitaxel. The protocol was amended and following FDA review and Institutional Review Board (IRB) approvals, three new patients were enrolled to the revised new Dose Level 1A.</w:t>
      </w:r>
    </w:p>
    <w:p>
      <w:pPr>
        <w:spacing w:after="0" w:line="55" w:lineRule="exact"/>
        <w:rPr>
          <w:sz w:val="20"/>
          <w:szCs w:val="20"/>
          <w:color w:val="auto"/>
        </w:rPr>
      </w:pPr>
    </w:p>
    <w:p>
      <w:pPr>
        <w:ind w:right="100" w:firstLine="749"/>
        <w:spacing w:after="0" w:line="272" w:lineRule="auto"/>
        <w:rPr>
          <w:sz w:val="20"/>
          <w:szCs w:val="20"/>
          <w:color w:val="auto"/>
        </w:rPr>
      </w:pPr>
      <w:r>
        <w:rPr>
          <w:rFonts w:ascii="Arial" w:cs="Arial" w:eastAsia="Arial" w:hAnsi="Arial"/>
          <w:sz w:val="18"/>
          <w:szCs w:val="18"/>
          <w:color w:val="auto"/>
        </w:rPr>
        <w:t>Patients in our ongoing and planned clinical trials may in the future suffer other significant adverse events or other side effects not observed in our preclinical studies or previous clinical trials. ORIC-101 or other product candidates may be used in populations for which safety concerns may be particularly scrutinized by regulatory agencies. In addition, ORIC-101 is being studied in combination with other therapies, which may exacerbate adverse events associated with the therapy. Patients treated with ORIC-101 or our other product candidates may also be undergoing surgical, radiation and chemotherapy treatments, which can cause side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2" w:name="page33"/>
    <w:bookmarkEnd w:id="32"/>
    <w:p>
      <w:pPr>
        <w:ind w:right="180"/>
        <w:spacing w:after="0" w:line="319" w:lineRule="auto"/>
        <w:rPr>
          <w:sz w:val="20"/>
          <w:szCs w:val="20"/>
          <w:color w:val="auto"/>
        </w:rPr>
      </w:pPr>
      <w:r>
        <w:rPr>
          <w:rFonts w:ascii="Arial" w:cs="Arial" w:eastAsia="Arial" w:hAnsi="Arial"/>
          <w:sz w:val="16"/>
          <w:szCs w:val="16"/>
          <w:color w:val="auto"/>
        </w:rPr>
        <w:t>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ORIC-101 clinical trials will die or experience major clinical events either during the course of our clinical trials or after participating in such trials, which has occurred in the past.</w:t>
      </w:r>
    </w:p>
    <w:p>
      <w:pPr>
        <w:spacing w:after="0" w:line="48" w:lineRule="exact"/>
        <w:rPr>
          <w:sz w:val="20"/>
          <w:szCs w:val="20"/>
          <w:color w:val="auto"/>
        </w:rPr>
      </w:pPr>
    </w:p>
    <w:p>
      <w:pPr>
        <w:ind w:right="40" w:firstLine="749"/>
        <w:spacing w:after="0" w:line="304" w:lineRule="auto"/>
        <w:rPr>
          <w:sz w:val="20"/>
          <w:szCs w:val="20"/>
          <w:color w:val="auto"/>
        </w:rPr>
      </w:pPr>
      <w:r>
        <w:rPr>
          <w:rFonts w:ascii="Arial" w:cs="Arial" w:eastAsia="Arial" w:hAnsi="Arial"/>
          <w:sz w:val="16"/>
          <w:szCs w:val="16"/>
          <w:color w:val="auto"/>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trials.</w:t>
      </w:r>
    </w:p>
    <w:p>
      <w:pPr>
        <w:spacing w:after="0" w:line="65" w:lineRule="exact"/>
        <w:rPr>
          <w:sz w:val="20"/>
          <w:szCs w:val="20"/>
          <w:color w:val="auto"/>
        </w:rPr>
      </w:pPr>
    </w:p>
    <w:p>
      <w:pPr>
        <w:ind w:right="360"/>
        <w:spacing w:after="0" w:line="324" w:lineRule="auto"/>
        <w:rPr>
          <w:sz w:val="20"/>
          <w:szCs w:val="20"/>
          <w:color w:val="auto"/>
        </w:rPr>
      </w:pPr>
      <w:r>
        <w:rPr>
          <w:rFonts w:ascii="Arial" w:cs="Arial" w:eastAsia="Arial" w:hAnsi="Arial"/>
          <w:sz w:val="17"/>
          <w:szCs w:val="17"/>
          <w:b w:val="1"/>
          <w:bCs w:val="1"/>
          <w:i w:val="1"/>
          <w:iCs w:val="1"/>
          <w:color w:val="auto"/>
        </w:rPr>
        <w:t>The outcome of preclinical testing and early clinical trials may not be predictive of the success of later clinical trials, and the results of our clinical trials may not satisfy the requirements of the FDA, EMA or other comparable foreign regulatory authorities.</w:t>
      </w:r>
    </w:p>
    <w:p>
      <w:pPr>
        <w:spacing w:after="0" w:line="39" w:lineRule="exact"/>
        <w:rPr>
          <w:sz w:val="20"/>
          <w:szCs w:val="20"/>
          <w:color w:val="auto"/>
        </w:rPr>
      </w:pPr>
    </w:p>
    <w:p>
      <w:pPr>
        <w:ind w:firstLine="749"/>
        <w:spacing w:after="0" w:line="285" w:lineRule="auto"/>
        <w:rPr>
          <w:sz w:val="20"/>
          <w:szCs w:val="20"/>
          <w:color w:val="auto"/>
        </w:rPr>
      </w:pPr>
      <w:r>
        <w:rPr>
          <w:rFonts w:ascii="Arial" w:cs="Arial" w:eastAsia="Arial" w:hAnsi="Arial"/>
          <w:sz w:val="17"/>
          <w:szCs w:val="17"/>
          <w:color w:val="auto"/>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ORIC-101 will perform in current or future clinical trials as ORIC-101 has performed in preclinical studies or prior clinical trials, nor do we know whether ORIC-533, ORIC-944 or ORIC-114 will perform in current or future preclinical studies or future clinical trials as they have in prior preclinical studies. Product candidates in later-stage clinical trials may fail to demonstrate sufficient safety and efficacy to the satisfaction of the FDA, EMA and other comparable foreign regulatory authorities despite having progressed through preclinical studies and early-stage clinical trials. Additionally, while we are aware of several other clinical-stage GR antagonists being developed by Corcept Therapeutics, to our knowledge, there are no GR antagonists approved for the treatment of cancer and the most advanced GR antagonist in development for cancer is in a Phase 2 trial for ovarian cancer and a Phase 3 trial for metastatic pancreatic ductal adenocarcinoma. As such, the development of ORIC-101 and our stock price may be impacted by inferences, whether correct or not, that are drawn between the success of our product candidate and those of Corcept Therapeutics or other companies. Additionally, prior to our two Phase 1b trials, ORIC-101 was only studied in two Phase 1a trials in healthy volunteers.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71" w:lineRule="exact"/>
        <w:rPr>
          <w:sz w:val="20"/>
          <w:szCs w:val="20"/>
          <w:color w:val="auto"/>
        </w:rPr>
      </w:pPr>
    </w:p>
    <w:p>
      <w:pPr>
        <w:ind w:right="40" w:firstLine="749"/>
        <w:spacing w:after="0" w:line="270" w:lineRule="auto"/>
        <w:rPr>
          <w:sz w:val="20"/>
          <w:szCs w:val="20"/>
          <w:color w:val="auto"/>
        </w:rPr>
      </w:pPr>
      <w:r>
        <w:rPr>
          <w:rFonts w:ascii="Arial" w:cs="Arial" w:eastAsia="Arial" w:hAnsi="Arial"/>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85" w:lineRule="exact"/>
        <w:rPr>
          <w:sz w:val="20"/>
          <w:szCs w:val="20"/>
          <w:color w:val="auto"/>
        </w:rPr>
      </w:pPr>
    </w:p>
    <w:p>
      <w:pPr>
        <w:ind w:right="460" w:firstLine="749"/>
        <w:spacing w:after="0" w:line="293" w:lineRule="auto"/>
        <w:rPr>
          <w:sz w:val="20"/>
          <w:szCs w:val="20"/>
          <w:color w:val="auto"/>
        </w:rPr>
      </w:pPr>
      <w:r>
        <w:rPr>
          <w:rFonts w:ascii="Arial" w:cs="Arial" w:eastAsia="Arial" w:hAnsi="Arial"/>
          <w:sz w:val="18"/>
          <w:szCs w:val="18"/>
          <w:color w:val="auto"/>
        </w:rPr>
        <w:t>We do not know whether any clinical trials we may conduct will demonstrate consistent or adequate efficacy and safety sufficient to obtain approval to market any of our product candidates.</w:t>
      </w:r>
    </w:p>
    <w:p>
      <w:pPr>
        <w:spacing w:after="0" w:line="62" w:lineRule="exact"/>
        <w:rPr>
          <w:sz w:val="20"/>
          <w:szCs w:val="20"/>
          <w:color w:val="auto"/>
        </w:rPr>
      </w:pPr>
    </w:p>
    <w:p>
      <w:pPr>
        <w:ind w:right="140"/>
        <w:spacing w:after="0" w:line="324"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9" w:lineRule="exact"/>
        <w:rPr>
          <w:sz w:val="20"/>
          <w:szCs w:val="20"/>
          <w:color w:val="auto"/>
        </w:rPr>
      </w:pPr>
    </w:p>
    <w:p>
      <w:pPr>
        <w:ind w:right="80" w:firstLine="749"/>
        <w:spacing w:after="0" w:line="271" w:lineRule="auto"/>
        <w:rPr>
          <w:sz w:val="20"/>
          <w:szCs w:val="20"/>
          <w:color w:val="auto"/>
        </w:rPr>
      </w:pPr>
      <w:r>
        <w:rPr>
          <w:rFonts w:ascii="Arial" w:cs="Arial" w:eastAsia="Arial" w:hAnsi="Arial"/>
          <w:sz w:val="18"/>
          <w:szCs w:val="18"/>
          <w:color w:val="auto"/>
        </w:rPr>
        <w:t>From time to time, we may publicly disclose preliminary, interim or topline data from our clinical trials, such as the interim data from our Phase 1b clinical trial of ORIC-101. These interim updates are based on a preliminary analysis of then-available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3" w:name="page34"/>
    <w:bookmarkEnd w:id="33"/>
    <w:p>
      <w:pPr>
        <w:ind w:right="60"/>
        <w:spacing w:after="0" w:line="269" w:lineRule="auto"/>
        <w:rPr>
          <w:sz w:val="20"/>
          <w:szCs w:val="20"/>
          <w:color w:val="auto"/>
        </w:rPr>
      </w:pPr>
      <w:r>
        <w:rPr>
          <w:rFonts w:ascii="Arial" w:cs="Arial" w:eastAsia="Arial" w:hAnsi="Arial"/>
          <w:sz w:val="18"/>
          <w:szCs w:val="18"/>
          <w:color w:val="auto"/>
        </w:rPr>
        <w:t>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88" w:lineRule="exact"/>
        <w:rPr>
          <w:sz w:val="20"/>
          <w:szCs w:val="20"/>
          <w:color w:val="auto"/>
        </w:rPr>
      </w:pPr>
    </w:p>
    <w:p>
      <w:pPr>
        <w:ind w:right="100" w:firstLine="749"/>
        <w:spacing w:after="0" w:line="270" w:lineRule="auto"/>
        <w:rPr>
          <w:sz w:val="20"/>
          <w:szCs w:val="20"/>
          <w:color w:val="auto"/>
        </w:rPr>
      </w:pPr>
      <w:r>
        <w:rPr>
          <w:rFonts w:ascii="Arial" w:cs="Arial" w:eastAsia="Arial" w:hAnsi="Arial"/>
          <w:sz w:val="18"/>
          <w:szCs w:val="18"/>
          <w:color w:val="auto"/>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ORIC-101 or any other product candidates may be harmed, which could harm our business, financial condition, results of operations and prospects.</w:t>
      </w:r>
    </w:p>
    <w:p>
      <w:pPr>
        <w:spacing w:after="0" w:line="84"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b w:val="1"/>
          <w:bCs w:val="1"/>
          <w:i w:val="1"/>
          <w:iCs w:val="1"/>
          <w:color w:val="auto"/>
        </w:rPr>
        <w:t>Adverse results of clinical trials conducted by third parties investigating the same product candidates as us in different territories could adversely affect our development of such product candidate.</w:t>
      </w:r>
    </w:p>
    <w:p>
      <w:pPr>
        <w:spacing w:after="0" w:line="62" w:lineRule="exact"/>
        <w:rPr>
          <w:sz w:val="20"/>
          <w:szCs w:val="20"/>
          <w:color w:val="auto"/>
        </w:rPr>
      </w:pPr>
    </w:p>
    <w:p>
      <w:pPr>
        <w:ind w:right="120" w:firstLine="749"/>
        <w:spacing w:after="0" w:line="287" w:lineRule="auto"/>
        <w:rPr>
          <w:sz w:val="20"/>
          <w:szCs w:val="20"/>
          <w:color w:val="auto"/>
        </w:rPr>
      </w:pPr>
      <w:r>
        <w:rPr>
          <w:rFonts w:ascii="Arial" w:cs="Arial" w:eastAsia="Arial" w:hAnsi="Arial"/>
          <w:sz w:val="17"/>
          <w:szCs w:val="17"/>
          <w:color w:val="auto"/>
        </w:rPr>
        <w:t>Lack of efficacy, adverse events, undesirable side effects or other adverse results may emerge in clinical trials conducted by third parties investigating the same product candidates as us in different territories. For example, pursuant to the Voronoi License Agreement, Voronoi retains the right to develop and commercialize the same compounds licensed to us, after a certain period, as specified in the Voronoi License Agreement, including the compound we refer to as ORIC-114, in the People’s Republic of China, Hong Kong, Macau and Taiwan and, subject to certain restrictions, to collaborate with others for such development and commercialization. We do not have control over Voronoi’s clinical trials or development program, and adverse findings from or Voronoi’s conduct of clinical trials could adversely affect our development of ORIC-114 or even the viability of ORIC-114 as a product candidate. We may be required to report Voronoi’s adverse events or unexpected side effects to the FDA or comparable foreign regulatory authorities, which could, among other things, order us to cease further development of ORIC-114.</w:t>
      </w:r>
    </w:p>
    <w:p>
      <w:pPr>
        <w:spacing w:after="0" w:line="74" w:lineRule="exact"/>
        <w:rPr>
          <w:sz w:val="20"/>
          <w:szCs w:val="20"/>
          <w:color w:val="auto"/>
        </w:rPr>
      </w:pPr>
    </w:p>
    <w:p>
      <w:pPr>
        <w:ind w:right="480"/>
        <w:spacing w:after="0" w:line="293"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regulatory submissions or receipt of necessary marketing approvals could be delayed or prevented.</w:t>
      </w:r>
    </w:p>
    <w:p>
      <w:pPr>
        <w:spacing w:after="0" w:line="62" w:lineRule="exact"/>
        <w:rPr>
          <w:sz w:val="20"/>
          <w:szCs w:val="20"/>
          <w:color w:val="auto"/>
        </w:rPr>
      </w:pPr>
    </w:p>
    <w:p>
      <w:pPr>
        <w:ind w:firstLine="749"/>
        <w:spacing w:after="0" w:line="269"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Patient enrollment is a significant factor in the timing of clinical trials. Our ability to enroll eligible patients may be limited or may result in slower enrollment than we anticipate. For instance, we have developed a proprietary immunohistochemistry (IHC) assay that measures GR protein expression levels as well as a proprietary GR gene activation signature that measures GR signaling activity, both of which are being utilized in our ongoing clinical trials and may be used for patient selection in future clinical trials, and utilizing such biomarker-driven identification and/or certain highly specific criteria related to the stage of disease progression may limit patient populations eligible for our clinical trials. Additionally, our approach of identifying and selecting a subset of patients more likely to benefit from ORIC-101 by measuring levels of GR expression or gene activity is, to our knowledge, untested in oncology. If these strategies for patient identification prove unsuccessful, we may have difficulty enrolling or maintaining patients appropriate for ORIC-101.</w:t>
      </w:r>
    </w:p>
    <w:p>
      <w:pPr>
        <w:spacing w:after="0" w:line="83" w:lineRule="exact"/>
        <w:rPr>
          <w:sz w:val="20"/>
          <w:szCs w:val="20"/>
          <w:color w:val="auto"/>
        </w:rPr>
      </w:pPr>
    </w:p>
    <w:p>
      <w:pPr>
        <w:ind w:right="140" w:firstLine="749"/>
        <w:spacing w:after="0" w:line="290" w:lineRule="auto"/>
        <w:rPr>
          <w:sz w:val="20"/>
          <w:szCs w:val="20"/>
          <w:color w:val="auto"/>
        </w:rPr>
      </w:pPr>
      <w:r>
        <w:rPr>
          <w:rFonts w:ascii="Arial" w:cs="Arial" w:eastAsia="Arial" w:hAnsi="Arial"/>
          <w:sz w:val="17"/>
          <w:szCs w:val="17"/>
          <w:color w:val="auto"/>
        </w:rPr>
        <w:t>Enrollment of patients in our clinical trials and maintaining patients in our ongoing clinical trials may be delayed or limited as our clinical trial sites limit their onsite staff or temporarily close as a result of the COVID-19 pandemic. For instance, we are aware of certain ORIC-101 clinical trial sites that had temporarily stopped or delayed enrolling new patients in response to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These factors resulting from the COVID-19 pandemic could delay the anticipated readouts from our ORIC-101 clinical trials and our regulatory submissions.</w:t>
      </w:r>
    </w:p>
    <w:p>
      <w:pPr>
        <w:spacing w:after="0" w:line="68" w:lineRule="exact"/>
        <w:rPr>
          <w:sz w:val="20"/>
          <w:szCs w:val="20"/>
          <w:color w:val="auto"/>
        </w:rPr>
      </w:pPr>
    </w:p>
    <w:p>
      <w:pPr>
        <w:ind w:right="40" w:firstLine="749"/>
        <w:spacing w:after="0" w:line="279" w:lineRule="auto"/>
        <w:rPr>
          <w:sz w:val="20"/>
          <w:szCs w:val="20"/>
          <w:color w:val="auto"/>
        </w:rPr>
      </w:pPr>
      <w:r>
        <w:rPr>
          <w:rFonts w:ascii="Arial" w:cs="Arial" w:eastAsia="Arial" w:hAnsi="Arial"/>
          <w:sz w:val="18"/>
          <w:szCs w:val="18"/>
          <w:color w:val="auto"/>
        </w:rPr>
        <w:t>Patient enrollment may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spacing w:after="0" w:line="7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size and nature of the patient population;</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severity of the disease under investigation;</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availability and efficacy of approved drugs for the disease under investigation;</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4" w:name="page35"/>
    <w:bookmarkEnd w:id="34"/>
    <w:p>
      <w:pPr>
        <w:ind w:left="1200"/>
        <w:spacing w:after="0"/>
        <w:rPr>
          <w:sz w:val="20"/>
          <w:szCs w:val="20"/>
          <w:color w:val="auto"/>
        </w:rPr>
      </w:pPr>
      <w:r>
        <w:rPr>
          <w:rFonts w:ascii="Arial" w:cs="Arial" w:eastAsia="Arial" w:hAnsi="Arial"/>
          <w:sz w:val="18"/>
          <w:szCs w:val="18"/>
          <w:color w:val="auto"/>
        </w:rPr>
        <w:t>patient eligibility criteria for the trial in question as defined in the protocol;</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perceived risks and benefits of the product candidate under study;</w:t>
      </w:r>
    </w:p>
    <w:p>
      <w:pPr>
        <w:spacing w:after="0" w:line="131" w:lineRule="exact"/>
        <w:rPr>
          <w:sz w:val="20"/>
          <w:szCs w:val="20"/>
          <w:color w:val="auto"/>
        </w:rPr>
      </w:pPr>
    </w:p>
    <w:p>
      <w:pPr>
        <w:jc w:val="both"/>
        <w:ind w:left="1200" w:right="400"/>
        <w:spacing w:after="0" w:line="279" w:lineRule="auto"/>
        <w:rPr>
          <w:sz w:val="20"/>
          <w:szCs w:val="20"/>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7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clinicians’ willingness to screen their patients for biomarkers to indicate which patients may be eligible for enrollment in our clinical trials;</w:t>
      </w:r>
    </w:p>
    <w:p>
      <w:pPr>
        <w:spacing w:after="0" w:line="15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patient referral practices of physicians;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ability to monitor patients adequately during and after treatment;</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proximity and availability of clinical trial sites for prospective patients; and</w:t>
      </w:r>
    </w:p>
    <w:p>
      <w:pPr>
        <w:spacing w:after="0" w:line="131" w:lineRule="exact"/>
        <w:rPr>
          <w:sz w:val="20"/>
          <w:szCs w:val="20"/>
          <w:color w:val="auto"/>
        </w:rPr>
      </w:pPr>
    </w:p>
    <w:p>
      <w:pPr>
        <w:ind w:left="1200" w:right="560"/>
        <w:spacing w:after="0" w:line="293" w:lineRule="auto"/>
        <w:rPr>
          <w:sz w:val="20"/>
          <w:szCs w:val="20"/>
          <w:color w:val="auto"/>
        </w:rPr>
      </w:pPr>
      <w:r>
        <w:rPr>
          <w:rFonts w:ascii="Arial" w:cs="Arial" w:eastAsia="Arial" w:hAnsi="Arial"/>
          <w:sz w:val="18"/>
          <w:szCs w:val="18"/>
          <w:color w:val="auto"/>
        </w:rPr>
        <w:t>the risk that patients enrolled in clinical trials will drop out of the trials before completion or, because they may be late-stage cancer patients, will not survive the full terms of the clinical trials.</w:t>
      </w:r>
    </w:p>
    <w:p>
      <w:pPr>
        <w:spacing w:after="0" w:line="62" w:lineRule="exact"/>
        <w:rPr>
          <w:sz w:val="20"/>
          <w:szCs w:val="20"/>
          <w:color w:val="auto"/>
        </w:rPr>
      </w:pPr>
    </w:p>
    <w:p>
      <w:pPr>
        <w:ind w:right="40" w:firstLine="749"/>
        <w:spacing w:after="0" w:line="319" w:lineRule="auto"/>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operations and financial results could be adversely impacted by the COVID-19 pandemic in the United States and the rest of the world.</w:t>
      </w:r>
    </w:p>
    <w:p>
      <w:pPr>
        <w:spacing w:after="0" w:line="142" w:lineRule="exact"/>
        <w:rPr>
          <w:sz w:val="20"/>
          <w:szCs w:val="20"/>
          <w:color w:val="auto"/>
        </w:rPr>
      </w:pPr>
    </w:p>
    <w:p>
      <w:pPr>
        <w:ind w:firstLine="749"/>
        <w:spacing w:after="0" w:line="314" w:lineRule="auto"/>
        <w:rPr>
          <w:sz w:val="20"/>
          <w:szCs w:val="20"/>
          <w:color w:val="auto"/>
        </w:rPr>
      </w:pPr>
      <w:r>
        <w:rPr>
          <w:rFonts w:ascii="Arial" w:cs="Arial" w:eastAsia="Arial" w:hAnsi="Arial"/>
          <w:sz w:val="16"/>
          <w:szCs w:val="16"/>
          <w:color w:val="auto"/>
        </w:rPr>
        <w:t>In December 2019, COVID-19 was reported to have surfaced in Wuhan, China, resulting in significant disruptions to Chinese manufacturing and travel. COVID-19 has now spread to numerous other countries, including extensively within the United States, resulting in the World Health Organization characterizing COVID-19 as a pandemic. As a result of measures imposed by the governments in affected regions, many commercial activities, businesses and schools have been suspended as part of quarantines and other measures intended to contain this pandemic. As the COVID-19 pandemic continues to spread around the globe, we may experience disruptions that could severely impact our business and clinical trials, including:</w:t>
      </w:r>
    </w:p>
    <w:p>
      <w:pPr>
        <w:spacing w:after="0" w:line="52" w:lineRule="exact"/>
        <w:rPr>
          <w:sz w:val="20"/>
          <w:szCs w:val="20"/>
          <w:color w:val="auto"/>
        </w:rPr>
      </w:pPr>
    </w:p>
    <w:p>
      <w:pPr>
        <w:ind w:left="1200" w:right="20"/>
        <w:spacing w:after="0" w:line="293" w:lineRule="auto"/>
        <w:rPr>
          <w:sz w:val="20"/>
          <w:szCs w:val="20"/>
          <w:color w:val="auto"/>
        </w:rPr>
      </w:pPr>
      <w:r>
        <w:rPr>
          <w:rFonts w:ascii="Arial" w:cs="Arial" w:eastAsia="Arial" w:hAnsi="Arial"/>
          <w:sz w:val="18"/>
          <w:szCs w:val="18"/>
          <w:color w:val="auto"/>
        </w:rPr>
        <w:t>interruption of key research and discovery or other activities related to any impact of COVID-19 contraction by or transmission among our employees, including those that are essential workers and work within our laboratory;</w:t>
      </w:r>
    </w:p>
    <w:p>
      <w:pPr>
        <w:spacing w:after="0" w:line="62" w:lineRule="exact"/>
        <w:rPr>
          <w:sz w:val="20"/>
          <w:szCs w:val="20"/>
          <w:color w:val="auto"/>
        </w:rPr>
      </w:pPr>
    </w:p>
    <w:p>
      <w:pPr>
        <w:ind w:left="1200" w:right="380"/>
        <w:spacing w:after="0" w:line="293" w:lineRule="auto"/>
        <w:rPr>
          <w:sz w:val="20"/>
          <w:szCs w:val="20"/>
          <w:color w:val="auto"/>
        </w:rPr>
      </w:pPr>
      <w:r>
        <w:rPr>
          <w:rFonts w:ascii="Arial" w:cs="Arial" w:eastAsia="Arial" w:hAnsi="Arial"/>
          <w:sz w:val="18"/>
          <w:szCs w:val="18"/>
          <w:color w:val="auto"/>
        </w:rPr>
        <w:t>delays or difficulties in enrolling patients in our clinical trials, or those conducted by third parties, and further incurrence of additional costs as a result of preclinical study and clinical trial delays and adjustments;</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challenges related to ongoing and increased operational expenses related to the COVID-19 pandemic;</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31" w:lineRule="exact"/>
        <w:rPr>
          <w:sz w:val="20"/>
          <w:szCs w:val="20"/>
          <w:color w:val="auto"/>
        </w:rPr>
      </w:pPr>
    </w:p>
    <w:p>
      <w:pPr>
        <w:ind w:left="1200" w:right="180"/>
        <w:spacing w:after="0" w:line="293" w:lineRule="auto"/>
        <w:rPr>
          <w:sz w:val="20"/>
          <w:szCs w:val="20"/>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62" w:lineRule="exact"/>
        <w:rPr>
          <w:sz w:val="20"/>
          <w:szCs w:val="20"/>
          <w:color w:val="auto"/>
        </w:rPr>
      </w:pPr>
    </w:p>
    <w:p>
      <w:pPr>
        <w:ind w:left="1200" w:right="240"/>
        <w:spacing w:after="0" w:line="293" w:lineRule="auto"/>
        <w:rPr>
          <w:sz w:val="20"/>
          <w:szCs w:val="20"/>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sz w:val="20"/>
          <w:szCs w:val="20"/>
          <w:color w:val="auto"/>
        </w:rPr>
      </w:pPr>
    </w:p>
    <w:p>
      <w:pPr>
        <w:ind w:left="1200" w:right="40"/>
        <w:spacing w:after="0" w:line="279" w:lineRule="auto"/>
        <w:rPr>
          <w:sz w:val="20"/>
          <w:szCs w:val="20"/>
          <w:color w:val="auto"/>
        </w:rPr>
      </w:pPr>
      <w:r>
        <w:rPr>
          <w:rFonts w:ascii="Arial" w:cs="Arial" w:eastAsia="Arial" w:hAnsi="Arial"/>
          <w:sz w:val="18"/>
          <w:szCs w:val="18"/>
          <w:color w:val="auto"/>
        </w:rPr>
        <w:t>limitations in resources that would otherwise be focused on the conduct of our business or our clinical trials, including because of sickness or the desire to avoid contact with large groups of people or as a result of government-imposed “shelter in place” or similar working restrictions;</w:t>
      </w:r>
    </w:p>
    <w:p>
      <w:pPr>
        <w:spacing w:after="0" w:line="75" w:lineRule="exact"/>
        <w:rPr>
          <w:sz w:val="20"/>
          <w:szCs w:val="20"/>
          <w:color w:val="auto"/>
        </w:rPr>
      </w:pPr>
    </w:p>
    <w:p>
      <w:pPr>
        <w:ind w:left="1200" w:right="2960"/>
        <w:spacing w:after="0" w:line="440" w:lineRule="auto"/>
        <w:rPr>
          <w:sz w:val="20"/>
          <w:szCs w:val="20"/>
          <w:color w:val="auto"/>
        </w:rPr>
      </w:pPr>
      <w:r>
        <w:rPr>
          <w:rFonts w:ascii="Arial" w:cs="Arial" w:eastAsia="Arial" w:hAnsi="Arial"/>
          <w:sz w:val="16"/>
          <w:szCs w:val="16"/>
          <w:color w:val="auto"/>
        </w:rPr>
        <w:t>delays in receiving approval from local regulatory authorities to initiate our planned clinical trials; delays in clinical sites receiving the supplies and materials needed to conduct our clinical trials;</w:t>
      </w:r>
    </w:p>
    <w:p>
      <w:pPr>
        <w:ind w:left="1200" w:right="420"/>
        <w:spacing w:after="0" w:line="293" w:lineRule="auto"/>
        <w:rPr>
          <w:sz w:val="20"/>
          <w:szCs w:val="20"/>
          <w:color w:val="auto"/>
        </w:rPr>
      </w:pPr>
      <w:r>
        <w:rPr>
          <w:rFonts w:ascii="Arial" w:cs="Arial" w:eastAsia="Arial" w:hAnsi="Arial"/>
          <w:sz w:val="18"/>
          <w:szCs w:val="18"/>
          <w:color w:val="auto"/>
        </w:rPr>
        <w:t>interruption in global shipping that may affect the transport of clinical trial materials, such as investigational drug product used in our clinical trials;</w:t>
      </w:r>
    </w:p>
    <w:p>
      <w:pPr>
        <w:spacing w:after="0" w:line="62" w:lineRule="exact"/>
        <w:rPr>
          <w:sz w:val="20"/>
          <w:szCs w:val="20"/>
          <w:color w:val="auto"/>
        </w:rPr>
      </w:pPr>
    </w:p>
    <w:p>
      <w:pPr>
        <w:ind w:left="1200" w:right="300"/>
        <w:spacing w:after="0" w:line="324" w:lineRule="auto"/>
        <w:rPr>
          <w:sz w:val="20"/>
          <w:szCs w:val="20"/>
          <w:color w:val="auto"/>
        </w:rPr>
      </w:pPr>
      <w:r>
        <w:rPr>
          <w:rFonts w:ascii="Arial" w:cs="Arial" w:eastAsia="Arial" w:hAnsi="Arial"/>
          <w:sz w:val="17"/>
          <w:szCs w:val="17"/>
          <w:color w:val="auto"/>
        </w:rPr>
        <w:t>changes in regulations as part of a response to the COVID-19 pandemic which may require us to change the ways in which our clinical trials are conducted, or to discontinue the clinical trials altogether, or which may result in unexpected costs;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5" w:name="page36"/>
    <w:bookmarkEnd w:id="35"/>
    <w:p>
      <w:pPr>
        <w:ind w:left="1200" w:right="480"/>
        <w:spacing w:after="0" w:line="293" w:lineRule="auto"/>
        <w:rPr>
          <w:sz w:val="20"/>
          <w:szCs w:val="20"/>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forced furlough of government or contractor personnel; and</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refusal of the FDA to accept data from clinical trials in affected geographies outside the United States.</w:t>
      </w:r>
    </w:p>
    <w:p>
      <w:pPr>
        <w:spacing w:after="0" w:line="131"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We will continue to assess the impact that COVID-19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w:t>
      </w:r>
    </w:p>
    <w:p>
      <w:pPr>
        <w:spacing w:after="0" w:line="75" w:lineRule="exact"/>
        <w:rPr>
          <w:sz w:val="20"/>
          <w:szCs w:val="20"/>
          <w:color w:val="auto"/>
        </w:rPr>
      </w:pPr>
    </w:p>
    <w:p>
      <w:pPr>
        <w:ind w:right="40" w:firstLine="749"/>
        <w:spacing w:after="0" w:line="308" w:lineRule="auto"/>
        <w:rPr>
          <w:sz w:val="20"/>
          <w:szCs w:val="20"/>
          <w:color w:val="auto"/>
        </w:rPr>
      </w:pPr>
      <w:r>
        <w:rPr>
          <w:rFonts w:ascii="Arial" w:cs="Arial" w:eastAsia="Arial" w:hAnsi="Arial"/>
          <w:sz w:val="16"/>
          <w:szCs w:val="16"/>
          <w:color w:val="auto"/>
        </w:rPr>
        <w:t>Our primary operations are located in South San Francisco and San Diego. As a result of county and California state orders and FDA guidance, a portion of our employees are currently telecommuting, and due to modified schedules and work protocols to enable adequate physical distancing, our laboratory operations are currently operating with decreased efficiency, which may impact certain of our operations over the near term and long term. As we prepare to potentially return our remote workforce to our physical locations, we may experience increased costs as we prepare our facilities for a safe return-to-work environment and experiment with hybrid work models, in addition to potential effects on our ability to maintain productivity and our corporate culture. As our employees begin to return to work in our physical locations, our employees may be exposed to COVID-19 or other variants of the virus, and we may face claims by such employees or regulatory authorities that we have not provided adequate protection to our employees with respect to the spread of COVID-19 at our physical locations, which may affect our business, results of operations and reputation.</w:t>
      </w:r>
    </w:p>
    <w:p>
      <w:pPr>
        <w:spacing w:after="0" w:line="55" w:lineRule="exact"/>
        <w:rPr>
          <w:sz w:val="20"/>
          <w:szCs w:val="20"/>
          <w:color w:val="auto"/>
        </w:rPr>
      </w:pPr>
    </w:p>
    <w:p>
      <w:pPr>
        <w:ind w:firstLine="749"/>
        <w:spacing w:after="0" w:line="302" w:lineRule="auto"/>
        <w:rPr>
          <w:sz w:val="20"/>
          <w:szCs w:val="20"/>
          <w:color w:val="auto"/>
        </w:rPr>
      </w:pPr>
      <w:r>
        <w:rPr>
          <w:rFonts w:ascii="Arial" w:cs="Arial" w:eastAsia="Arial" w:hAnsi="Arial"/>
          <w:sz w:val="16"/>
          <w:szCs w:val="16"/>
          <w:color w:val="auto"/>
        </w:rPr>
        <w:t>Additionally, certain third parties with whom we engage, including our collaborators, contract organizations, third party manufacturers, suppliers, clinical trial sites, regulators and other third parties with whom we conduct business are similarly adjusting their operations and assessing their capacity in light of the COVID-19 pandemic. If these third parties experience slowdowns, shutdowns or other business disruptions, our ability to conduct our business in the manner and on the timelines presently planned could be materially and negatively impacted. For example, as a result of the ongoing COVID-19 pandemic, there could be delays in the manufacturing supply chain for ORIC-101, which could delay or otherwise impact our ORIC-101 clinical program. We may also experience delays in procurement of materials for certain of our ongoing or planned studies of ORIC-533, ORIC-944 or ORIC-114 due to the pandemic, which could impact our ability to file an IND in the second half of 2021. Additionally, certain preclinical studies for our discovery research programs are conducted by CROs or academic institutions, some of which temporarily stopped or delayed operations during the initial waves of COVID-19 infection. Disruptions of this nature could negatively impact the timelines of our preclinical programs. In the event of a resurgence of COVID-19 infections, it is likely that the disproportionate impact of COVID-19 on hospitals and clinical sites will have an impact on recruitment and retention for our clinical trials. For instance, we are aware of certain ORIC-101 clinical trial sites that have temporarily stopped or delayed enrolling new patients in the initial phases of the COVID-19 pandemic. In addition, certain of our clinical trial sites have experienced, and others may experience in the future, delays in collecting, receiving and analyzing data from patients enrolled in our clinical trials for ORIC-101 due to limited staff at such sites, limitation or suspension of on-site visits by patients, or patients’ reluctance to visit the clinical trial sites during the pandemic. We and our CROs have also made certain adjustments to the operation of such trials in an effort to ensure the monitoring and safety of patients and minimize risks to trial integrity during the pandemic in accordance with the guidance issued by the FDA on March 18, 2020 and generally, and may need to make further adjustments in the future, including adjustments based on recently issued FDA guidance on manufacturing, supply chain, and pharmaceutical product inspections; resuming normal pharmaceutical manufacturing operations; and updates on conducting clinical trials during the COVID-19 public health emergency. Many of these adjustments are new and untested, may not be effective, and may have unforeseen effects on the enrollment, progress and completion of these trials and the findings from these trials. While we are currently continuing our clinical trials and seeking to add new clinical trial sites, we may not be successful in adding trial sites, may experience delays in patient enrollment or in the progression of our clinical trials, may need to suspend our clinical trials, and may encounter other negative impacts to our trials, due to the effects of the COVID-19 pandemic.</w:t>
      </w:r>
    </w:p>
    <w:p>
      <w:pPr>
        <w:spacing w:after="0" w:line="295" w:lineRule="exact"/>
        <w:rPr>
          <w:sz w:val="20"/>
          <w:szCs w:val="20"/>
          <w:color w:val="auto"/>
        </w:rPr>
      </w:pPr>
    </w:p>
    <w:p>
      <w:pPr>
        <w:ind w:right="80" w:firstLine="749"/>
        <w:spacing w:after="0" w:line="279" w:lineRule="auto"/>
        <w:rPr>
          <w:sz w:val="20"/>
          <w:szCs w:val="20"/>
          <w:color w:val="auto"/>
        </w:rPr>
      </w:pPr>
      <w:r>
        <w:rPr>
          <w:rFonts w:ascii="Arial" w:cs="Arial" w:eastAsia="Arial" w:hAnsi="Arial"/>
          <w:sz w:val="18"/>
          <w:szCs w:val="18"/>
          <w:color w:val="auto"/>
        </w:rPr>
        <w:t>The global outbreak of COVID-19 continues to evolve. While the extent of the impact of the current COVID-19 pandemic on our business and financial results is uncertain, a continued and prolonged public health crisis such as the COVID-19 pandemic could have a material negative impact on our business, financial condition and operating results.</w:t>
      </w:r>
    </w:p>
    <w:p>
      <w:pPr>
        <w:spacing w:after="0" w:line="75" w:lineRule="exact"/>
        <w:rPr>
          <w:sz w:val="20"/>
          <w:szCs w:val="20"/>
          <w:color w:val="auto"/>
        </w:rPr>
      </w:pPr>
    </w:p>
    <w:p>
      <w:pPr>
        <w:ind w:right="320" w:firstLine="749"/>
        <w:spacing w:after="0" w:line="293" w:lineRule="auto"/>
        <w:rPr>
          <w:sz w:val="20"/>
          <w:szCs w:val="20"/>
          <w:color w:val="auto"/>
        </w:rPr>
      </w:pPr>
      <w:r>
        <w:rPr>
          <w:rFonts w:ascii="Arial" w:cs="Arial" w:eastAsia="Arial" w:hAnsi="Arial"/>
          <w:sz w:val="18"/>
          <w:szCs w:val="18"/>
          <w:color w:val="auto"/>
        </w:rPr>
        <w:t>To the extent the COVID-19 pandemic adversely affects our business, financial condition and operating results, it may also have the effect of heightening many of the risks described in this “Risk factors” section.</w:t>
      </w:r>
    </w:p>
    <w:p>
      <w:pPr>
        <w:spacing w:after="0" w:line="62" w:lineRule="exact"/>
        <w:rPr>
          <w:sz w:val="20"/>
          <w:szCs w:val="20"/>
          <w:color w:val="auto"/>
        </w:rPr>
      </w:pPr>
    </w:p>
    <w:p>
      <w:pPr>
        <w:ind w:right="320"/>
        <w:spacing w:after="0" w:line="394" w:lineRule="auto"/>
        <w:rPr>
          <w:sz w:val="20"/>
          <w:szCs w:val="20"/>
          <w:color w:val="auto"/>
        </w:rPr>
      </w:pPr>
      <w:r>
        <w:rPr>
          <w:rFonts w:ascii="Arial" w:cs="Arial" w:eastAsia="Arial" w:hAnsi="Arial"/>
          <w:sz w:val="15"/>
          <w:szCs w:val="15"/>
          <w:b w:val="1"/>
          <w:bCs w:val="1"/>
          <w:i w:val="1"/>
          <w:iCs w:val="1"/>
          <w:color w:val="auto"/>
        </w:rPr>
        <w:t>If we are unable to successfully develop companion diagnostic tests for our product candidates, experience significant delays in doing so, or rely on third parties in the development of such companion diagnostic tests, we may not realize the full commercial potential of our product candidates.</w:t>
      </w:r>
    </w:p>
    <w:p>
      <w:pPr>
        <w:spacing w:after="0" w:line="1" w:lineRule="exact"/>
        <w:rPr>
          <w:sz w:val="20"/>
          <w:szCs w:val="20"/>
          <w:color w:val="auto"/>
        </w:rPr>
      </w:pPr>
    </w:p>
    <w:p>
      <w:pPr>
        <w:ind w:right="20" w:firstLine="749"/>
        <w:spacing w:after="0" w:line="271" w:lineRule="auto"/>
        <w:rPr>
          <w:sz w:val="20"/>
          <w:szCs w:val="20"/>
          <w:color w:val="auto"/>
        </w:rPr>
      </w:pPr>
      <w:r>
        <w:rPr>
          <w:rFonts w:ascii="Arial" w:cs="Arial" w:eastAsia="Arial" w:hAnsi="Arial"/>
          <w:sz w:val="18"/>
          <w:szCs w:val="18"/>
          <w:color w:val="auto"/>
        </w:rPr>
        <w:t>We are exploring predictive biomarkers to determine patient selection for our clinical trials. Specifically, to help inform which patients may be most suitable for treatment with ORIC-101, we have developed a proprietary IHC assay that measures GR protein expression levels as well as a proprietary GR gene activation signature that measures GR signaling activity, both of which are being utilized in our ongoing clinical trials and may be used for patient selection in future clinical trials. If either of these approaches proves to be a useful method for patient selection, we expect to incorporate the specific diagnostic test into our registrational studies and partner with the appropriate diagnostic provider to co-develop a companion diagnostic. In general, the FDA expects to review and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6" w:name="page37"/>
    <w:bookmarkEnd w:id="36"/>
    <w:p>
      <w:pPr>
        <w:ind w:right="20"/>
        <w:spacing w:after="0" w:line="287" w:lineRule="auto"/>
        <w:rPr>
          <w:sz w:val="20"/>
          <w:szCs w:val="20"/>
          <w:color w:val="auto"/>
        </w:rPr>
      </w:pPr>
      <w:r>
        <w:rPr>
          <w:rFonts w:ascii="Arial" w:cs="Arial" w:eastAsia="Arial" w:hAnsi="Arial"/>
          <w:sz w:val="17"/>
          <w:szCs w:val="17"/>
          <w:color w:val="auto"/>
        </w:rPr>
        <w:t>approve simultaneously NDA and pre-market approval (PMA) submissions for a therapeutic and its companion diagnostic, respectively, so any delay in diagnostic approval could delay drug approval. 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w:t>
      </w:r>
    </w:p>
    <w:p>
      <w:pPr>
        <w:spacing w:after="0" w:line="70" w:lineRule="exact"/>
        <w:rPr>
          <w:sz w:val="20"/>
          <w:szCs w:val="20"/>
          <w:color w:val="auto"/>
        </w:rPr>
      </w:pPr>
    </w:p>
    <w:p>
      <w:pPr>
        <w:ind w:right="120" w:firstLine="749"/>
        <w:spacing w:after="0" w:line="292" w:lineRule="auto"/>
        <w:rPr>
          <w:sz w:val="20"/>
          <w:szCs w:val="20"/>
          <w:color w:val="auto"/>
        </w:rPr>
      </w:pPr>
      <w:r>
        <w:rPr>
          <w:rFonts w:ascii="Arial" w:cs="Arial" w:eastAsia="Arial" w:hAnsi="Arial"/>
          <w:sz w:val="17"/>
          <w:szCs w:val="17"/>
          <w:color w:val="auto"/>
        </w:rPr>
        <w:t>We may rely on third parties for the design, development and manufacture of companion diagnostic tests for our product candidates that require such tests. To be successful, we or our collaborators will need to address a number of scientific, technical, regulatory and logistical challenges. If we or such third parties are unable to successfully develop companion diagnostics, or experience delays in doing so, we may be unable to enroll enough patients for our current and planned clinical trials, the development of our product candidates may be adversely affected or we may not obtain marketing approval, and we may not realize the full commercial potential of our product candidates, including ORIC-101.</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expect to develop ORIC-101 and potentially other programs in combination with other therapies, which exposes us to additional risks.</w:t>
      </w:r>
    </w:p>
    <w:p>
      <w:pPr>
        <w:spacing w:after="0" w:line="142" w:lineRule="exact"/>
        <w:rPr>
          <w:sz w:val="20"/>
          <w:szCs w:val="20"/>
          <w:color w:val="auto"/>
        </w:rPr>
      </w:pPr>
    </w:p>
    <w:p>
      <w:pPr>
        <w:ind w:firstLine="749"/>
        <w:spacing w:after="0" w:line="306" w:lineRule="auto"/>
        <w:rPr>
          <w:sz w:val="20"/>
          <w:szCs w:val="20"/>
          <w:color w:val="auto"/>
        </w:rPr>
      </w:pPr>
      <w:r>
        <w:rPr>
          <w:rFonts w:ascii="Arial" w:cs="Arial" w:eastAsia="Arial" w:hAnsi="Arial"/>
          <w:sz w:val="16"/>
          <w:szCs w:val="16"/>
          <w:color w:val="auto"/>
        </w:rPr>
        <w:t>We intend to develop ORIC-101 and potentially other programs, in combination with one or more currently approved cancer therapies or therapies in development. In 2019, we initiated a Phase 1b clinical trial evaluating ORIC-101 in combination with nab-paclitaxel in patients with advanced or metastatic solid tumors. In 2019, we also initiated a Phase 1b clinical trial evaluating ORIC-101 in combination with enzalutamide in patients with metastatic prostate cancer. Patients may not be able to tolerate ORIC-101 or any of our other product candidates in combination with other therapies or dosing of ORIC-101 in combination with other therapies may have unexpected consequences. 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57" w:lineRule="exact"/>
        <w:rPr>
          <w:sz w:val="20"/>
          <w:szCs w:val="20"/>
          <w:color w:val="auto"/>
        </w:rPr>
      </w:pPr>
    </w:p>
    <w:p>
      <w:pPr>
        <w:ind w:right="300" w:firstLine="749"/>
        <w:spacing w:after="0" w:line="279" w:lineRule="auto"/>
        <w:rPr>
          <w:sz w:val="20"/>
          <w:szCs w:val="20"/>
          <w:color w:val="auto"/>
        </w:rPr>
      </w:pPr>
      <w:r>
        <w:rPr>
          <w:rFonts w:ascii="Arial" w:cs="Arial" w:eastAsia="Arial" w:hAnsi="Arial"/>
          <w:sz w:val="18"/>
          <w:szCs w:val="18"/>
          <w:color w:val="auto"/>
        </w:rPr>
        <w:t>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w:t>
      </w:r>
    </w:p>
    <w:p>
      <w:pPr>
        <w:spacing w:after="0" w:line="75" w:lineRule="exact"/>
        <w:rPr>
          <w:sz w:val="20"/>
          <w:szCs w:val="20"/>
          <w:color w:val="auto"/>
        </w:rPr>
      </w:pPr>
    </w:p>
    <w:p>
      <w:pPr>
        <w:ind w:right="40" w:firstLine="749"/>
        <w:spacing w:after="0" w:line="303" w:lineRule="auto"/>
        <w:rPr>
          <w:sz w:val="20"/>
          <w:szCs w:val="20"/>
          <w:color w:val="auto"/>
        </w:rPr>
      </w:pPr>
      <w:r>
        <w:rPr>
          <w:rFonts w:ascii="Arial" w:cs="Arial" w:eastAsia="Arial" w:hAnsi="Arial"/>
          <w:sz w:val="17"/>
          <w:szCs w:val="17"/>
          <w:color w:val="auto"/>
        </w:rPr>
        <w:t>If the FDA, EMA or other comparable foreign regulatory authorities do not approve or revoke their approval of these other therapies, or if safety, efficacy, commercial adoption, manufacturing or supply issues arise with the therapies we choose to evaluate in combination with ORIC-101 or any other product candidate, we may be unable to obtain approval of or successfully market any one or all of the product candidates we develop.</w:t>
      </w:r>
    </w:p>
    <w:p>
      <w:pPr>
        <w:spacing w:after="0" w:line="56" w:lineRule="exact"/>
        <w:rPr>
          <w:sz w:val="20"/>
          <w:szCs w:val="20"/>
          <w:color w:val="auto"/>
        </w:rPr>
      </w:pPr>
    </w:p>
    <w:p>
      <w:pPr>
        <w:ind w:right="20" w:firstLine="749"/>
        <w:spacing w:after="0" w:line="288" w:lineRule="auto"/>
        <w:rPr>
          <w:sz w:val="20"/>
          <w:szCs w:val="20"/>
          <w:color w:val="auto"/>
        </w:rPr>
      </w:pPr>
      <w:r>
        <w:rPr>
          <w:rFonts w:ascii="Arial" w:cs="Arial" w:eastAsia="Arial" w:hAnsi="Arial"/>
          <w:sz w:val="17"/>
          <w:szCs w:val="17"/>
          <w:color w:val="auto"/>
        </w:rPr>
        <w:t>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 For example, for our Phase 1b trial of ORIC-101 in combination with enzalutamide in prostate cancer, we entered into a clinical trial collaboration and supply agreement with Astellas. Under the terms of the clinical trial collaboration and supply agreement, Astellas, which jointly commercializes enzalutamide in the United States with Pfizer, is providing enzalutamide for the trial. If this agreement terminates and we are unable to obtain enzalutamide on the current terms, the cost to us to conduct this trial may significantly increase.</w:t>
      </w:r>
    </w:p>
    <w:p>
      <w:pPr>
        <w:spacing w:after="0" w:line="73" w:lineRule="exact"/>
        <w:rPr>
          <w:sz w:val="20"/>
          <w:szCs w:val="20"/>
          <w:color w:val="auto"/>
        </w:rPr>
      </w:pPr>
    </w:p>
    <w:p>
      <w:pPr>
        <w:ind w:right="360"/>
        <w:spacing w:after="0" w:line="394" w:lineRule="auto"/>
        <w:rPr>
          <w:sz w:val="20"/>
          <w:szCs w:val="20"/>
          <w:color w:val="auto"/>
        </w:rPr>
      </w:pPr>
      <w:r>
        <w:rPr>
          <w:rFonts w:ascii="Arial" w:cs="Arial" w:eastAsia="Arial" w:hAnsi="Arial"/>
          <w:sz w:val="15"/>
          <w:szCs w:val="15"/>
          <w:b w:val="1"/>
          <w:bCs w:val="1"/>
          <w:i w:val="1"/>
          <w:iCs w:val="1"/>
          <w:color w:val="auto"/>
        </w:rPr>
        <w:t>We have limited resources and are currently focusing our efforts on developing ORIC-101 for particular indications and advancing our preclinical programs. As a result, we may fail to capitalize on other indications or product candidates that may ultimately have proven to be more profitable.</w:t>
      </w:r>
    </w:p>
    <w:p>
      <w:pPr>
        <w:spacing w:after="0" w:line="1" w:lineRule="exact"/>
        <w:rPr>
          <w:sz w:val="20"/>
          <w:szCs w:val="20"/>
          <w:color w:val="auto"/>
        </w:rPr>
      </w:pPr>
    </w:p>
    <w:p>
      <w:pPr>
        <w:ind w:firstLine="749"/>
        <w:spacing w:after="0" w:line="311" w:lineRule="auto"/>
        <w:rPr>
          <w:sz w:val="20"/>
          <w:szCs w:val="20"/>
          <w:color w:val="auto"/>
        </w:rPr>
      </w:pPr>
      <w:r>
        <w:rPr>
          <w:rFonts w:ascii="Arial" w:cs="Arial" w:eastAsia="Arial" w:hAnsi="Arial"/>
          <w:sz w:val="16"/>
          <w:szCs w:val="16"/>
          <w:color w:val="auto"/>
        </w:rPr>
        <w:t>We are currently focusing our resources and efforts on developing ORIC-101 for particular indications and advancing our preclinical programs. As a result, because we have limited resources, we may forgo or delay pursuit of opportunities for other indications or with other product candidates that may have greater commercial potential. Our resource allocation decisions may cause us to fail to capitalize on viable commercial drugs or profitable market opportunities. Our spending on current and future research and development activities for ORIC-101, ORIC-533, ORIC-944, ORIC-114 and other preclinical programs, may not yield any commercially viable drugs. If we do not accurately evaluate the commercial potential or target markets for ORIC-101, ORIC-533, ORIC-944, ORIC-114 or any of our other programs, we may relinquish valuable rights to that product candidate or program through</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7" w:name="page38"/>
    <w:bookmarkEnd w:id="37"/>
    <w:p>
      <w:pPr>
        <w:ind w:right="420"/>
        <w:spacing w:after="0" w:line="293" w:lineRule="auto"/>
        <w:rPr>
          <w:sz w:val="20"/>
          <w:szCs w:val="20"/>
          <w:color w:val="auto"/>
        </w:rPr>
      </w:pPr>
      <w:r>
        <w:rPr>
          <w:rFonts w:ascii="Arial" w:cs="Arial" w:eastAsia="Arial" w:hAnsi="Arial"/>
          <w:sz w:val="18"/>
          <w:szCs w:val="18"/>
          <w:color w:val="auto"/>
        </w:rPr>
        <w:t>collaboration, licensing or other strategic arrangements in cases in which it would have been more advantageous for us to retain sole development and commercialization rights to such product candidate or program.</w:t>
      </w:r>
    </w:p>
    <w:p>
      <w:pPr>
        <w:spacing w:after="0" w:line="48" w:lineRule="exact"/>
        <w:rPr>
          <w:sz w:val="20"/>
          <w:szCs w:val="20"/>
          <w:color w:val="auto"/>
        </w:rPr>
      </w:pPr>
    </w:p>
    <w:p>
      <w:pPr>
        <w:spacing w:after="0" w:line="291" w:lineRule="auto"/>
        <w:rPr>
          <w:sz w:val="20"/>
          <w:szCs w:val="20"/>
          <w:color w:val="auto"/>
        </w:rPr>
      </w:pPr>
      <w:r>
        <w:rPr>
          <w:rFonts w:ascii="Arial" w:cs="Arial" w:eastAsia="Arial" w:hAnsi="Arial"/>
          <w:sz w:val="17"/>
          <w:szCs w:val="17"/>
          <w:b w:val="1"/>
          <w:bCs w:val="1"/>
          <w:i w:val="1"/>
          <w:iCs w:val="1"/>
          <w:color w:val="auto"/>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52" w:lineRule="exact"/>
        <w:rPr>
          <w:sz w:val="20"/>
          <w:szCs w:val="20"/>
          <w:color w:val="auto"/>
        </w:rPr>
      </w:pPr>
    </w:p>
    <w:p>
      <w:pPr>
        <w:ind w:firstLine="749"/>
        <w:spacing w:after="0" w:line="293"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and novel products and product candidates.</w:t>
      </w:r>
    </w:p>
    <w:p>
      <w:pPr>
        <w:spacing w:after="0" w:line="62" w:lineRule="exact"/>
        <w:rPr>
          <w:sz w:val="20"/>
          <w:szCs w:val="20"/>
          <w:color w:val="auto"/>
        </w:rPr>
      </w:pPr>
    </w:p>
    <w:p>
      <w:pPr>
        <w:ind w:right="40" w:firstLine="749"/>
        <w:spacing w:after="0" w:line="271" w:lineRule="auto"/>
        <w:rPr>
          <w:sz w:val="20"/>
          <w:szCs w:val="20"/>
          <w:color w:val="auto"/>
        </w:rPr>
      </w:pPr>
      <w:r>
        <w:rPr>
          <w:rFonts w:ascii="Arial" w:cs="Arial" w:eastAsia="Arial" w:hAnsi="Arial"/>
          <w:sz w:val="18"/>
          <w:szCs w:val="18"/>
          <w:color w:val="auto"/>
        </w:rPr>
        <w:t>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drugs physicians use off-label to treat the indications for which we seek approval. This may make it difficult for us to replace existing therapies with our products.</w:t>
      </w:r>
    </w:p>
    <w:p>
      <w:pPr>
        <w:spacing w:after="0" w:line="83" w:lineRule="exact"/>
        <w:rPr>
          <w:sz w:val="20"/>
          <w:szCs w:val="20"/>
          <w:color w:val="auto"/>
        </w:rPr>
      </w:pPr>
    </w:p>
    <w:p>
      <w:pPr>
        <w:ind w:right="60" w:firstLine="749"/>
        <w:spacing w:after="0" w:line="301" w:lineRule="auto"/>
        <w:rPr>
          <w:sz w:val="20"/>
          <w:szCs w:val="20"/>
          <w:color w:val="auto"/>
        </w:rPr>
      </w:pPr>
      <w:r>
        <w:rPr>
          <w:rFonts w:ascii="Arial" w:cs="Arial" w:eastAsia="Arial" w:hAnsi="Arial"/>
          <w:sz w:val="16"/>
          <w:szCs w:val="16"/>
          <w:color w:val="auto"/>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We expect to face competition from existing products and products in development for each of our programs. For ORIC-101, we are aware of several other clinical-stage GR antagonists being developed by Corcept Therapeutics. To our knowledge, there are no GR antagonists approved for the treatment of cancer and the most advanced GR antagonist in development for cancer is in a Phase 3 clinical trial. For ORIC-533, we are aware of several companies developing antibodies against this target, including AstraZeneca, Bristol-Myers Squibb, Novartis in collaboration with Surface Oncology, Incyte Corporation, Corvus Pharmaceuticals, Innate Pharma, Tracon Pharmaceuticals in collaboration with I-Mab Biopharma, Gilead Sciences, Akeso and Symphogen. Other companies, such as Arcus Biosciences, Calithera Biosciences and Merck through its acquisition of Peloton Therapeutics, have small-molecule programs against this target. For ORIC-944, we are aware of several companies developing inhibitors against PRC2 via EZH2 inhibition that are currently in clinical trials, including Epizyme, Constellation Pharmaceuticals, Daiichi Sankyo, Pfizer, Shanghai HaiHe Pharmaceutical and Jiangsu Hengrui Medicine Co. To our knowledge, only Novartis has an allosteric PRC2 inhibitor in a clinical trial for patients with cancer. For ORIC-114, we are aware of several companies developing inhibitors against exon 20 insertion mutations that are currently in clinical trials, including Takeda, Spectrum Pharmaceuticals, The Janssen Pharmaceutical Companies of Johnson &amp; Johnson, Rain Therapeutics, Dizal Pharmaceuticals Co., Ltd., Cullinan Oncology and Black Diamond Therapeutics.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8" w:name="page39"/>
    <w:bookmarkEnd w:id="38"/>
    <w:p>
      <w:pPr>
        <w:ind w:firstLine="749"/>
        <w:spacing w:after="0" w:line="308"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55" w:lineRule="exact"/>
        <w:rPr>
          <w:sz w:val="20"/>
          <w:szCs w:val="20"/>
          <w:color w:val="auto"/>
        </w:rPr>
      </w:pPr>
    </w:p>
    <w:p>
      <w:pPr>
        <w:ind w:right="500"/>
        <w:spacing w:after="0" w:line="279" w:lineRule="auto"/>
        <w:rPr>
          <w:sz w:val="20"/>
          <w:szCs w:val="20"/>
          <w:color w:val="auto"/>
        </w:rPr>
      </w:pPr>
      <w:r>
        <w:rPr>
          <w:rFonts w:ascii="Arial" w:cs="Arial" w:eastAsia="Arial" w:hAnsi="Arial"/>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75" w:lineRule="exact"/>
        <w:rPr>
          <w:sz w:val="20"/>
          <w:szCs w:val="20"/>
          <w:color w:val="auto"/>
        </w:rPr>
      </w:pPr>
    </w:p>
    <w:p>
      <w:pPr>
        <w:ind w:right="20" w:firstLine="749"/>
        <w:spacing w:after="0" w:line="305" w:lineRule="auto"/>
        <w:rPr>
          <w:sz w:val="20"/>
          <w:szCs w:val="20"/>
          <w:color w:val="auto"/>
        </w:rPr>
      </w:pPr>
      <w:r>
        <w:rPr>
          <w:rFonts w:ascii="Arial" w:cs="Arial" w:eastAsia="Arial" w:hAnsi="Arial"/>
          <w:sz w:val="16"/>
          <w:szCs w:val="16"/>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as well as sophisticated quality assurance and quality control procedures.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If our third-party manufacturers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31" w:lineRule="exact"/>
        <w:rPr>
          <w:sz w:val="20"/>
          <w:szCs w:val="20"/>
          <w:color w:val="auto"/>
        </w:rPr>
      </w:pPr>
    </w:p>
    <w:p>
      <w:pPr>
        <w:ind w:right="40" w:firstLine="749"/>
        <w:spacing w:after="0" w:line="269" w:lineRule="auto"/>
        <w:rPr>
          <w:sz w:val="20"/>
          <w:szCs w:val="20"/>
          <w:color w:val="auto"/>
        </w:rPr>
      </w:pPr>
      <w:r>
        <w:rPr>
          <w:rFonts w:ascii="Arial" w:cs="Arial" w:eastAsia="Arial" w:hAnsi="Arial"/>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we may introduce an alternative formulation of ORIC-101 into the dose expansion phases of our ongoing Phase 1b clinical trials.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88" w:lineRule="exact"/>
        <w:rPr>
          <w:sz w:val="20"/>
          <w:szCs w:val="20"/>
          <w:color w:val="auto"/>
        </w:rPr>
      </w:pPr>
    </w:p>
    <w:p>
      <w:pPr>
        <w:ind w:right="660"/>
        <w:spacing w:after="0" w:line="293"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2" w:lineRule="exact"/>
        <w:rPr>
          <w:sz w:val="20"/>
          <w:szCs w:val="20"/>
          <w:color w:val="auto"/>
        </w:rPr>
      </w:pPr>
    </w:p>
    <w:p>
      <w:pPr>
        <w:ind w:firstLine="749"/>
        <w:spacing w:after="0" w:line="279"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third-party payors and others in the medical community. The degree of market acceptance of any of our approved product candidates will depend on a number of factors, including:</w:t>
      </w:r>
    </w:p>
    <w:p>
      <w:pPr>
        <w:spacing w:after="0" w:line="75" w:lineRule="exact"/>
        <w:rPr>
          <w:sz w:val="20"/>
          <w:szCs w:val="20"/>
          <w:color w:val="auto"/>
        </w:rPr>
      </w:pPr>
    </w:p>
    <w:p>
      <w:pPr>
        <w:ind w:left="1200" w:right="2900"/>
        <w:spacing w:after="0" w:line="391" w:lineRule="auto"/>
        <w:rPr>
          <w:sz w:val="20"/>
          <w:szCs w:val="20"/>
          <w:color w:val="auto"/>
        </w:rPr>
      </w:pPr>
      <w:r>
        <w:rPr>
          <w:rFonts w:ascii="Arial" w:cs="Arial" w:eastAsia="Arial" w:hAnsi="Arial"/>
          <w:sz w:val="18"/>
          <w:szCs w:val="18"/>
          <w:color w:val="auto"/>
        </w:rPr>
        <w:t>the efficacy and safety profile as demonstrated in clinical trials compared to alternative treatments; the timing of market introduction of the product candidate as well as competitive products; the clinical indications for which a product candidate is approved;</w:t>
      </w:r>
    </w:p>
    <w:p>
      <w:pPr>
        <w:spacing w:after="0" w:line="1" w:lineRule="exact"/>
        <w:rPr>
          <w:sz w:val="20"/>
          <w:szCs w:val="20"/>
          <w:color w:val="auto"/>
        </w:rPr>
      </w:pPr>
    </w:p>
    <w:p>
      <w:pPr>
        <w:ind w:left="1200" w:right="180"/>
        <w:spacing w:after="0" w:line="279" w:lineRule="auto"/>
        <w:rPr>
          <w:sz w:val="20"/>
          <w:szCs w:val="20"/>
          <w:color w:val="auto"/>
        </w:rPr>
      </w:pPr>
      <w:r>
        <w:rPr>
          <w:rFonts w:ascii="Arial" w:cs="Arial" w:eastAsia="Arial" w:hAnsi="Arial"/>
          <w:sz w:val="18"/>
          <w:szCs w:val="18"/>
          <w:color w:val="auto"/>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7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potential and perceived advantages of our product candidates over alternative treatments;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cost of treatment in relation to alternative treatments;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availability of coverage and adequate reimbursement by third-party payors, including government authorities;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availability of an approved product candidate for use as a combination therapy;</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9" w:name="page40"/>
    <w:bookmarkEnd w:id="39"/>
    <w:p>
      <w:pPr>
        <w:ind w:left="1200"/>
        <w:spacing w:after="0"/>
        <w:rPr>
          <w:sz w:val="20"/>
          <w:szCs w:val="20"/>
          <w:color w:val="auto"/>
        </w:rPr>
      </w:pPr>
      <w:r>
        <w:rPr>
          <w:rFonts w:ascii="Arial" w:cs="Arial" w:eastAsia="Arial" w:hAnsi="Arial"/>
          <w:sz w:val="18"/>
          <w:szCs w:val="18"/>
          <w:color w:val="auto"/>
        </w:rPr>
        <w:t>relative convenience and ease of administration;</w:t>
      </w:r>
    </w:p>
    <w:p>
      <w:pPr>
        <w:spacing w:after="0" w:line="131" w:lineRule="exact"/>
        <w:rPr>
          <w:sz w:val="20"/>
          <w:szCs w:val="20"/>
          <w:color w:val="auto"/>
        </w:rPr>
      </w:pPr>
    </w:p>
    <w:p>
      <w:pPr>
        <w:ind w:left="1200" w:right="460"/>
        <w:spacing w:after="0" w:line="293" w:lineRule="auto"/>
        <w:rPr>
          <w:sz w:val="20"/>
          <w:szCs w:val="20"/>
          <w:color w:val="auto"/>
        </w:rPr>
      </w:pPr>
      <w:r>
        <w:rPr>
          <w:rFonts w:ascii="Arial" w:cs="Arial" w:eastAsia="Arial" w:hAnsi="Arial"/>
          <w:sz w:val="18"/>
          <w:szCs w:val="18"/>
          <w:color w:val="auto"/>
        </w:rPr>
        <w:t>the willingness of the target patient population to try new therapies and undergo required diagnostic screening to determine treatment eligibility and of physicians to prescribe these therapies and diagnostic tests;</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effectiveness of sales and marketing efforts;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unfavorable publicity relating to our product candidates; and</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approval of other new therapies for the same indications.</w:t>
      </w:r>
    </w:p>
    <w:p>
      <w:pPr>
        <w:spacing w:after="0" w:line="131" w:lineRule="exact"/>
        <w:rPr>
          <w:sz w:val="20"/>
          <w:szCs w:val="20"/>
          <w:color w:val="auto"/>
        </w:rPr>
      </w:pPr>
    </w:p>
    <w:p>
      <w:pPr>
        <w:ind w:right="100" w:firstLine="749"/>
        <w:spacing w:after="0" w:line="359" w:lineRule="auto"/>
        <w:rPr>
          <w:sz w:val="20"/>
          <w:szCs w:val="20"/>
          <w:color w:val="auto"/>
        </w:rPr>
      </w:pPr>
      <w:r>
        <w:rPr>
          <w:rFonts w:ascii="Arial" w:cs="Arial" w:eastAsia="Arial" w:hAnsi="Arial"/>
          <w:sz w:val="16"/>
          <w:szCs w:val="16"/>
          <w:color w:val="auto"/>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opportunities for ORIC-101 and other product candidates we develop, if approved, may be limited to certain smaller patient subsets.</w:t>
      </w:r>
    </w:p>
    <w:p>
      <w:pPr>
        <w:spacing w:after="0" w:line="154" w:lineRule="exact"/>
        <w:rPr>
          <w:sz w:val="20"/>
          <w:szCs w:val="20"/>
          <w:color w:val="auto"/>
        </w:rPr>
      </w:pPr>
    </w:p>
    <w:p>
      <w:pPr>
        <w:ind w:right="60" w:firstLine="749"/>
        <w:spacing w:after="0" w:line="290" w:lineRule="auto"/>
        <w:rPr>
          <w:sz w:val="20"/>
          <w:szCs w:val="20"/>
          <w:color w:val="auto"/>
        </w:rPr>
      </w:pPr>
      <w:r>
        <w:rPr>
          <w:rFonts w:ascii="Arial" w:cs="Arial" w:eastAsia="Arial" w:hAnsi="Arial"/>
          <w:sz w:val="17"/>
          <w:szCs w:val="17"/>
          <w:color w:val="auto"/>
        </w:rPr>
        <w:t>Cancer therapies are sometimes characterized as first-line, second-line or third-line, and the FDA often approves new therapies initially only for a particular line of use. When cancer is detected early enough, first-line therapy, such as chemotherapy, hormone therapy, surgery, radiation therapy or a combination of these, is sometimes adequate to cure the cancer or prolong life without a cure. Second- and third-line therapies are administered to patients when prior therapy is not effective. Our current clinical trials for ORIC-101 are with patients who have received one or more prior treatments. There is no guarantee that product candidates we develop, even if approved, would be approved for first-line therapy, and, prior to any such approvals, we may have to conduct additional clinical trials that may be costly, time-consuming and subject to risk.</w:t>
      </w:r>
    </w:p>
    <w:p>
      <w:pPr>
        <w:spacing w:after="0" w:line="68" w:lineRule="exact"/>
        <w:rPr>
          <w:sz w:val="20"/>
          <w:szCs w:val="20"/>
          <w:color w:val="auto"/>
        </w:rPr>
      </w:pPr>
    </w:p>
    <w:p>
      <w:pPr>
        <w:ind w:right="60" w:firstLine="749"/>
        <w:spacing w:after="0" w:line="269" w:lineRule="auto"/>
        <w:rPr>
          <w:sz w:val="20"/>
          <w:szCs w:val="20"/>
          <w:color w:val="auto"/>
        </w:rPr>
      </w:pPr>
      <w:r>
        <w:rPr>
          <w:rFonts w:ascii="Arial" w:cs="Arial" w:eastAsia="Arial" w:hAnsi="Arial"/>
          <w:sz w:val="18"/>
          <w:szCs w:val="18"/>
          <w:color w:val="auto"/>
        </w:rPr>
        <w:t>The number of patients who have the cancers we are targeting may turn out to be lower than expected. Additionally, the potentially addressable patient population for ORIC-101 and other product candidates we develop, including as a result of the selection of patients with specific biomarkers, levels of GR expression or gene activity, may be limited or may not be amenable to treatment with our product candidates. We have developed a proprietary IHC assay that measures GR protein expression levels as well as a proprietary GR gene activation signature that measures GR signaling activity, both of which are being utilized in our ongoing clinical trials and may be used for patient selection in future clinical trials. We are continuing to evaluate the appropriate levels of GR protein overexpression for determining which patients may be eligible for treatment. Regulatory approval may limit the market of a product candidate to target patient populations when such biomarker-driven identification and/or highly specific criteria related to the stage of disease progression are utilized.</w:t>
      </w:r>
    </w:p>
    <w:p>
      <w:pPr>
        <w:spacing w:after="0" w:line="88" w:lineRule="exact"/>
        <w:rPr>
          <w:sz w:val="20"/>
          <w:szCs w:val="20"/>
          <w:color w:val="auto"/>
        </w:rPr>
      </w:pPr>
    </w:p>
    <w:p>
      <w:pPr>
        <w:ind w:right="700" w:firstLine="749"/>
        <w:spacing w:after="0" w:line="293" w:lineRule="auto"/>
        <w:rPr>
          <w:sz w:val="20"/>
          <w:szCs w:val="20"/>
          <w:color w:val="auto"/>
        </w:rPr>
      </w:pPr>
      <w:r>
        <w:rPr>
          <w:rFonts w:ascii="Arial" w:cs="Arial" w:eastAsia="Arial" w:hAnsi="Arial"/>
          <w:sz w:val="18"/>
          <w:szCs w:val="18"/>
          <w:color w:val="auto"/>
        </w:rPr>
        <w:t>Even if we obtain significant market share for any approved product, if the potential target populations are small, we may never achieve profitability without obtaining marketing approval for additional indications.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augmenting our product pipeline through acquisitions and in-licenses.</w:t>
      </w:r>
    </w:p>
    <w:p>
      <w:pPr>
        <w:spacing w:after="0" w:line="131"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auto"/>
        </w:rPr>
        <w:t>We believe that accessing external innovation and expertise is important to our success; and while we plan to leverage our leadership team’s prior business development experience as we evaluate potential in-licensing and acquisition opportunities to further expand our portfolio, we may not be able to identify suitable licensing or acquisition opportunities, and even if 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license or acquire additional product candidates to expand our portfolio, our pipeline, competitive position, business, financial condition, results of operations, and prospects may be materially harmed.</w:t>
      </w:r>
    </w:p>
    <w:p>
      <w:pPr>
        <w:spacing w:after="0" w:line="74" w:lineRule="exact"/>
        <w:rPr>
          <w:sz w:val="20"/>
          <w:szCs w:val="20"/>
          <w:color w:val="auto"/>
        </w:rPr>
      </w:pPr>
    </w:p>
    <w:p>
      <w:pPr>
        <w:ind w:right="860"/>
        <w:spacing w:after="0" w:line="293" w:lineRule="auto"/>
        <w:rPr>
          <w:sz w:val="20"/>
          <w:szCs w:val="20"/>
          <w:color w:val="auto"/>
        </w:rPr>
      </w:pPr>
      <w:r>
        <w:rPr>
          <w:rFonts w:ascii="Arial" w:cs="Arial" w:eastAsia="Arial" w:hAnsi="Arial"/>
          <w:sz w:val="18"/>
          <w:szCs w:val="18"/>
          <w:b w:val="1"/>
          <w:bCs w:val="1"/>
          <w:i w:val="1"/>
          <w:iCs w:val="1"/>
          <w:color w:val="auto"/>
        </w:rPr>
        <w:t>Any product candidates we develop may become subject to unfavorable third-party coverage and reimbursement practices, as well as pricing regulations.</w:t>
      </w:r>
    </w:p>
    <w:p>
      <w:pPr>
        <w:spacing w:after="0" w:line="62" w:lineRule="exact"/>
        <w:rPr>
          <w:sz w:val="20"/>
          <w:szCs w:val="20"/>
          <w:color w:val="auto"/>
        </w:rPr>
      </w:pPr>
    </w:p>
    <w:p>
      <w:pPr>
        <w:ind w:right="60" w:firstLine="749"/>
        <w:spacing w:after="0" w:line="309" w:lineRule="auto"/>
        <w:rPr>
          <w:sz w:val="20"/>
          <w:szCs w:val="20"/>
          <w:color w:val="auto"/>
        </w:rPr>
      </w:pPr>
      <w:r>
        <w:rPr>
          <w:rFonts w:ascii="Arial" w:cs="Arial" w:eastAsia="Arial" w:hAnsi="Arial"/>
          <w:sz w:val="16"/>
          <w:szCs w:val="16"/>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0" w:name="page41"/>
    <w:bookmarkEnd w:id="40"/>
    <w:p>
      <w:pPr>
        <w:ind w:right="320"/>
        <w:spacing w:after="0" w:line="293" w:lineRule="auto"/>
        <w:rPr>
          <w:sz w:val="20"/>
          <w:szCs w:val="20"/>
          <w:color w:val="auto"/>
        </w:rPr>
      </w:pPr>
      <w:r>
        <w:rPr>
          <w:rFonts w:ascii="Arial" w:cs="Arial" w:eastAsia="Arial" w:hAnsi="Arial"/>
          <w:sz w:val="18"/>
          <w:szCs w:val="18"/>
          <w:color w:val="auto"/>
        </w:rPr>
        <w:t>coverage and reimbursement are not available or reimbursement is available only to limited levels, we may not successfully commercialize any product candidate for which we obtain marketing approval.</w:t>
      </w:r>
    </w:p>
    <w:p>
      <w:pPr>
        <w:spacing w:after="0" w:line="62" w:lineRule="exact"/>
        <w:rPr>
          <w:sz w:val="20"/>
          <w:szCs w:val="20"/>
          <w:color w:val="auto"/>
        </w:rPr>
      </w:pPr>
    </w:p>
    <w:p>
      <w:pPr>
        <w:ind w:firstLine="749"/>
        <w:spacing w:after="0" w:line="269"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88" w:lineRule="exact"/>
        <w:rPr>
          <w:sz w:val="20"/>
          <w:szCs w:val="20"/>
          <w:color w:val="auto"/>
        </w:rPr>
      </w:pPr>
    </w:p>
    <w:p>
      <w:pPr>
        <w:ind w:right="100" w:firstLine="749"/>
        <w:spacing w:after="0" w:line="269"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88" w:lineRule="exact"/>
        <w:rPr>
          <w:sz w:val="20"/>
          <w:szCs w:val="20"/>
          <w:color w:val="auto"/>
        </w:rPr>
      </w:pPr>
    </w:p>
    <w:p>
      <w:pPr>
        <w:ind w:right="100" w:firstLine="749"/>
        <w:spacing w:after="0" w:line="272" w:lineRule="auto"/>
        <w:rPr>
          <w:sz w:val="20"/>
          <w:szCs w:val="20"/>
          <w:color w:val="auto"/>
        </w:rPr>
      </w:pPr>
      <w:r>
        <w:rPr>
          <w:rFonts w:ascii="Arial" w:cs="Arial" w:eastAsia="Arial" w:hAnsi="Arial"/>
          <w:sz w:val="18"/>
          <w:szCs w:val="18"/>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83" w:lineRule="exact"/>
        <w:rPr>
          <w:sz w:val="20"/>
          <w:szCs w:val="20"/>
          <w:color w:val="auto"/>
        </w:rPr>
      </w:pPr>
    </w:p>
    <w:p>
      <w:pPr>
        <w:ind w:right="40" w:firstLine="749"/>
        <w:spacing w:after="0" w:line="306" w:lineRule="auto"/>
        <w:rPr>
          <w:sz w:val="20"/>
          <w:szCs w:val="20"/>
          <w:color w:val="auto"/>
        </w:rPr>
      </w:pPr>
      <w:r>
        <w:rPr>
          <w:rFonts w:ascii="Arial" w:cs="Arial" w:eastAsia="Arial" w:hAnsi="Arial"/>
          <w:sz w:val="16"/>
          <w:szCs w:val="16"/>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57" w:lineRule="exact"/>
        <w:rPr>
          <w:sz w:val="20"/>
          <w:szCs w:val="20"/>
          <w:color w:val="auto"/>
        </w:rPr>
      </w:pPr>
    </w:p>
    <w:p>
      <w:pPr>
        <w:ind w:right="40" w:firstLine="749"/>
        <w:spacing w:after="0" w:line="272"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83"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62" w:lineRule="exact"/>
        <w:rPr>
          <w:sz w:val="20"/>
          <w:szCs w:val="20"/>
          <w:color w:val="auto"/>
        </w:rPr>
      </w:pPr>
    </w:p>
    <w:p>
      <w:pPr>
        <w:ind w:right="140" w:firstLine="749"/>
        <w:spacing w:after="0" w:line="286" w:lineRule="auto"/>
        <w:rPr>
          <w:sz w:val="20"/>
          <w:szCs w:val="20"/>
          <w:color w:val="auto"/>
        </w:rPr>
      </w:pPr>
      <w:r>
        <w:rPr>
          <w:rFonts w:ascii="Arial" w:cs="Arial" w:eastAsia="Arial" w:hAnsi="Arial"/>
          <w:sz w:val="17"/>
          <w:szCs w:val="17"/>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 regulatory authority investigation of the safety and effectiveness of our products, our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1" w:name="page42"/>
    <w:bookmarkEnd w:id="41"/>
    <w:p>
      <w:pPr>
        <w:ind w:right="140"/>
        <w:spacing w:after="0" w:line="293" w:lineRule="auto"/>
        <w:rPr>
          <w:sz w:val="20"/>
          <w:szCs w:val="20"/>
          <w:color w:val="auto"/>
        </w:rPr>
      </w:pPr>
      <w:r>
        <w:rPr>
          <w:rFonts w:ascii="Arial" w:cs="Arial" w:eastAsia="Arial" w:hAnsi="Arial"/>
          <w:sz w:val="18"/>
          <w:szCs w:val="18"/>
          <w:color w:val="auto"/>
        </w:rPr>
        <w:t>a result, we may be unable to obtain sufficient insurance at a reasonable cost to protect us against losses caused by product liability claims that could have an adverse effect on our business and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obtain U.S. or foreign regulatory approval and, as a result, may be unable to commercialize our product candidates.</w:t>
      </w:r>
    </w:p>
    <w:p>
      <w:pPr>
        <w:spacing w:after="0" w:line="142" w:lineRule="exact"/>
        <w:rPr>
          <w:sz w:val="20"/>
          <w:szCs w:val="20"/>
          <w:color w:val="auto"/>
        </w:rPr>
      </w:pPr>
    </w:p>
    <w:p>
      <w:pPr>
        <w:ind w:right="100" w:firstLine="749"/>
        <w:spacing w:after="0" w:line="311" w:lineRule="auto"/>
        <w:rPr>
          <w:sz w:val="20"/>
          <w:szCs w:val="20"/>
          <w:color w:val="auto"/>
        </w:rPr>
      </w:pPr>
      <w:r>
        <w:rPr>
          <w:rFonts w:ascii="Arial" w:cs="Arial" w:eastAsia="Arial" w:hAnsi="Arial"/>
          <w:sz w:val="16"/>
          <w:szCs w:val="16"/>
          <w:color w:val="auto"/>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55" w:lineRule="exact"/>
        <w:rPr>
          <w:sz w:val="20"/>
          <w:szCs w:val="20"/>
          <w:color w:val="auto"/>
        </w:rPr>
      </w:pPr>
    </w:p>
    <w:p>
      <w:pPr>
        <w:ind w:right="20" w:firstLine="749"/>
        <w:spacing w:after="0" w:line="270" w:lineRule="auto"/>
        <w:rPr>
          <w:sz w:val="20"/>
          <w:szCs w:val="20"/>
          <w:color w:val="auto"/>
        </w:rPr>
      </w:pPr>
      <w:r>
        <w:rPr>
          <w:rFonts w:ascii="Arial" w:cs="Arial" w:eastAsia="Arial" w:hAnsi="Arial"/>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w:t>
      </w:r>
    </w:p>
    <w:p>
      <w:pPr>
        <w:spacing w:after="0" w:line="84" w:lineRule="exact"/>
        <w:rPr>
          <w:sz w:val="20"/>
          <w:szCs w:val="20"/>
          <w:color w:val="auto"/>
        </w:rPr>
      </w:pPr>
    </w:p>
    <w:p>
      <w:pPr>
        <w:ind w:right="20" w:firstLine="749"/>
        <w:spacing w:after="0" w:line="287" w:lineRule="auto"/>
        <w:rPr>
          <w:sz w:val="20"/>
          <w:szCs w:val="20"/>
          <w:color w:val="auto"/>
        </w:rPr>
      </w:pPr>
      <w:r>
        <w:rPr>
          <w:rFonts w:ascii="Arial" w:cs="Arial" w:eastAsia="Arial" w:hAnsi="Arial"/>
          <w:sz w:val="17"/>
          <w:szCs w:val="17"/>
          <w:color w:val="auto"/>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74" w:lineRule="exact"/>
        <w:rPr>
          <w:sz w:val="20"/>
          <w:szCs w:val="20"/>
          <w:color w:val="auto"/>
        </w:rPr>
      </w:pPr>
    </w:p>
    <w:p>
      <w:pPr>
        <w:jc w:val="both"/>
        <w:ind w:right="20" w:firstLine="749"/>
        <w:spacing w:after="0" w:line="296" w:lineRule="auto"/>
        <w:rPr>
          <w:sz w:val="20"/>
          <w:szCs w:val="20"/>
          <w:color w:val="auto"/>
        </w:rPr>
      </w:pPr>
      <w:r>
        <w:rPr>
          <w:rFonts w:ascii="Arial" w:cs="Arial" w:eastAsia="Arial" w:hAnsi="Arial"/>
          <w:sz w:val="17"/>
          <w:szCs w:val="17"/>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62" w:lineRule="exact"/>
        <w:rPr>
          <w:sz w:val="20"/>
          <w:szCs w:val="20"/>
          <w:color w:val="auto"/>
        </w:rPr>
      </w:pPr>
    </w:p>
    <w:p>
      <w:pPr>
        <w:ind w:right="900"/>
        <w:spacing w:after="0" w:line="293" w:lineRule="auto"/>
        <w:rPr>
          <w:sz w:val="20"/>
          <w:szCs w:val="20"/>
          <w:color w:val="auto"/>
        </w:rPr>
      </w:pPr>
      <w:r>
        <w:rPr>
          <w:rFonts w:ascii="Arial" w:cs="Arial" w:eastAsia="Arial" w:hAnsi="Arial"/>
          <w:sz w:val="18"/>
          <w:szCs w:val="18"/>
          <w:b w:val="1"/>
          <w:bCs w:val="1"/>
          <w:i w:val="1"/>
          <w:iCs w:val="1"/>
          <w:color w:val="auto"/>
        </w:rPr>
        <w:t>The FDA, EMA and other comparable foreign regulatory authorities may not accept data from trials conducted in locations outside of their jurisdiction.</w:t>
      </w:r>
    </w:p>
    <w:p>
      <w:pPr>
        <w:spacing w:after="0" w:line="62" w:lineRule="exact"/>
        <w:rPr>
          <w:sz w:val="20"/>
          <w:szCs w:val="20"/>
          <w:color w:val="auto"/>
        </w:rPr>
      </w:pPr>
    </w:p>
    <w:p>
      <w:pPr>
        <w:ind w:right="40" w:firstLine="749"/>
        <w:spacing w:after="0" w:line="308" w:lineRule="auto"/>
        <w:rPr>
          <w:sz w:val="20"/>
          <w:szCs w:val="20"/>
          <w:color w:val="auto"/>
        </w:rPr>
      </w:pPr>
      <w:r>
        <w:rPr>
          <w:rFonts w:ascii="Arial" w:cs="Arial" w:eastAsia="Arial" w:hAnsi="Arial"/>
          <w:sz w:val="16"/>
          <w:szCs w:val="16"/>
          <w:color w:val="auto"/>
        </w:rPr>
        <w:t>Our ongoing clinical trials are being undertaken in the United States. We may choose to conduct additional clinical trials internationally. For example, we conducted a Phase 1a healthy volunteer trial of ORIC-101 in the United Kingdom.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marketing approval in the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55" w:lineRule="exact"/>
        <w:rPr>
          <w:sz w:val="20"/>
          <w:szCs w:val="20"/>
          <w:color w:val="auto"/>
        </w:rPr>
      </w:pPr>
    </w:p>
    <w:p>
      <w:pPr>
        <w:ind w:firstLine="749"/>
        <w:spacing w:after="0" w:line="311" w:lineRule="auto"/>
        <w:rPr>
          <w:sz w:val="20"/>
          <w:szCs w:val="20"/>
          <w:color w:val="auto"/>
        </w:rPr>
      </w:pPr>
      <w:r>
        <w:rPr>
          <w:rFonts w:ascii="Arial" w:cs="Arial" w:eastAsia="Arial" w:hAnsi="Arial"/>
          <w:sz w:val="16"/>
          <w:szCs w:val="16"/>
          <w:color w:val="auto"/>
        </w:rPr>
        <w:t>Brexit and uncertainty in the regulatory framework as well as future legislation in the UK, European Union, and other jurisdictions can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Uncertainty in the regulatory framework could also result in disruption to the supply and distribution as well as the import/export both of active pharmaceutical ingredients and finished product. Such a disruption could create supply difficulties for ongoing clinical trials. The cumulative effects of the disruption to the regulatory framework, uncertainty in future regulation, and changes to existing regulations may increase our development lead time to marketing</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2" w:name="page43"/>
    <w:bookmarkEnd w:id="42"/>
    <w:p>
      <w:pPr>
        <w:spacing w:after="0" w:line="293" w:lineRule="auto"/>
        <w:rPr>
          <w:sz w:val="20"/>
          <w:szCs w:val="20"/>
          <w:color w:val="auto"/>
        </w:rPr>
      </w:pPr>
      <w:r>
        <w:rPr>
          <w:rFonts w:ascii="Arial" w:cs="Arial" w:eastAsia="Arial" w:hAnsi="Arial"/>
          <w:sz w:val="18"/>
          <w:szCs w:val="18"/>
          <w:color w:val="auto"/>
        </w:rPr>
        <w:t>authorization and commercialization of products in the European Union and/or the United Kingdom and increase our costs. We cannot predict the impact of such changes and future regulation on our business or the results of our operations.</w:t>
      </w:r>
    </w:p>
    <w:p>
      <w:pPr>
        <w:spacing w:after="0" w:line="62"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firstLine="749"/>
        <w:spacing w:after="0" w:line="308"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55" w:lineRule="exact"/>
        <w:rPr>
          <w:sz w:val="20"/>
          <w:szCs w:val="20"/>
          <w:color w:val="auto"/>
        </w:rPr>
      </w:pPr>
    </w:p>
    <w:p>
      <w:pPr>
        <w:ind w:right="300" w:firstLine="749"/>
        <w:spacing w:after="0" w:line="296" w:lineRule="auto"/>
        <w:rPr>
          <w:sz w:val="20"/>
          <w:szCs w:val="20"/>
          <w:color w:val="auto"/>
        </w:rPr>
      </w:pPr>
      <w:r>
        <w:rPr>
          <w:rFonts w:ascii="Arial" w:cs="Arial" w:eastAsia="Arial" w:hAnsi="Arial"/>
          <w:sz w:val="17"/>
          <w:szCs w:val="17"/>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Even if our product candidates receive regulatory approval, they will be subject to significant post-marketing regulatory requirements and oversight.</w:t>
      </w:r>
    </w:p>
    <w:p>
      <w:pPr>
        <w:spacing w:after="0" w:line="165" w:lineRule="exact"/>
        <w:rPr>
          <w:sz w:val="20"/>
          <w:szCs w:val="20"/>
          <w:color w:val="auto"/>
        </w:rPr>
      </w:pPr>
    </w:p>
    <w:p>
      <w:pPr>
        <w:ind w:right="20" w:firstLine="749"/>
        <w:spacing w:after="0" w:line="303" w:lineRule="auto"/>
        <w:rPr>
          <w:sz w:val="20"/>
          <w:szCs w:val="20"/>
          <w:color w:val="auto"/>
        </w:rPr>
      </w:pPr>
      <w:r>
        <w:rPr>
          <w:rFonts w:ascii="Arial" w:cs="Arial" w:eastAsia="Arial" w:hAnsi="Arial"/>
          <w:sz w:val="16"/>
          <w:szCs w:val="16"/>
          <w:color w:val="auto"/>
        </w:rPr>
        <w:t>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(cGMPs) and good clinical practices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6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delays in or the rejection of product approvals;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restrictions on the products, manufacturers or manufacturing process;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warning or untitled letters;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civil and criminal penalties;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injunctions;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suspension or withdrawal of regulatory approvals;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product seizures, detentions or import bans;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voluntary or mandatory product recalls and publicity requirements;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total or partial suspension of production; and</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imposition of restrictions on operations, including costly new manufacturing requirements.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3" w:name="page44"/>
    <w:bookmarkEnd w:id="43"/>
    <w:p>
      <w:pPr>
        <w:ind w:firstLine="749"/>
        <w:spacing w:after="0" w:line="275" w:lineRule="auto"/>
        <w:rPr>
          <w:sz w:val="20"/>
          <w:szCs w:val="20"/>
          <w:color w:val="auto"/>
        </w:rPr>
      </w:pPr>
      <w:r>
        <w:rPr>
          <w:rFonts w:ascii="Arial" w:cs="Arial" w:eastAsia="Arial" w:hAnsi="Arial"/>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77" w:lineRule="exact"/>
        <w:rPr>
          <w:sz w:val="20"/>
          <w:szCs w:val="20"/>
          <w:color w:val="auto"/>
        </w:rPr>
      </w:pPr>
    </w:p>
    <w:p>
      <w:pPr>
        <w:ind w:right="560" w:firstLine="749"/>
        <w:spacing w:after="0" w:line="293"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if approved, and generate revenue.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31" w:lineRule="exact"/>
        <w:rPr>
          <w:sz w:val="20"/>
          <w:szCs w:val="20"/>
          <w:color w:val="auto"/>
        </w:rPr>
      </w:pPr>
    </w:p>
    <w:p>
      <w:pPr>
        <w:ind w:right="40" w:firstLine="749"/>
        <w:spacing w:after="0" w:line="286" w:lineRule="auto"/>
        <w:rPr>
          <w:sz w:val="20"/>
          <w:szCs w:val="20"/>
          <w:color w:val="auto"/>
        </w:rPr>
      </w:pPr>
      <w:r>
        <w:rPr>
          <w:rFonts w:ascii="Arial" w:cs="Arial" w:eastAsia="Arial" w:hAnsi="Arial"/>
          <w:sz w:val="17"/>
          <w:szCs w:val="17"/>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For example, if we receive marketing approval for ORIC-101 as a treatment for metastatic prostate cancer, physicians may nevertheless use our product for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74" w:lineRule="exact"/>
        <w:rPr>
          <w:sz w:val="20"/>
          <w:szCs w:val="20"/>
          <w:color w:val="auto"/>
        </w:rPr>
      </w:pPr>
    </w:p>
    <w:p>
      <w:pPr>
        <w:ind w:right="380"/>
        <w:spacing w:after="0" w:line="303" w:lineRule="auto"/>
        <w:rPr>
          <w:sz w:val="20"/>
          <w:szCs w:val="20"/>
          <w:color w:val="auto"/>
        </w:rPr>
      </w:pPr>
      <w:r>
        <w:rPr>
          <w:rFonts w:ascii="Arial" w:cs="Arial" w:eastAsia="Arial" w:hAnsi="Arial"/>
          <w:sz w:val="17"/>
          <w:szCs w:val="17"/>
          <w:b w:val="1"/>
          <w:bCs w:val="1"/>
          <w:i w:val="1"/>
          <w:iCs w:val="1"/>
          <w:color w:val="auto"/>
        </w:rPr>
        <w:t>If we are required by the FDA to obtain approval of a companion diagnostic test in connection with approval of any of our product candidates or a group of therapeutic products, and we do not obtain or we face delays in obtaining FDA approval of a diagnostic test, we will not be able to commercialize the product candidate and our ability to generate revenue will be materially impaired.</w:t>
      </w:r>
    </w:p>
    <w:p>
      <w:pPr>
        <w:spacing w:after="0" w:line="56" w:lineRule="exact"/>
        <w:rPr>
          <w:sz w:val="20"/>
          <w:szCs w:val="20"/>
          <w:color w:val="auto"/>
        </w:rPr>
      </w:pPr>
    </w:p>
    <w:p>
      <w:pPr>
        <w:ind w:right="40" w:firstLine="749"/>
        <w:spacing w:after="0" w:line="285" w:lineRule="auto"/>
        <w:rPr>
          <w:sz w:val="20"/>
          <w:szCs w:val="20"/>
          <w:color w:val="auto"/>
        </w:rPr>
      </w:pPr>
      <w:r>
        <w:rPr>
          <w:rFonts w:ascii="Arial" w:cs="Arial" w:eastAsia="Arial" w:hAnsi="Arial"/>
          <w:sz w:val="17"/>
          <w:szCs w:val="17"/>
          <w:color w:val="auto"/>
        </w:rPr>
        <w:t xml:space="preserve">To help inform which patients may be most suitable for treatment with ORIC-101, we have developed a proprietary IHC assay that measures GR protein expression levels as well as a proprietary GR gene activation signature that measures GR signaling activity, both of which are being utilized in our ongoing Phase 1b clinical studies and may be used for patient selection in future clinical studies. Additionally, in connection with development of our potential product candidates,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our product candidates. To be successful in developing and commercializing product candidates in combination with these companion diagnostics, we or our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diagnostics as medical devices and, under those regulatory frameworks, will likely require the conduct of clinical trials to demonstrate the safety and effectiveness of our current diagnostics and any future diagnostics we may develop, which we expect will require separate regulatory clearance or approval prior to commercialization.</w:t>
      </w:r>
    </w:p>
    <w:p>
      <w:pPr>
        <w:spacing w:after="0" w:line="71" w:lineRule="exact"/>
        <w:rPr>
          <w:sz w:val="20"/>
          <w:szCs w:val="20"/>
          <w:color w:val="auto"/>
        </w:rPr>
      </w:pPr>
    </w:p>
    <w:p>
      <w:pPr>
        <w:ind w:firstLine="749"/>
        <w:spacing w:after="0" w:line="284" w:lineRule="auto"/>
        <w:rPr>
          <w:sz w:val="20"/>
          <w:szCs w:val="20"/>
          <w:color w:val="auto"/>
        </w:rPr>
      </w:pPr>
      <w:r>
        <w:rPr>
          <w:rFonts w:ascii="Arial" w:cs="Arial" w:eastAsia="Arial" w:hAnsi="Arial"/>
          <w:sz w:val="17"/>
          <w:szCs w:val="17"/>
          <w:color w:val="auto"/>
        </w:rPr>
        <w:t>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of our product candidates, whether before or concurrently with approval of the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our related product candidates.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 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4" w:name="page45"/>
    <w:bookmarkEnd w:id="44"/>
    <w:p>
      <w:pPr>
        <w:ind w:right="40"/>
        <w:spacing w:after="0" w:line="285" w:lineRule="auto"/>
        <w:rPr>
          <w:sz w:val="20"/>
          <w:szCs w:val="20"/>
          <w:color w:val="auto"/>
        </w:rPr>
      </w:pPr>
      <w:r>
        <w:rPr>
          <w:rFonts w:ascii="Arial" w:cs="Arial" w:eastAsia="Arial" w:hAnsi="Arial"/>
          <w:sz w:val="17"/>
          <w:szCs w:val="17"/>
          <w:color w:val="auto"/>
        </w:rPr>
        <w:t>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our product candidates, or experience delays in doing so, the development of our product candidates may be adversely affected, our product candidates may not obtain marketing approval, and we may not realize the full commercial potential of any of our product candidates that obtain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74" w:lineRule="exact"/>
        <w:rPr>
          <w:sz w:val="20"/>
          <w:szCs w:val="20"/>
          <w:color w:val="auto"/>
        </w:rPr>
      </w:pPr>
    </w:p>
    <w:p>
      <w:pPr>
        <w:ind w:right="200"/>
        <w:spacing w:after="0" w:line="359" w:lineRule="auto"/>
        <w:rPr>
          <w:sz w:val="20"/>
          <w:szCs w:val="20"/>
          <w:color w:val="auto"/>
        </w:rPr>
      </w:pPr>
      <w:r>
        <w:rPr>
          <w:rFonts w:ascii="Arial" w:cs="Arial" w:eastAsia="Arial" w:hAnsi="Arial"/>
          <w:sz w:val="16"/>
          <w:szCs w:val="16"/>
          <w:b w:val="1"/>
          <w:bCs w:val="1"/>
          <w:i w:val="1"/>
          <w:iCs w:val="1"/>
          <w:color w:val="auto"/>
        </w:rPr>
        <w:t>We may seek Fast Track designation from the FDA for one or more of our product candidates. Even if one or more of our product candidates receive Fast Track designation, we may be unable to obtain or maintain the benefits associated with the Fast Track designation.</w:t>
      </w:r>
    </w:p>
    <w:p>
      <w:pPr>
        <w:spacing w:after="0" w:line="17" w:lineRule="exact"/>
        <w:rPr>
          <w:sz w:val="20"/>
          <w:szCs w:val="20"/>
          <w:color w:val="auto"/>
        </w:rPr>
      </w:pPr>
    </w:p>
    <w:p>
      <w:pPr>
        <w:ind w:firstLine="749"/>
        <w:spacing w:after="0" w:line="288" w:lineRule="auto"/>
        <w:rPr>
          <w:sz w:val="20"/>
          <w:szCs w:val="20"/>
          <w:color w:val="auto"/>
        </w:rPr>
      </w:pPr>
      <w:r>
        <w:rPr>
          <w:rFonts w:ascii="Arial" w:cs="Arial" w:eastAsia="Arial" w:hAnsi="Arial"/>
          <w:sz w:val="17"/>
          <w:szCs w:val="17"/>
          <w:color w:val="auto"/>
        </w:rPr>
        <w:t>Fast Track designation is designed to facilitate the development and expedite the review of therapies for serious conditions and fill an unmet medical need.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does not change the standards for approval. Fast Track designation alone does not guarantee qualification for the FDA’s priority review procedures.</w:t>
      </w:r>
    </w:p>
    <w:p>
      <w:pPr>
        <w:spacing w:after="0" w:line="59" w:lineRule="exact"/>
        <w:rPr>
          <w:sz w:val="20"/>
          <w:szCs w:val="20"/>
          <w:color w:val="auto"/>
        </w:rPr>
      </w:pPr>
    </w:p>
    <w:p>
      <w:pPr>
        <w:ind w:right="320"/>
        <w:spacing w:after="0" w:line="324" w:lineRule="auto"/>
        <w:rPr>
          <w:sz w:val="20"/>
          <w:szCs w:val="20"/>
          <w:color w:val="auto"/>
        </w:rPr>
      </w:pPr>
      <w:r>
        <w:rPr>
          <w:rFonts w:ascii="Arial" w:cs="Arial" w:eastAsia="Arial" w:hAnsi="Arial"/>
          <w:sz w:val="16"/>
          <w:szCs w:val="16"/>
          <w:b w:val="1"/>
          <w:bCs w:val="1"/>
          <w:i w:val="1"/>
          <w:iCs w:val="1"/>
          <w:color w:val="auto"/>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spacing w:after="0" w:line="30" w:lineRule="exact"/>
        <w:rPr>
          <w:sz w:val="20"/>
          <w:szCs w:val="20"/>
          <w:color w:val="auto"/>
        </w:rPr>
      </w:pPr>
    </w:p>
    <w:p>
      <w:pPr>
        <w:ind w:right="20" w:firstLine="749"/>
        <w:spacing w:after="0" w:line="290" w:lineRule="auto"/>
        <w:rPr>
          <w:sz w:val="20"/>
          <w:szCs w:val="20"/>
          <w:color w:val="auto"/>
        </w:rPr>
      </w:pPr>
      <w:r>
        <w:rPr>
          <w:rFonts w:ascii="Arial" w:cs="Arial" w:eastAsia="Arial" w:hAnsi="Arial"/>
          <w:sz w:val="17"/>
          <w:szCs w:val="17"/>
          <w:color w:val="auto"/>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68" w:lineRule="exact"/>
        <w:rPr>
          <w:sz w:val="20"/>
          <w:szCs w:val="20"/>
          <w:color w:val="auto"/>
        </w:rPr>
      </w:pPr>
    </w:p>
    <w:p>
      <w:pPr>
        <w:ind w:right="120" w:firstLine="749"/>
        <w:spacing w:after="0" w:line="311" w:lineRule="auto"/>
        <w:rPr>
          <w:sz w:val="20"/>
          <w:szCs w:val="20"/>
          <w:color w:val="auto"/>
        </w:rPr>
      </w:pPr>
      <w:r>
        <w:rPr>
          <w:rFonts w:ascii="Arial" w:cs="Arial" w:eastAsia="Arial" w:hAnsi="Arial"/>
          <w:sz w:val="16"/>
          <w:szCs w:val="16"/>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10 years in Europe. The European exclusivity period can be reduced to six years if a drug no longer meets the criteria for orphan drug designation or if the drug is sufficiently profitable so that market exclusivity is no longer justified.</w:t>
      </w:r>
    </w:p>
    <w:p>
      <w:pPr>
        <w:spacing w:after="0" w:line="55"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auto"/>
        </w:rPr>
        <w:t>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color w:val="auto"/>
        </w:rPr>
        <w:t>drug nor gives the product candidate any advantage in the regulatory review or approval process or entitles the product candidate to priority review.</w:t>
      </w:r>
    </w:p>
    <w:p>
      <w:pPr>
        <w:spacing w:after="0" w:line="142" w:lineRule="exact"/>
        <w:rPr>
          <w:sz w:val="20"/>
          <w:szCs w:val="20"/>
          <w:color w:val="auto"/>
        </w:rPr>
      </w:pPr>
    </w:p>
    <w:p>
      <w:pPr>
        <w:ind w:right="100"/>
        <w:spacing w:after="0" w:line="292" w:lineRule="auto"/>
        <w:rPr>
          <w:sz w:val="20"/>
          <w:szCs w:val="20"/>
          <w:color w:val="auto"/>
        </w:rPr>
      </w:pPr>
      <w:r>
        <w:rPr>
          <w:rFonts w:ascii="Arial" w:cs="Arial" w:eastAsia="Arial" w:hAnsi="Arial"/>
          <w:sz w:val="17"/>
          <w:szCs w:val="17"/>
          <w:b w:val="1"/>
          <w:bCs w:val="1"/>
          <w:i w:val="1"/>
          <w:iCs w:val="1"/>
          <w:color w:val="auto"/>
        </w:rPr>
        <w:t>Where appropriate, we plan to secure approval from the FDA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66" w:lineRule="exact"/>
        <w:rPr>
          <w:sz w:val="20"/>
          <w:szCs w:val="20"/>
          <w:color w:val="auto"/>
        </w:rPr>
      </w:pPr>
    </w:p>
    <w:p>
      <w:pPr>
        <w:ind w:right="60" w:firstLine="749"/>
        <w:spacing w:after="0" w:line="304" w:lineRule="auto"/>
        <w:rPr>
          <w:sz w:val="20"/>
          <w:szCs w:val="20"/>
          <w:color w:val="auto"/>
        </w:rPr>
      </w:pPr>
      <w:r>
        <w:rPr>
          <w:rFonts w:ascii="Arial" w:cs="Arial" w:eastAsia="Arial" w:hAnsi="Arial"/>
          <w:sz w:val="16"/>
          <w:szCs w:val="16"/>
          <w:color w:val="auto"/>
        </w:rPr>
        <w:t>Where possible, we plan to pursue accelerated development strategies in areas of high unmet need. We may seek an accelerated approval pathway for our one or more of our product candidates.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62" w:lineRule="exact"/>
        <w:rPr>
          <w:sz w:val="20"/>
          <w:szCs w:val="20"/>
          <w:color w:val="auto"/>
        </w:rPr>
      </w:pPr>
    </w:p>
    <w:p>
      <w:pPr>
        <w:ind w:right="40" w:firstLine="749"/>
        <w:spacing w:after="0" w:line="306" w:lineRule="auto"/>
        <w:rPr>
          <w:sz w:val="20"/>
          <w:szCs w:val="20"/>
          <w:color w:val="auto"/>
        </w:rPr>
      </w:pPr>
      <w:r>
        <w:rPr>
          <w:rFonts w:ascii="Arial" w:cs="Arial" w:eastAsia="Arial" w:hAnsi="Arial"/>
          <w:sz w:val="16"/>
          <w:szCs w:val="16"/>
          <w:color w:val="auto"/>
        </w:rPr>
        <w:t>Prior to seeking such accelerated approval, we will seek feedback from the FDA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131" w:lineRule="exact"/>
        <w:rPr>
          <w:sz w:val="20"/>
          <w:szCs w:val="20"/>
          <w:color w:val="auto"/>
        </w:rPr>
      </w:pPr>
    </w:p>
    <w:p>
      <w:pPr>
        <w:ind w:right="120" w:firstLine="749"/>
        <w:spacing w:after="0" w:line="272"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83" w:lineRule="exact"/>
        <w:rPr>
          <w:sz w:val="20"/>
          <w:szCs w:val="20"/>
          <w:color w:val="auto"/>
        </w:rPr>
      </w:pPr>
    </w:p>
    <w:p>
      <w:pPr>
        <w:ind w:right="80" w:firstLine="749"/>
        <w:spacing w:after="0" w:line="287" w:lineRule="auto"/>
        <w:rPr>
          <w:sz w:val="20"/>
          <w:szCs w:val="20"/>
          <w:color w:val="auto"/>
        </w:rPr>
      </w:pPr>
      <w:r>
        <w:rPr>
          <w:rFonts w:ascii="Arial" w:cs="Arial" w:eastAsia="Arial" w:hAnsi="Arial"/>
          <w:sz w:val="17"/>
          <w:szCs w:val="17"/>
          <w:color w:val="auto"/>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U.S. pharmaceutical industry. Since its enactment, there have been legislative and judicial efforts to repeal, replace, or change some or all of the ACA. For example, various portions of the ACA have been subject to legal and constitutional challenges in the Fifth Circuit Court and the United States Supreme Court. In June 2021, the United States Supreme Court held that Texas and other challengers had no legal standing to challenge the ACA, dismissing the case without specifically ruling on the constitutionality of the ACA. It is unclear how this Supreme Court decision, future litigation, and healthcare measures promulgated by the Biden administration will impact the implementation of the PPACA, our business, financial condition and results of operations. Complying with any new legislation or reversing changes implemented under the PPACA could be time-intensive and expensive, resulting in a material adverse effect on our business.</w:t>
      </w:r>
    </w:p>
    <w:p>
      <w:pPr>
        <w:spacing w:after="0" w:line="70" w:lineRule="exact"/>
        <w:rPr>
          <w:sz w:val="20"/>
          <w:szCs w:val="20"/>
          <w:color w:val="auto"/>
        </w:rPr>
      </w:pPr>
    </w:p>
    <w:p>
      <w:pPr>
        <w:ind w:firstLine="749"/>
        <w:spacing w:after="0" w:line="272"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These changes included aggregate reductions to Medicare payments to providers of up to 2% per fiscal year, effective April 1, 2013, which will stay in effect through 2030, with the exception of a temporary suspension implemented under various COVID-19 relief legislation from May 1, 2020 through the end of 2021, unless additional congressional action is taken. In January 2013, President Obama signed into law the American Taxpayer Relief Act of 2012, which, among other things, reduced Medicare payments to several providers, and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6" w:name="page47"/>
    <w:bookmarkEnd w:id="46"/>
    <w:p>
      <w:pPr>
        <w:ind w:right="120"/>
        <w:spacing w:after="0" w:line="279" w:lineRule="auto"/>
        <w:rPr>
          <w:sz w:val="20"/>
          <w:szCs w:val="20"/>
          <w:color w:val="auto"/>
        </w:rPr>
      </w:pPr>
      <w:r>
        <w:rPr>
          <w:rFonts w:ascii="Arial" w:cs="Arial" w:eastAsia="Arial" w:hAnsi="Arial"/>
          <w:sz w:val="18"/>
          <w:szCs w:val="18"/>
          <w:color w:val="auto"/>
        </w:rPr>
        <w:t>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75" w:lineRule="exact"/>
        <w:rPr>
          <w:sz w:val="20"/>
          <w:szCs w:val="20"/>
          <w:color w:val="auto"/>
        </w:rPr>
      </w:pPr>
    </w:p>
    <w:p>
      <w:pPr>
        <w:ind w:firstLine="749"/>
        <w:spacing w:after="0" w:line="302" w:lineRule="auto"/>
        <w:rPr>
          <w:sz w:val="20"/>
          <w:szCs w:val="20"/>
          <w:color w:val="auto"/>
        </w:rPr>
      </w:pPr>
      <w:r>
        <w:rPr>
          <w:rFonts w:ascii="Arial" w:cs="Arial" w:eastAsia="Arial" w:hAnsi="Arial"/>
          <w:sz w:val="16"/>
          <w:szCs w:val="16"/>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HHS and CMS issued final rules in November and December of 2020 that were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 rules. The Biden administration has also implemented a regulatory rule freeze for all federal agency rules that had not gone into effect as of January 20, 2021. The impact of these lawsuits as well as legislative, executive, and administrative actions of the current administration on us and the pharmaceutical industry as a whole is currently unknown.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are unable to predict the future course of federal or state healthcare legislation in the United States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70" w:lineRule="exact"/>
        <w:rPr>
          <w:sz w:val="20"/>
          <w:szCs w:val="20"/>
          <w:color w:val="auto"/>
        </w:rPr>
      </w:pPr>
    </w:p>
    <w:p>
      <w:pPr>
        <w:ind w:right="40" w:firstLine="749"/>
        <w:spacing w:after="0" w:line="292" w:lineRule="auto"/>
        <w:rPr>
          <w:sz w:val="20"/>
          <w:szCs w:val="20"/>
          <w:color w:val="auto"/>
        </w:rPr>
      </w:pPr>
      <w:r>
        <w:rPr>
          <w:rFonts w:ascii="Arial" w:cs="Arial" w:eastAsia="Arial" w:hAnsi="Arial"/>
          <w:sz w:val="17"/>
          <w:szCs w:val="17"/>
          <w:color w:val="auto"/>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66" w:lineRule="exact"/>
        <w:rPr>
          <w:sz w:val="20"/>
          <w:szCs w:val="20"/>
          <w:color w:val="auto"/>
        </w:rPr>
      </w:pPr>
    </w:p>
    <w:p>
      <w:pPr>
        <w:ind w:right="60" w:firstLine="749"/>
        <w:spacing w:after="0" w:line="292"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It is also possible that additional governmental action is taken to address the COVID-19 pandemic.</w:t>
      </w:r>
    </w:p>
    <w:p>
      <w:pPr>
        <w:spacing w:after="0" w:line="53" w:lineRule="exact"/>
        <w:rPr>
          <w:sz w:val="20"/>
          <w:szCs w:val="20"/>
          <w:color w:val="auto"/>
        </w:rPr>
      </w:pPr>
    </w:p>
    <w:p>
      <w:pPr>
        <w:ind w:right="40" w:firstLine="749"/>
        <w:spacing w:after="0" w:line="241"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95" w:lineRule="exact"/>
        <w:rPr>
          <w:sz w:val="20"/>
          <w:szCs w:val="20"/>
          <w:color w:val="auto"/>
        </w:rPr>
      </w:pPr>
    </w:p>
    <w:p>
      <w:pPr>
        <w:ind w:firstLine="749"/>
        <w:spacing w:after="0" w:line="305" w:lineRule="auto"/>
        <w:rPr>
          <w:sz w:val="20"/>
          <w:szCs w:val="20"/>
          <w:color w:val="auto"/>
        </w:rPr>
      </w:pPr>
      <w:r>
        <w:rPr>
          <w:rFonts w:ascii="Arial" w:cs="Arial" w:eastAsia="Arial" w:hAnsi="Arial"/>
          <w:sz w:val="16"/>
          <w:szCs w:val="16"/>
          <w:color w:val="auto"/>
        </w:rPr>
        <w:t>Additionally, the collection and use of health data in the European Union is governed by the General Data Protection Regulation (GDPR), which extends the geographical scope of European Union data protection law to non-European Union entities under certain conditions and imposes substantial obligations upon companies and new rights for individuals. Failure to comply with the GDPR and the applicable national data protection laws of the EU Member States may result in fines up to €20,000,000 or up to 4% of the total worldwide annual turnover of the preceding financial year, whichever is higher, and other administrative penalties. The GDPR may increase our responsibility and liability in relation to personal data that we may process, and we may be required to put in place additional mechanisms in an effort to comply with the GDPR. This may be onerous and if our efforts to comply with GDPR or other applicable European Union laws and regulations are not successful, it could adversely affect our business in the European Union. Further, the European Court of Justice (ECJ) recently invalidated the EU-U.S. Privacy Shield, which had enabled the transfer of personal data from the EU to the U.S. for companies that had self-certified to the Privacy Shield. To the extent that we were to rely on Privacy Shield, we will not be able to do so in the future, and the ECJ’s decision otherwise may impose additional obligations with respect to the transfer of personal data from the EU to the U.S., each of which could increase our costs and obligations and impose limitations upon our ability to efficiently transfer personal data from the EU to the U.S.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7" w:name="page48"/>
    <w:bookmarkEnd w:id="47"/>
    <w:p>
      <w:pPr>
        <w:ind w:right="60" w:firstLine="749"/>
        <w:spacing w:after="0" w:line="309" w:lineRule="auto"/>
        <w:rPr>
          <w:sz w:val="20"/>
          <w:szCs w:val="20"/>
          <w:color w:val="auto"/>
        </w:rPr>
      </w:pPr>
      <w:r>
        <w:rPr>
          <w:rFonts w:ascii="Arial" w:cs="Arial" w:eastAsia="Arial" w:hAnsi="Arial"/>
          <w:sz w:val="16"/>
          <w:szCs w:val="16"/>
          <w:color w:val="auto"/>
        </w:rPr>
        <w:t>Further, the decision of the United Kingdom (UK) to leave the EU, often referred to as Brexit, has created uncertainty regarding data protection regulation in the UK. In particular, while the UK has implemented legislation that implements and complements the GDPR, with penalties for noncompliance of up to the greater of £17.5 million or four percent of worldwide revenues, aspects of data protection regulation in the UK, including with respect to cross-border data transfers, remain unclear in the medium to longer term following Brexit. The UK’s relationship with the EU may, for example, require us to implement additional safeguards relating to transfers of personal data from the EU to the UK, which may require us to incur significant costs and expenses in an effort to do so. More generally, we may incur liabilities, expenses, costs, and other operational losses under GDPR and the privacy and data protection laws of applicable EU member states and the United Kingdom in connection with any measures we take to comply with them.</w:t>
      </w:r>
    </w:p>
    <w:p>
      <w:pPr>
        <w:spacing w:after="0" w:line="56" w:lineRule="exact"/>
        <w:rPr>
          <w:sz w:val="20"/>
          <w:szCs w:val="20"/>
          <w:color w:val="auto"/>
        </w:rPr>
      </w:pPr>
    </w:p>
    <w:p>
      <w:pPr>
        <w:ind w:firstLine="749"/>
        <w:spacing w:after="0" w:line="305" w:lineRule="auto"/>
        <w:rPr>
          <w:sz w:val="20"/>
          <w:szCs w:val="20"/>
          <w:color w:val="auto"/>
        </w:rPr>
      </w:pPr>
      <w:r>
        <w:rPr>
          <w:rFonts w:ascii="Arial" w:cs="Arial" w:eastAsia="Arial" w:hAnsi="Arial"/>
          <w:sz w:val="16"/>
          <w:szCs w:val="16"/>
          <w:color w:val="auto"/>
        </w:rPr>
        <w:t>Finally, state and foreign laws may apply generally to the privacy and security of information we maintain, and may differ from each other in significant ways, thus complicating compliance efforts. For example, the California Consumer Privacy Act of 2018 (CCPA), which took effect on January 1, 2020, gives California residents expanded rights to access and require deletion of their personal information, opt out of certain personal information sharing, and receive detailed information about how their personal information is used. In addition, the CCPA (a) allows enforcement by the California Attorney General, with fines set at $2,500 per violation (i.e., per person) or $7,500 per intentional violation and (b) authorizes private lawsuits to recover statutory damages for certain data breaches. While it exempts some data regulated by the Health Insurance Portability and Accountability Act of 1996 (HIPAA) and certain clinical trials data, the CCPA, to the extent applicable to our business and operations, may increase our compliance costs and potential liability with respect to other personal information we collect about California residents. Some observers note that the CCPA could mark the beginning of a trend toward more stringent privacy legislation in the U.S., which could increase our potential liability and adversely affect our business. Additionally, a new privacy law, the California Privacy Rights Act (CPRA), was approved by California voters in November 2020. The CPRA significantly modified the CCPA, which may require us to modify our practices and policies and may further increase our compliance costs and potential liability.</w:t>
      </w:r>
    </w:p>
    <w:p>
      <w:pPr>
        <w:spacing w:after="0" w:line="61" w:lineRule="exact"/>
        <w:rPr>
          <w:sz w:val="20"/>
          <w:szCs w:val="20"/>
          <w:color w:val="auto"/>
        </w:rPr>
      </w:pPr>
    </w:p>
    <w:p>
      <w:pPr>
        <w:ind w:right="300"/>
        <w:spacing w:after="0" w:line="359"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2" w:lineRule="exact"/>
        <w:rPr>
          <w:sz w:val="20"/>
          <w:szCs w:val="20"/>
          <w:color w:val="auto"/>
        </w:rPr>
      </w:pPr>
    </w:p>
    <w:p>
      <w:pPr>
        <w:ind w:right="180" w:firstLine="749"/>
        <w:spacing w:after="0" w:line="272"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Securities and Exchange Commission (SEC) and other government agencies on which our operations may rely, including those that fund research and development activities is subject to the political process, which is inherently fluid and unpredictable.</w:t>
      </w:r>
    </w:p>
    <w:p>
      <w:pPr>
        <w:spacing w:after="0" w:line="83" w:lineRule="exact"/>
        <w:rPr>
          <w:sz w:val="20"/>
          <w:szCs w:val="20"/>
          <w:color w:val="auto"/>
        </w:rPr>
      </w:pPr>
    </w:p>
    <w:p>
      <w:pPr>
        <w:ind w:right="40" w:firstLine="749"/>
        <w:spacing w:after="0" w:line="304"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public health emergency, the FDA postponed most inspections of foreign manufacturing facilities and routine surveillance inspections of domestic manufacturing facilities in 2020. In May 2021, the FDA issued an updated guidance on manufacturing, supply chain, and drug and biological product inspections, indicating that it intends to continue using other tools and approaches where possible for pre-approval inspections, and that it will continue to conduct "mission-critical" inspections on a case-by-case basis, or, where possible to do so safely, resume prioritized domestic inspections, such as pre-approval and surveillance inspections. If a prolonged government shutdown occurs, or if global health or other concerns continue to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52"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95" w:lineRule="exact"/>
        <w:rPr>
          <w:sz w:val="20"/>
          <w:szCs w:val="20"/>
          <w:color w:val="auto"/>
        </w:rPr>
      </w:pPr>
    </w:p>
    <w:p>
      <w:pPr>
        <w:ind w:right="100" w:firstLine="749"/>
        <w:spacing w:after="0" w:line="275"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8" w:name="page49"/>
    <w:bookmarkEnd w:id="48"/>
    <w:p>
      <w:pPr>
        <w:ind w:right="580"/>
        <w:spacing w:after="0" w:line="293" w:lineRule="auto"/>
        <w:rPr>
          <w:sz w:val="20"/>
          <w:szCs w:val="20"/>
          <w:color w:val="auto"/>
        </w:rPr>
      </w:pPr>
      <w:r>
        <w:rPr>
          <w:rFonts w:ascii="Arial" w:cs="Arial" w:eastAsia="Arial" w:hAnsi="Arial"/>
          <w:sz w:val="18"/>
          <w:szCs w:val="18"/>
          <w:color w:val="auto"/>
        </w:rPr>
        <w:t>market, sell and distribute our products for which we obtain marketing approval. Restrictions under applicable federal and state healthcare laws and regulations may include the following:</w:t>
      </w:r>
    </w:p>
    <w:p>
      <w:pPr>
        <w:spacing w:after="0" w:line="48" w:lineRule="exact"/>
        <w:rPr>
          <w:sz w:val="20"/>
          <w:szCs w:val="20"/>
          <w:color w:val="auto"/>
        </w:rPr>
      </w:pPr>
    </w:p>
    <w:p>
      <w:pPr>
        <w:ind w:left="1200" w:right="120"/>
        <w:spacing w:after="0" w:line="243" w:lineRule="auto"/>
        <w:rPr>
          <w:sz w:val="20"/>
          <w:szCs w:val="20"/>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80" w:lineRule="exact"/>
        <w:rPr>
          <w:sz w:val="20"/>
          <w:szCs w:val="20"/>
          <w:color w:val="auto"/>
        </w:rPr>
      </w:pPr>
    </w:p>
    <w:p>
      <w:pPr>
        <w:ind w:left="1200"/>
        <w:spacing w:after="0" w:line="243" w:lineRule="auto"/>
        <w:rPr>
          <w:sz w:val="20"/>
          <w:szCs w:val="20"/>
          <w:color w:val="auto"/>
        </w:rPr>
      </w:pPr>
      <w:r>
        <w:rPr>
          <w:rFonts w:ascii="Arial" w:cs="Arial" w:eastAsia="Arial" w:hAnsi="Arial"/>
          <w:sz w:val="18"/>
          <w:szCs w:val="18"/>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80" w:lineRule="exact"/>
        <w:rPr>
          <w:sz w:val="20"/>
          <w:szCs w:val="20"/>
          <w:color w:val="auto"/>
        </w:rPr>
      </w:pPr>
    </w:p>
    <w:p>
      <w:pPr>
        <w:ind w:left="1200" w:right="120"/>
        <w:spacing w:after="0" w:line="261" w:lineRule="auto"/>
        <w:rPr>
          <w:sz w:val="20"/>
          <w:szCs w:val="20"/>
          <w:color w:val="auto"/>
        </w:rPr>
      </w:pPr>
      <w:r>
        <w:rPr>
          <w:rFonts w:ascii="Arial" w:cs="Arial" w:eastAsia="Arial" w:hAnsi="Arial"/>
          <w:sz w:val="18"/>
          <w:szCs w:val="18"/>
          <w:color w:val="auto"/>
        </w:rPr>
        <w:t>the federal HIPAA, prohibits, among other things, executing or attempting to execute a scheme to defraud any healthcare benefit program or making false statements relating to healthcare matters;</w:t>
      </w:r>
    </w:p>
    <w:p>
      <w:pPr>
        <w:spacing w:after="0" w:line="63" w:lineRule="exact"/>
        <w:rPr>
          <w:sz w:val="20"/>
          <w:szCs w:val="20"/>
          <w:color w:val="auto"/>
        </w:rPr>
      </w:pPr>
    </w:p>
    <w:p>
      <w:pPr>
        <w:jc w:val="both"/>
        <w:ind w:left="1200" w:right="420"/>
        <w:spacing w:after="0" w:line="284" w:lineRule="auto"/>
        <w:rPr>
          <w:sz w:val="20"/>
          <w:szCs w:val="20"/>
          <w:color w:val="auto"/>
        </w:rPr>
      </w:pPr>
      <w:r>
        <w:rPr>
          <w:rFonts w:ascii="Arial" w:cs="Arial" w:eastAsia="Arial" w:hAnsi="Arial"/>
          <w:sz w:val="16"/>
          <w:szCs w:val="16"/>
          <w:color w:val="auto"/>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respective business associates, with respect to safeguarding the privacy, security and transmission of individually identifiable health information;</w:t>
      </w:r>
    </w:p>
    <w:p>
      <w:pPr>
        <w:spacing w:after="0" w:line="61" w:lineRule="exact"/>
        <w:rPr>
          <w:sz w:val="20"/>
          <w:szCs w:val="20"/>
          <w:color w:val="auto"/>
        </w:rPr>
      </w:pPr>
    </w:p>
    <w:p>
      <w:pPr>
        <w:ind w:left="1200" w:right="80"/>
        <w:spacing w:after="0" w:line="288" w:lineRule="auto"/>
        <w:rPr>
          <w:sz w:val="20"/>
          <w:szCs w:val="20"/>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as defined by such law, and teaching hospitals as well as information regarding ownership and investment interests held by physicians and their immediate family members. Effective January 1, 2022, such reporting obligations for payments and transfers of value made in 2021 to covered recipients will be expanded to include physician assistants, nurse practitioners, clinical nurse specialists, certified registered nurse anesthetists and anesthesiologist assistants, and certified nurse-midwives; and</w:t>
      </w:r>
    </w:p>
    <w:p>
      <w:pPr>
        <w:spacing w:after="0" w:line="73" w:lineRule="exact"/>
        <w:rPr>
          <w:sz w:val="20"/>
          <w:szCs w:val="20"/>
          <w:color w:val="auto"/>
        </w:rPr>
      </w:pPr>
    </w:p>
    <w:p>
      <w:pPr>
        <w:ind w:left="1200"/>
        <w:spacing w:after="0" w:line="287" w:lineRule="auto"/>
        <w:rPr>
          <w:sz w:val="20"/>
          <w:szCs w:val="20"/>
          <w:color w:val="auto"/>
        </w:rPr>
      </w:pPr>
      <w:r>
        <w:rPr>
          <w:rFonts w:ascii="Arial" w:cs="Arial" w:eastAsia="Arial" w:hAnsi="Arial"/>
          <w:sz w:val="17"/>
          <w:szCs w:val="17"/>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74" w:lineRule="exact"/>
        <w:rPr>
          <w:sz w:val="20"/>
          <w:szCs w:val="20"/>
          <w:color w:val="auto"/>
        </w:rPr>
      </w:pPr>
    </w:p>
    <w:p>
      <w:pPr>
        <w:ind w:right="20" w:firstLine="749"/>
        <w:spacing w:after="0" w:line="286"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70" w:lineRule="exact"/>
        <w:rPr>
          <w:sz w:val="20"/>
          <w:szCs w:val="20"/>
          <w:color w:val="auto"/>
        </w:rPr>
      </w:pPr>
    </w:p>
    <w:p>
      <w:pPr>
        <w:ind w:right="200"/>
        <w:spacing w:after="0" w:line="324"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39" w:lineRule="exact"/>
        <w:rPr>
          <w:sz w:val="20"/>
          <w:szCs w:val="20"/>
          <w:color w:val="auto"/>
        </w:rPr>
      </w:pPr>
    </w:p>
    <w:p>
      <w:pPr>
        <w:ind w:right="100" w:firstLine="749"/>
        <w:spacing w:after="0" w:line="271"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9" w:name="page50"/>
    <w:bookmarkEnd w:id="49"/>
    <w:p>
      <w:pPr>
        <w:spacing w:after="0" w:line="306" w:lineRule="auto"/>
        <w:rPr>
          <w:sz w:val="20"/>
          <w:szCs w:val="20"/>
          <w:color w:val="auto"/>
        </w:rPr>
      </w:pPr>
      <w:r>
        <w:rPr>
          <w:rFonts w:ascii="Arial" w:cs="Arial" w:eastAsia="Arial" w:hAnsi="Arial"/>
          <w:sz w:val="16"/>
          <w:szCs w:val="16"/>
          <w:color w:val="auto"/>
        </w:rPr>
        <w:t>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49"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If we fail to comply with other U.S. healthcare laws and compliance requirements, we could become subject to fines or penalties or incur costs that could have a material adverse effect on our business.</w:t>
      </w:r>
    </w:p>
    <w:p>
      <w:pPr>
        <w:spacing w:after="0" w:line="76" w:lineRule="exact"/>
        <w:rPr>
          <w:sz w:val="20"/>
          <w:szCs w:val="20"/>
          <w:color w:val="auto"/>
        </w:rPr>
      </w:pPr>
    </w:p>
    <w:p>
      <w:pPr>
        <w:ind w:right="200" w:firstLine="749"/>
        <w:spacing w:after="0" w:line="270" w:lineRule="auto"/>
        <w:rPr>
          <w:sz w:val="20"/>
          <w:szCs w:val="20"/>
          <w:color w:val="auto"/>
        </w:rPr>
      </w:pPr>
      <w:r>
        <w:rPr>
          <w:rFonts w:ascii="Arial" w:cs="Arial" w:eastAsia="Arial" w:hAnsi="Arial"/>
          <w:sz w:val="18"/>
          <w:szCs w:val="18"/>
          <w:color w:val="auto"/>
        </w:rPr>
        <w:t>In the United States, our current and future activities with investigators, healthcare professionals, consultants, third-party payors, patient organizations and customers are subject to regulation by various federal, state and local authorities in addition to the FDA, which may include but are not limited to, CMS, other divisions of the U.S. Department of Health and Human Services (e.g., the Office of Inspector General), the U.S. Department of Justice (DOJ) and individual U.S. Attorney offices within the DOJ, and state and local governments. For example, our business practices, including our clinical research, sales, marketing and scientific/educational grant programs may be required to comply with the anti-fraud and abuse provisions of the Social Security Act, the false claims laws, the patient data privacy and security provisions of HIPAA transparency requirements, and similar state laws, each as amended, as applicable.</w:t>
      </w:r>
    </w:p>
    <w:p>
      <w:pPr>
        <w:spacing w:after="0" w:line="84" w:lineRule="exact"/>
        <w:rPr>
          <w:sz w:val="20"/>
          <w:szCs w:val="20"/>
          <w:color w:val="auto"/>
        </w:rPr>
      </w:pPr>
    </w:p>
    <w:p>
      <w:pPr>
        <w:ind w:right="60" w:firstLine="749"/>
        <w:spacing w:after="0" w:line="286"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good, item, facility or service reimbursable, in whole or part, under Medicare, Medicaid or other federal healthcare programs. The term “remuneration” has been interpreted broadly to include anything of value. The federal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70" w:lineRule="exact"/>
        <w:rPr>
          <w:sz w:val="20"/>
          <w:szCs w:val="20"/>
          <w:color w:val="auto"/>
        </w:rPr>
      </w:pPr>
    </w:p>
    <w:p>
      <w:pPr>
        <w:ind w:right="120" w:firstLine="749"/>
        <w:spacing w:after="0" w:line="272" w:lineRule="auto"/>
        <w:rPr>
          <w:sz w:val="20"/>
          <w:szCs w:val="20"/>
          <w:color w:val="auto"/>
        </w:rPr>
      </w:pPr>
      <w:r>
        <w:rPr>
          <w:rFonts w:ascii="Arial" w:cs="Arial" w:eastAsia="Arial" w:hAnsi="Arial"/>
          <w:sz w:val="18"/>
          <w:szCs w:val="18"/>
          <w:color w:val="auto"/>
        </w:rPr>
        <w:t>Additionally, the intent standard under the federal Anti-Kickback Statute was amended by the ACA, to a stricter standard such that a person or entity no longer needs to have actual knowledge of the federal Anti-Kickback Statute or specific intent to violate it in order to have committed a violation. Rather, if “one purpose” of the remuneration is to induce referrals, the federal Anti-Kickback Statute is implicated. In addition, the ACA codified case law that a claim that includes items or services resulting from a violation of the federal Anti-Kickback Statute constitutes a false or fraudulent claim for purposes of the federal civil False Claims Act (discussed below).</w:t>
      </w:r>
    </w:p>
    <w:p>
      <w:pPr>
        <w:spacing w:after="0" w:line="83" w:lineRule="exact"/>
        <w:rPr>
          <w:sz w:val="20"/>
          <w:szCs w:val="20"/>
          <w:color w:val="auto"/>
        </w:rPr>
      </w:pPr>
    </w:p>
    <w:p>
      <w:pPr>
        <w:jc w:val="both"/>
        <w:ind w:right="160" w:firstLine="749"/>
        <w:spacing w:after="0" w:line="279" w:lineRule="auto"/>
        <w:rPr>
          <w:sz w:val="20"/>
          <w:szCs w:val="20"/>
          <w:color w:val="auto"/>
        </w:rPr>
      </w:pPr>
      <w:r>
        <w:rPr>
          <w:rFonts w:ascii="Arial" w:cs="Arial" w:eastAsia="Arial" w:hAnsi="Arial"/>
          <w:sz w:val="18"/>
          <w:szCs w:val="18"/>
          <w:color w:val="auto"/>
        </w:rPr>
        <w:t>The civil monetary penalties statute imposes penalties against any person or entity who, among other things, is determined to have presented or caused to be presented a claim to a federal healthcare program that the person knows or should know is for a medical or other item or service that was not provided as claimed or is false or fraudulent.</w:t>
      </w:r>
    </w:p>
    <w:p>
      <w:pPr>
        <w:spacing w:after="0" w:line="75" w:lineRule="exact"/>
        <w:rPr>
          <w:sz w:val="20"/>
          <w:szCs w:val="20"/>
          <w:color w:val="auto"/>
        </w:rPr>
      </w:pPr>
    </w:p>
    <w:p>
      <w:pPr>
        <w:ind w:right="20" w:firstLine="749"/>
        <w:spacing w:after="0" w:line="287" w:lineRule="auto"/>
        <w:rPr>
          <w:sz w:val="20"/>
          <w:szCs w:val="20"/>
          <w:color w:val="auto"/>
        </w:rPr>
      </w:pPr>
      <w:r>
        <w:rPr>
          <w:rFonts w:ascii="Arial" w:cs="Arial" w:eastAsia="Arial" w:hAnsi="Arial"/>
          <w:sz w:val="17"/>
          <w:szCs w:val="17"/>
          <w:color w:val="auto"/>
        </w:rPr>
        <w:t>The federal civil False Claims Act prohibits, among other things, any person or entity from knowingly presenting, or causing to be presented, a false claim for payment to, or approval by, the federal government,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As a result of a modification made by the Fraud Enforcement and Recovery Act of 2009, a claim includes “any request or demand” for money or property presented to the U.S. government. Pharmaceutical and other healthcare companies are being investigated or, in the past,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w:t>
      </w:r>
    </w:p>
    <w:p>
      <w:pPr>
        <w:spacing w:after="0" w:line="74" w:lineRule="exact"/>
        <w:rPr>
          <w:sz w:val="20"/>
          <w:szCs w:val="20"/>
          <w:color w:val="auto"/>
        </w:rPr>
      </w:pPr>
    </w:p>
    <w:p>
      <w:pPr>
        <w:ind w:right="60" w:firstLine="749"/>
        <w:spacing w:after="0" w:line="275" w:lineRule="auto"/>
        <w:rPr>
          <w:sz w:val="20"/>
          <w:szCs w:val="20"/>
          <w:color w:val="auto"/>
        </w:rPr>
      </w:pPr>
      <w:r>
        <w:rPr>
          <w:rFonts w:ascii="Arial" w:cs="Arial" w:eastAsia="Arial" w:hAnsi="Arial"/>
          <w:sz w:val="18"/>
          <w:szCs w:val="18"/>
          <w:color w:val="auto"/>
        </w:rPr>
        <w:t>HIPAA imposes criminal and civil liability for,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0" w:name="page51"/>
    <w:bookmarkEnd w:id="50"/>
    <w:p>
      <w:pPr>
        <w:ind w:right="100"/>
        <w:spacing w:after="0" w:line="279" w:lineRule="auto"/>
        <w:rPr>
          <w:sz w:val="20"/>
          <w:szCs w:val="20"/>
          <w:color w:val="auto"/>
        </w:rPr>
      </w:pPr>
      <w:r>
        <w:rPr>
          <w:rFonts w:ascii="Arial" w:cs="Arial" w:eastAsia="Arial" w:hAnsi="Arial"/>
          <w:sz w:val="18"/>
          <w:szCs w:val="18"/>
          <w:color w:val="auto"/>
        </w:rPr>
        <w:t>false, fictitious or fraudulent statement in connection with the delivery of or payment for healthcare benefits, items or services. Like the Anti-Kickback Statute,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75" w:lineRule="exact"/>
        <w:rPr>
          <w:sz w:val="20"/>
          <w:szCs w:val="20"/>
          <w:color w:val="auto"/>
        </w:rPr>
      </w:pPr>
    </w:p>
    <w:p>
      <w:pPr>
        <w:ind w:firstLine="749"/>
        <w:spacing w:after="0" w:line="293" w:lineRule="auto"/>
        <w:rPr>
          <w:sz w:val="20"/>
          <w:szCs w:val="20"/>
          <w:color w:val="auto"/>
        </w:rPr>
      </w:pPr>
      <w:r>
        <w:rPr>
          <w:rFonts w:ascii="Arial" w:cs="Arial" w:eastAsia="Arial" w:hAnsi="Arial"/>
          <w:sz w:val="18"/>
          <w:szCs w:val="18"/>
          <w:color w:val="auto"/>
        </w:rPr>
        <w:t>Analogous U.S. state laws and regulations, including state anti-kickback and false claims laws, may apply to claims involving healthcare items or services reimbursed by any third-party payor, including private insurers our business practices.</w:t>
      </w:r>
    </w:p>
    <w:p>
      <w:pPr>
        <w:spacing w:after="0" w:line="62" w:lineRule="exact"/>
        <w:rPr>
          <w:sz w:val="20"/>
          <w:szCs w:val="20"/>
          <w:color w:val="auto"/>
        </w:rPr>
      </w:pPr>
    </w:p>
    <w:p>
      <w:pPr>
        <w:ind w:firstLine="749"/>
        <w:spacing w:after="0" w:line="311" w:lineRule="auto"/>
        <w:rPr>
          <w:sz w:val="20"/>
          <w:szCs w:val="20"/>
          <w:color w:val="auto"/>
        </w:rPr>
      </w:pPr>
      <w:r>
        <w:rPr>
          <w:rFonts w:ascii="Arial" w:cs="Arial" w:eastAsia="Arial" w:hAnsi="Arial"/>
          <w:sz w:val="16"/>
          <w:szCs w:val="16"/>
          <w:color w:val="auto"/>
        </w:rPr>
        <w:t>HIPAA, as amended by HITECH, and their implementing regulations, imposes requirements on certain types of individuals and entities relating to the privacy, security and transmission of individually identifiable health information. Among other things, HITECH makes HIPAA’s privacy and security standards directly applicable to business associates that are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55" w:lineRule="exact"/>
        <w:rPr>
          <w:sz w:val="20"/>
          <w:szCs w:val="20"/>
          <w:color w:val="auto"/>
        </w:rPr>
      </w:pPr>
    </w:p>
    <w:p>
      <w:pPr>
        <w:ind w:right="60" w:firstLine="749"/>
        <w:spacing w:after="0" w:line="309" w:lineRule="auto"/>
        <w:rPr>
          <w:sz w:val="20"/>
          <w:szCs w:val="20"/>
          <w:color w:val="auto"/>
        </w:rPr>
      </w:pPr>
      <w:r>
        <w:rPr>
          <w:rFonts w:ascii="Arial" w:cs="Arial" w:eastAsia="Arial" w:hAnsi="Arial"/>
          <w:sz w:val="16"/>
          <w:szCs w:val="16"/>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Effective January 1, 2022, such reporting obligations for payments and transfers of value made in 2021 to covered recipients will be expanded to include physician assistants, nurse practitioners, clinical nurse specialists, certified registered nurse anesthetists and anesthesiologist assistants and certified nurse-midwives.</w:t>
      </w:r>
    </w:p>
    <w:p>
      <w:pPr>
        <w:spacing w:after="0" w:line="56" w:lineRule="exact"/>
        <w:rPr>
          <w:sz w:val="20"/>
          <w:szCs w:val="20"/>
          <w:color w:val="auto"/>
        </w:rPr>
      </w:pPr>
    </w:p>
    <w:p>
      <w:pPr>
        <w:ind w:right="140" w:firstLine="749"/>
        <w:spacing w:after="0" w:line="292" w:lineRule="auto"/>
        <w:rPr>
          <w:sz w:val="20"/>
          <w:szCs w:val="20"/>
          <w:color w:val="auto"/>
        </w:rPr>
      </w:pPr>
      <w:r>
        <w:rPr>
          <w:rFonts w:ascii="Arial" w:cs="Arial" w:eastAsia="Arial" w:hAnsi="Arial"/>
          <w:sz w:val="17"/>
          <w:szCs w:val="17"/>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w:t>
      </w:r>
    </w:p>
    <w:p>
      <w:pPr>
        <w:spacing w:after="0" w:line="66" w:lineRule="exact"/>
        <w:rPr>
          <w:sz w:val="20"/>
          <w:szCs w:val="20"/>
          <w:color w:val="auto"/>
        </w:rPr>
      </w:pPr>
    </w:p>
    <w:p>
      <w:pPr>
        <w:ind w:right="60" w:firstLine="749"/>
        <w:spacing w:after="0" w:line="287" w:lineRule="auto"/>
        <w:rPr>
          <w:sz w:val="20"/>
          <w:szCs w:val="20"/>
          <w:color w:val="auto"/>
        </w:rPr>
      </w:pPr>
      <w:r>
        <w:rPr>
          <w:rFonts w:ascii="Arial" w:cs="Arial" w:eastAsia="Arial" w:hAnsi="Arial"/>
          <w:sz w:val="17"/>
          <w:szCs w:val="17"/>
          <w:color w:val="auto"/>
        </w:rPr>
        <w:t>State and local laws also require pharmaceutical and biotechnology companies to comply with the pharmaceutical industry’s voluntary compliance guidelines and the relevant compliance guidance promulgated by the U.S. federal government, establish marketing compliance programs, restrict payments that may be made to healthcare providers professionals and entities and other potential referral sources, file periodic reports with the state relating to pricing and marketing, make periodic public disclosures on sales, marketing, pricing, clinical trials and other activities, and/or register field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 Ensuring that our internal operations and future business arrangements with third parties comply with applicable healthcare laws and regulations will involve substantial costs.</w:t>
      </w:r>
    </w:p>
    <w:p>
      <w:pPr>
        <w:spacing w:after="0" w:line="74" w:lineRule="exact"/>
        <w:rPr>
          <w:sz w:val="20"/>
          <w:szCs w:val="20"/>
          <w:color w:val="auto"/>
        </w:rPr>
      </w:pPr>
    </w:p>
    <w:p>
      <w:pPr>
        <w:ind w:right="120" w:firstLine="749"/>
        <w:spacing w:after="0" w:line="286"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exclusion, debarment or refusal to allow us to enter into government contracts, contractual damages, reputational harm, administrative burdens, diminished profits and future earnings,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6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76" w:lineRule="exact"/>
        <w:rPr>
          <w:sz w:val="20"/>
          <w:szCs w:val="20"/>
          <w:color w:val="auto"/>
        </w:rPr>
      </w:pPr>
    </w:p>
    <w:p>
      <w:pPr>
        <w:ind w:right="20" w:firstLine="749"/>
        <w:spacing w:after="0" w:line="272"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1" w:name="page52"/>
    <w:bookmarkEnd w:id="51"/>
    <w:p>
      <w:pPr>
        <w:ind w:right="220"/>
        <w:spacing w:after="0" w:line="293" w:lineRule="auto"/>
        <w:rPr>
          <w:sz w:val="20"/>
          <w:szCs w:val="20"/>
          <w:color w:val="auto"/>
        </w:rPr>
      </w:pPr>
      <w:r>
        <w:rPr>
          <w:rFonts w:ascii="Arial" w:cs="Arial" w:eastAsia="Arial" w:hAnsi="Arial"/>
          <w:sz w:val="18"/>
          <w:szCs w:val="18"/>
          <w:color w:val="auto"/>
        </w:rPr>
        <w:t>could be held liable for any resulting damages, and any liability could exceed our resources. We also could incur significant costs associated with civil or criminal fines and penalties.</w:t>
      </w:r>
    </w:p>
    <w:p>
      <w:pPr>
        <w:spacing w:after="0" w:line="62" w:lineRule="exact"/>
        <w:rPr>
          <w:sz w:val="20"/>
          <w:szCs w:val="20"/>
          <w:color w:val="auto"/>
        </w:rPr>
      </w:pPr>
    </w:p>
    <w:p>
      <w:pPr>
        <w:ind w:right="120" w:firstLine="749"/>
        <w:spacing w:after="0" w:line="27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77" w:lineRule="exact"/>
        <w:rPr>
          <w:sz w:val="20"/>
          <w:szCs w:val="20"/>
          <w:color w:val="auto"/>
        </w:rPr>
      </w:pPr>
    </w:p>
    <w:p>
      <w:pPr>
        <w:ind w:firstLine="749"/>
        <w:spacing w:after="0" w:line="27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61"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b w:val="1"/>
          <w:bCs w:val="1"/>
          <w:i w:val="1"/>
          <w:iCs w:val="1"/>
          <w:color w:val="auto"/>
        </w:rPr>
        <w:t>Our business activities may be subject to the U.S. Foreign Corrupt Practices Act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53" w:lineRule="exact"/>
        <w:rPr>
          <w:sz w:val="20"/>
          <w:szCs w:val="20"/>
          <w:color w:val="auto"/>
        </w:rPr>
      </w:pPr>
    </w:p>
    <w:p>
      <w:pPr>
        <w:ind w:right="60" w:firstLine="749"/>
        <w:spacing w:after="0" w:line="304" w:lineRule="auto"/>
        <w:rPr>
          <w:sz w:val="20"/>
          <w:szCs w:val="20"/>
          <w:color w:val="auto"/>
        </w:rPr>
      </w:pPr>
      <w:r>
        <w:rPr>
          <w:rFonts w:ascii="Arial" w:cs="Arial" w:eastAsia="Arial" w:hAnsi="Arial"/>
          <w:sz w:val="16"/>
          <w:szCs w:val="16"/>
          <w:color w:val="auto"/>
        </w:rPr>
        <w:t>Our business activities may be subject to the FCPA and similar anti-bribery or anti-corruption laws, regulations or rules of other countries in which we operate.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DOJ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p>
    <w:p>
      <w:pPr>
        <w:spacing w:after="0" w:line="62" w:lineRule="exact"/>
        <w:rPr>
          <w:sz w:val="20"/>
          <w:szCs w:val="20"/>
          <w:color w:val="auto"/>
        </w:rPr>
      </w:pPr>
    </w:p>
    <w:p>
      <w:pPr>
        <w:ind w:right="60" w:firstLine="749"/>
        <w:spacing w:after="0" w:line="306" w:lineRule="auto"/>
        <w:rPr>
          <w:sz w:val="20"/>
          <w:szCs w:val="20"/>
          <w:color w:val="auto"/>
        </w:rPr>
      </w:pPr>
      <w:r>
        <w:rPr>
          <w:rFonts w:ascii="Arial" w:cs="Arial" w:eastAsia="Arial" w:hAnsi="Arial"/>
          <w:sz w:val="16"/>
          <w:szCs w:val="16"/>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57"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b w:val="1"/>
          <w:bCs w:val="1"/>
          <w:i w:val="1"/>
          <w:iCs w:val="1"/>
          <w:color w:val="auto"/>
        </w:rPr>
        <w:t>If we fail to comply with California laws or Nasdaq rules (if adopted) governing the diversity of our board of directors, we could be exposed to financial penalties and suffer reputational harm.</w:t>
      </w:r>
    </w:p>
    <w:p>
      <w:pPr>
        <w:spacing w:after="0" w:line="62" w:lineRule="exact"/>
        <w:rPr>
          <w:sz w:val="20"/>
          <w:szCs w:val="20"/>
          <w:color w:val="auto"/>
        </w:rPr>
      </w:pPr>
    </w:p>
    <w:p>
      <w:pPr>
        <w:ind w:right="20" w:firstLine="749"/>
        <w:spacing w:after="0" w:line="271" w:lineRule="auto"/>
        <w:rPr>
          <w:sz w:val="20"/>
          <w:szCs w:val="20"/>
          <w:color w:val="auto"/>
        </w:rPr>
      </w:pPr>
      <w:r>
        <w:rPr>
          <w:rFonts w:ascii="Arial" w:cs="Arial" w:eastAsia="Arial" w:hAnsi="Arial"/>
          <w:sz w:val="18"/>
          <w:szCs w:val="18"/>
          <w:color w:val="auto"/>
        </w:rPr>
        <w:t>In September 2018, California’s Senate Bill 826 was signed into law. Senate Bill 826 generally requires that a public company with a principal executive office in California have a minimum number of females on its board of director, with such minimum number dependent on the size of such board of directors. By December 31, 2019, each public company with a principal executive office in California was required to have at least one female on its board of directors. By December 31, 2021, each public company with a principal executive office in California will be required to have at least two females on its board of directors if such company has at least five directors, and at least three females on its board of directors if such company has at least six directors.</w:t>
      </w:r>
    </w:p>
    <w:p>
      <w:pPr>
        <w:spacing w:after="0" w:line="83" w:lineRule="exact"/>
        <w:rPr>
          <w:sz w:val="20"/>
          <w:szCs w:val="20"/>
          <w:color w:val="auto"/>
        </w:rPr>
      </w:pPr>
    </w:p>
    <w:p>
      <w:pPr>
        <w:ind w:right="80" w:firstLine="749"/>
        <w:spacing w:after="0" w:line="311" w:lineRule="auto"/>
        <w:rPr>
          <w:sz w:val="20"/>
          <w:szCs w:val="20"/>
          <w:color w:val="auto"/>
        </w:rPr>
      </w:pPr>
      <w:r>
        <w:rPr>
          <w:rFonts w:ascii="Arial" w:cs="Arial" w:eastAsia="Arial" w:hAnsi="Arial"/>
          <w:sz w:val="16"/>
          <w:szCs w:val="16"/>
          <w:color w:val="auto"/>
        </w:rPr>
        <w:t>Additionally, in September 2020, Assembly Bill 979 was signed into law. Assembly Bill 979 generally requires that a public company with a principal executive office in California have a minimum number of directors from underrepresented communities, with such minimum number dependent on the size of such board of directors. A director from an underrepresented community means a director who self-identifies as Black, African American, Hispanic, Latino, Asian, Pacific Islander, Native American, Native Hawaiian, Alaska Native, gay, lesbian, bisexual or transgender. By December 31, 2021, each public company with a principal executive office in California will be required to have at least one director from an underrepresented community. By December 31, 2022, a public company with a principal executive office in California will be required to have a minimum of two directors from an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2" w:name="page53"/>
    <w:bookmarkEnd w:id="52"/>
    <w:p>
      <w:pPr>
        <w:ind w:right="580"/>
        <w:spacing w:after="0" w:line="359" w:lineRule="auto"/>
        <w:rPr>
          <w:sz w:val="20"/>
          <w:szCs w:val="20"/>
          <w:color w:val="auto"/>
        </w:rPr>
      </w:pPr>
      <w:r>
        <w:rPr>
          <w:rFonts w:ascii="Arial" w:cs="Arial" w:eastAsia="Arial" w:hAnsi="Arial"/>
          <w:sz w:val="16"/>
          <w:szCs w:val="16"/>
          <w:color w:val="auto"/>
        </w:rPr>
        <w:t>underrepresented community if such company has more than four but fewer than nine directors, and a minimum of three directors from an underrepresented community if such company has nine or more directors. These laws do not provide a transition period for newly listed companies.</w:t>
      </w:r>
    </w:p>
    <w:p>
      <w:pPr>
        <w:spacing w:after="0" w:line="17" w:lineRule="exact"/>
        <w:rPr>
          <w:sz w:val="20"/>
          <w:szCs w:val="20"/>
          <w:color w:val="auto"/>
        </w:rPr>
      </w:pPr>
    </w:p>
    <w:p>
      <w:pPr>
        <w:ind w:firstLine="749"/>
        <w:spacing w:after="0" w:line="287" w:lineRule="auto"/>
        <w:rPr>
          <w:sz w:val="20"/>
          <w:szCs w:val="20"/>
          <w:color w:val="auto"/>
        </w:rPr>
      </w:pPr>
      <w:r>
        <w:rPr>
          <w:rFonts w:ascii="Arial" w:cs="Arial" w:eastAsia="Arial" w:hAnsi="Arial"/>
          <w:sz w:val="17"/>
          <w:szCs w:val="17"/>
          <w:color w:val="auto"/>
        </w:rPr>
        <w:t>In addition, in December 2020, Nasdaq announced that it filed with the SEC a proposal to advance board diversity and enhance transparency of board diversity statistics through new listing requirements. If approved by the SEC, the proposed rule would require certain Nasdaq-listed companies to annually disclose diversity statistics regarding their directors’ voluntary self-identified characteristics and include at least two diverse directors on their boards of directors or publicly disclose why their boards of directors do not include diverse directors. Under the proposed rule, a diverse director is someone who self-identifies either as female, Black or African American, Hispanic or Latinx, Asian, Native American or Alaska Native, Native Hawaiian or Pacific Islander, or two or more races or ethnicities, or lesbian, gay, bisexual, transgender or a member of the queer community. Under a proposed phase-in period for companies listed on the Nasdaq Global Select Market, this disclosure requirement would require one diverse director two years after rule adoption and two diverse directors four years after rule adoption.</w:t>
      </w:r>
    </w:p>
    <w:p>
      <w:pPr>
        <w:spacing w:after="0" w:line="74" w:lineRule="exact"/>
        <w:rPr>
          <w:sz w:val="20"/>
          <w:szCs w:val="20"/>
          <w:color w:val="auto"/>
        </w:rPr>
      </w:pPr>
    </w:p>
    <w:p>
      <w:pPr>
        <w:ind w:right="40" w:firstLine="749"/>
        <w:spacing w:after="0" w:line="287" w:lineRule="auto"/>
        <w:rPr>
          <w:sz w:val="20"/>
          <w:szCs w:val="20"/>
          <w:color w:val="auto"/>
        </w:rPr>
      </w:pPr>
      <w:r>
        <w:rPr>
          <w:rFonts w:ascii="Arial" w:cs="Arial" w:eastAsia="Arial" w:hAnsi="Arial"/>
          <w:sz w:val="17"/>
          <w:szCs w:val="17"/>
          <w:color w:val="auto"/>
        </w:rPr>
        <w:t>Our board of directors currently includes two female directors and one director from an underrepresented community. Based on the current composition of our board of directors, if we do not add at least one female director to our board of directors prior to December 31, 2021 or one additional director from an "underrepresented community" to our board of directors prior to December 31, 2022, we would be out of compliance with Senate Bill 826 or Assembly Bill 979, respectively. An initial violation of either law may result in a fine from the California Secretary of State in the amount of $100,000, with each subsequent violation resulting in a fine of $300,000. In addition, if the new Nasdaq diversity rule is adopted and our current or future diverse directors no longer serve on our board of directors we could be out of compliance with Nasdaq. Additionally, we cannot guarantee that we can recruit, attract and/or retain qualified members of the board of directors and meet gender and diversity requirements under California law or the proposed Nasdaq rule, which may expose us to financial penalties and adversely affect our reputation.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w:t>
      </w:r>
    </w:p>
    <w:p>
      <w:pPr>
        <w:spacing w:after="0" w:line="131" w:lineRule="exact"/>
        <w:rPr>
          <w:sz w:val="20"/>
          <w:szCs w:val="20"/>
          <w:color w:val="auto"/>
        </w:rPr>
      </w:pPr>
    </w:p>
    <w:p>
      <w:pPr>
        <w:ind w:firstLine="749"/>
        <w:spacing w:after="0" w:line="290" w:lineRule="auto"/>
        <w:rPr>
          <w:sz w:val="20"/>
          <w:szCs w:val="20"/>
          <w:color w:val="auto"/>
        </w:rPr>
      </w:pPr>
      <w:r>
        <w:rPr>
          <w:rFonts w:ascii="Arial" w:cs="Arial" w:eastAsia="Arial" w:hAnsi="Arial"/>
          <w:sz w:val="17"/>
          <w:szCs w:val="17"/>
          <w:color w:val="auto"/>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could in the future have difficulty attracting and retaining experienced personnel and may be required to expend significant financial resources in our employee recruitment and retention efforts.</w:t>
      </w:r>
    </w:p>
    <w:p>
      <w:pPr>
        <w:spacing w:after="0" w:line="68" w:lineRule="exact"/>
        <w:rPr>
          <w:sz w:val="20"/>
          <w:szCs w:val="20"/>
          <w:color w:val="auto"/>
        </w:rPr>
      </w:pPr>
    </w:p>
    <w:p>
      <w:pPr>
        <w:ind w:right="40" w:firstLine="749"/>
        <w:spacing w:after="0" w:line="292" w:lineRule="auto"/>
        <w:rPr>
          <w:sz w:val="20"/>
          <w:szCs w:val="20"/>
          <w:color w:val="auto"/>
        </w:rPr>
      </w:pPr>
      <w:r>
        <w:rPr>
          <w:rFonts w:ascii="Arial" w:cs="Arial" w:eastAsia="Arial" w:hAnsi="Arial"/>
          <w:sz w:val="17"/>
          <w:szCs w:val="17"/>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66" w:lineRule="exact"/>
        <w:rPr>
          <w:sz w:val="20"/>
          <w:szCs w:val="20"/>
          <w:color w:val="auto"/>
        </w:rPr>
      </w:pPr>
    </w:p>
    <w:p>
      <w:pPr>
        <w:ind w:right="40" w:firstLine="749"/>
        <w:spacing w:after="0" w:line="288" w:lineRule="auto"/>
        <w:rPr>
          <w:sz w:val="20"/>
          <w:szCs w:val="20"/>
          <w:color w:val="auto"/>
        </w:rPr>
      </w:pPr>
      <w:r>
        <w:rPr>
          <w:rFonts w:ascii="Arial" w:cs="Arial" w:eastAsia="Arial" w:hAnsi="Arial"/>
          <w:sz w:val="17"/>
          <w:szCs w:val="17"/>
          <w:color w:val="auto"/>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73" w:lineRule="exact"/>
        <w:rPr>
          <w:sz w:val="20"/>
          <w:szCs w:val="20"/>
          <w:color w:val="auto"/>
        </w:rPr>
      </w:pPr>
    </w:p>
    <w:p>
      <w:pPr>
        <w:spacing w:after="0" w:line="293" w:lineRule="auto"/>
        <w:rPr>
          <w:sz w:val="20"/>
          <w:szCs w:val="20"/>
          <w:color w:val="auto"/>
        </w:rPr>
      </w:pPr>
      <w:r>
        <w:rPr>
          <w:rFonts w:ascii="Arial" w:cs="Arial" w:eastAsia="Arial" w:hAnsi="Arial"/>
          <w:sz w:val="18"/>
          <w:szCs w:val="18"/>
          <w:b w:val="1"/>
          <w:bCs w:val="1"/>
          <w:i w:val="1"/>
          <w:iCs w:val="1"/>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62" w:lineRule="exact"/>
        <w:rPr>
          <w:sz w:val="20"/>
          <w:szCs w:val="20"/>
          <w:color w:val="auto"/>
        </w:rPr>
      </w:pPr>
    </w:p>
    <w:p>
      <w:pPr>
        <w:ind w:right="60" w:firstLine="749"/>
        <w:spacing w:after="0" w:line="275" w:lineRule="auto"/>
        <w:rPr>
          <w:sz w:val="20"/>
          <w:szCs w:val="20"/>
          <w:color w:val="auto"/>
        </w:rPr>
      </w:pPr>
      <w:r>
        <w:rPr>
          <w:rFonts w:ascii="Arial" w:cs="Arial" w:eastAsia="Arial" w:hAnsi="Arial"/>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77" w:lineRule="exact"/>
        <w:rPr>
          <w:sz w:val="20"/>
          <w:szCs w:val="20"/>
          <w:color w:val="auto"/>
        </w:rPr>
      </w:pPr>
    </w:p>
    <w:p>
      <w:pPr>
        <w:ind w:right="200" w:firstLine="749"/>
        <w:spacing w:after="0" w:line="275" w:lineRule="auto"/>
        <w:rPr>
          <w:sz w:val="20"/>
          <w:szCs w:val="20"/>
          <w:color w:val="auto"/>
        </w:rPr>
      </w:pPr>
      <w:r>
        <w:rPr>
          <w:rFonts w:ascii="Arial" w:cs="Arial" w:eastAsia="Arial" w:hAnsi="Arial"/>
          <w:sz w:val="18"/>
          <w:szCs w:val="18"/>
          <w:color w:val="auto"/>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3" w:name="page54"/>
    <w:bookmarkEnd w:id="53"/>
    <w:p>
      <w:pPr>
        <w:spacing w:after="0" w:line="269" w:lineRule="auto"/>
        <w:rPr>
          <w:sz w:val="20"/>
          <w:szCs w:val="20"/>
          <w:color w:val="auto"/>
        </w:rPr>
      </w:pPr>
      <w:r>
        <w:rPr>
          <w:rFonts w:ascii="Arial" w:cs="Arial" w:eastAsia="Arial" w:hAnsi="Arial"/>
          <w:sz w:val="18"/>
          <w:szCs w:val="18"/>
          <w:color w:val="auto"/>
        </w:rPr>
        <w:t>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88"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2" w:lineRule="exact"/>
        <w:rPr>
          <w:sz w:val="20"/>
          <w:szCs w:val="20"/>
          <w:color w:val="auto"/>
        </w:rPr>
      </w:pPr>
    </w:p>
    <w:p>
      <w:pPr>
        <w:ind w:right="180" w:firstLine="749"/>
        <w:spacing w:after="0" w:line="303" w:lineRule="auto"/>
        <w:rPr>
          <w:sz w:val="20"/>
          <w:szCs w:val="20"/>
          <w:color w:val="auto"/>
        </w:rPr>
      </w:pPr>
      <w:r>
        <w:rPr>
          <w:rFonts w:ascii="Arial" w:cs="Arial" w:eastAsia="Arial" w:hAnsi="Arial"/>
          <w:sz w:val="17"/>
          <w:szCs w:val="17"/>
          <w:color w:val="auto"/>
        </w:rPr>
        <w:t>As of June 30, 2021, we had 70 full-time employees, including 52 employees engaged in research and development. 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p>
      <w:pPr>
        <w:spacing w:after="0" w:line="5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identifying, recruiting, integrating, maintaining and motivating additional employees;</w:t>
      </w:r>
    </w:p>
    <w:p>
      <w:pPr>
        <w:spacing w:after="0" w:line="131" w:lineRule="exact"/>
        <w:rPr>
          <w:sz w:val="20"/>
          <w:szCs w:val="20"/>
          <w:color w:val="auto"/>
        </w:rPr>
      </w:pPr>
    </w:p>
    <w:p>
      <w:pPr>
        <w:ind w:left="1200" w:right="40"/>
        <w:spacing w:after="0" w:line="279" w:lineRule="auto"/>
        <w:rPr>
          <w:sz w:val="20"/>
          <w:szCs w:val="20"/>
          <w:color w:val="auto"/>
        </w:rPr>
      </w:pPr>
      <w:r>
        <w:rPr>
          <w:rFonts w:ascii="Arial" w:cs="Arial" w:eastAsia="Arial" w:hAnsi="Arial"/>
          <w:sz w:val="18"/>
          <w:szCs w:val="18"/>
          <w:color w:val="auto"/>
        </w:rPr>
        <w:t>managing our internal development efforts effectively, including the clinical, FDA, EMA and other comparable foreign regulatory agencies’ review process for ORIC-101 and any other product candidates, while complying with any contractual obligations to contractors and other third parties we may have; and</w:t>
      </w:r>
    </w:p>
    <w:p>
      <w:pPr>
        <w:spacing w:after="0" w:line="7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improving our operational, financial and management controls, reporting systems and procedures.</w:t>
      </w:r>
    </w:p>
    <w:p>
      <w:pPr>
        <w:spacing w:after="0" w:line="131" w:lineRule="exact"/>
        <w:rPr>
          <w:sz w:val="20"/>
          <w:szCs w:val="20"/>
          <w:color w:val="auto"/>
        </w:rPr>
      </w:pPr>
    </w:p>
    <w:p>
      <w:pPr>
        <w:ind w:right="340" w:firstLine="749"/>
        <w:spacing w:after="0" w:line="329" w:lineRule="auto"/>
        <w:rPr>
          <w:sz w:val="20"/>
          <w:szCs w:val="20"/>
          <w:color w:val="auto"/>
        </w:rPr>
      </w:pPr>
      <w:r>
        <w:rPr>
          <w:rFonts w:ascii="Arial" w:cs="Arial" w:eastAsia="Arial" w:hAnsi="Arial"/>
          <w:sz w:val="16"/>
          <w:szCs w:val="16"/>
          <w:color w:val="auto"/>
        </w:rPr>
        <w:t>Our future financial performance and our ability to successfully develop and, if approved, commercialize ORIC-101 and other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40" w:lineRule="exact"/>
        <w:rPr>
          <w:sz w:val="20"/>
          <w:szCs w:val="20"/>
          <w:color w:val="auto"/>
        </w:rPr>
      </w:pPr>
    </w:p>
    <w:p>
      <w:pPr>
        <w:ind w:right="160" w:firstLine="749"/>
        <w:spacing w:after="0" w:line="309"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ORIC-101 and any other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56" w:lineRule="exact"/>
        <w:rPr>
          <w:sz w:val="20"/>
          <w:szCs w:val="20"/>
          <w:color w:val="auto"/>
        </w:rPr>
      </w:pPr>
    </w:p>
    <w:p>
      <w:pPr>
        <w:ind w:right="200" w:firstLine="749"/>
        <w:spacing w:after="0" w:line="279"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ORIC-101 and other product candidates and, accordingly, may not achieve our research, development and commercialization goals.</w:t>
      </w:r>
    </w:p>
    <w:p>
      <w:pPr>
        <w:spacing w:after="0" w:line="75" w:lineRule="exact"/>
        <w:rPr>
          <w:sz w:val="20"/>
          <w:szCs w:val="20"/>
          <w:color w:val="auto"/>
        </w:rPr>
      </w:pPr>
    </w:p>
    <w:p>
      <w:pPr>
        <w:jc w:val="both"/>
        <w:ind w:right="260"/>
        <w:spacing w:after="0" w:line="275"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7" w:lineRule="exact"/>
        <w:rPr>
          <w:sz w:val="20"/>
          <w:szCs w:val="20"/>
          <w:color w:val="auto"/>
        </w:rPr>
      </w:pPr>
    </w:p>
    <w:p>
      <w:pPr>
        <w:ind w:right="20" w:firstLine="749"/>
        <w:spacing w:after="0" w:line="304" w:lineRule="auto"/>
        <w:rPr>
          <w:sz w:val="20"/>
          <w:szCs w:val="20"/>
          <w:color w:val="auto"/>
        </w:rPr>
      </w:pPr>
      <w:r>
        <w:rPr>
          <w:rFonts w:ascii="Arial" w:cs="Arial" w:eastAsia="Arial" w:hAnsi="Arial"/>
          <w:sz w:val="16"/>
          <w:szCs w:val="16"/>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disclosure, or dissemination of, or damage or unauthorized access to, our data or data that is processed or maintained on our behalf, or other assets. For example, we have received phishing attacks, and companies have experienced an increase in phishing and social engineering attacks from third parties in connection with the COVID-19 pandemic, and the increase in remote working further increases security threats. To the extent that any disruption or security breach were to result in any loss, destruction, unavailability, alteration, disclosure, or dissemination of, or damage to or unauthorized access, our applications, any other data processed or maintained on our behalf, or other assets, or for it to be believed or reported that any of these occurred, we could incur liability, financial harm and reputational damage and the development and commercialization of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4" w:name="page55"/>
    <w:bookmarkEnd w:id="54"/>
    <w:p>
      <w:pPr>
        <w:ind w:right="40"/>
        <w:spacing w:after="0" w:line="304" w:lineRule="auto"/>
        <w:rPr>
          <w:sz w:val="20"/>
          <w:szCs w:val="20"/>
          <w:color w:val="auto"/>
        </w:rPr>
      </w:pPr>
      <w:r>
        <w:rPr>
          <w:rFonts w:ascii="Arial" w:cs="Arial" w:eastAsia="Arial" w:hAnsi="Arial"/>
          <w:sz w:val="16"/>
          <w:szCs w:val="16"/>
          <w:color w:val="auto"/>
        </w:rPr>
        <w:t>product candidates could be delayed. We cannot assure you that our data protection efforts and our investment in information technology, or the efforts or investments of CROs, consultants or other third parties, will prevent significant breakdowns or breaches in systems or other cyber incidents that cause loss, destruction, unavailability, alteration or dissemination of, or damage or unauthorized access to, our data and other data processed or maintained on our behalf or other assets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or dissemination of, or the prevention of access to, data (including trade secrets or other confidential information, intellectual property, proprietary business information, and personal information), which could result in financial, legal, business, and reputational harm to us. For example, any such event that leads to loss, damage, or unauthorized access to, or use, alteration, or disclosure or dissemination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58" w:lineRule="exact"/>
        <w:rPr>
          <w:sz w:val="20"/>
          <w:szCs w:val="20"/>
          <w:color w:val="auto"/>
        </w:rPr>
      </w:pPr>
    </w:p>
    <w:p>
      <w:pPr>
        <w:ind w:right="20" w:firstLine="749"/>
        <w:spacing w:after="0" w:line="286" w:lineRule="auto"/>
        <w:rPr>
          <w:sz w:val="20"/>
          <w:szCs w:val="20"/>
          <w:color w:val="auto"/>
        </w:rPr>
      </w:pPr>
      <w:r>
        <w:rPr>
          <w:rFonts w:ascii="Arial" w:cs="Arial" w:eastAsia="Arial" w:hAnsi="Arial"/>
          <w:sz w:val="17"/>
          <w:szCs w:val="17"/>
          <w:color w:val="auto"/>
        </w:rPr>
        <w:t>Notifications and follow-up actions related to a security incident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To the extent that any disruption or security incident were to result in any loss, destruction, or alteration of, or damage or unauthorized access to, our data or other information that is processed or maintained on or behalf, or inappropriate disclosure or dissemination of any such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74" w:lineRule="exact"/>
        <w:rPr>
          <w:sz w:val="20"/>
          <w:szCs w:val="20"/>
          <w:color w:val="auto"/>
        </w:rPr>
      </w:pPr>
    </w:p>
    <w:p>
      <w:pPr>
        <w:ind w:right="240" w:firstLine="749"/>
        <w:spacing w:after="0" w:line="319" w:lineRule="auto"/>
        <w:rPr>
          <w:sz w:val="20"/>
          <w:szCs w:val="20"/>
          <w:color w:val="auto"/>
        </w:rPr>
      </w:pPr>
      <w:r>
        <w:rPr>
          <w:rFonts w:ascii="Arial" w:cs="Arial" w:eastAsia="Arial" w:hAnsi="Arial"/>
          <w:sz w:val="16"/>
          <w:szCs w:val="16"/>
          <w:color w:val="auto"/>
        </w:rPr>
        <w:t>Our insurance policies may not be adequate to compensate us for the potential losses arising from any such disruption in or, failure or security breach of our systems or third-party systems where 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48"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earthquakes, power loss, telecommunications failure, terrorist activity, pandemics and other events beyond our control, which could harm our business.</w:t>
      </w:r>
    </w:p>
    <w:p>
      <w:pPr>
        <w:spacing w:after="0" w:line="62" w:lineRule="exact"/>
        <w:rPr>
          <w:sz w:val="20"/>
          <w:szCs w:val="20"/>
          <w:color w:val="auto"/>
        </w:rPr>
      </w:pPr>
    </w:p>
    <w:p>
      <w:pPr>
        <w:ind w:firstLine="749"/>
        <w:spacing w:after="0" w:line="272" w:lineRule="auto"/>
        <w:rPr>
          <w:sz w:val="20"/>
          <w:szCs w:val="20"/>
          <w:color w:val="auto"/>
        </w:rPr>
      </w:pPr>
      <w:r>
        <w:rPr>
          <w:rFonts w:ascii="Arial" w:cs="Arial" w:eastAsia="Arial" w:hAnsi="Arial"/>
          <w:sz w:val="18"/>
          <w:szCs w:val="18"/>
          <w:color w:val="auto"/>
        </w:rPr>
        <w:t>Our facilities are located in California. We have not undertaken a systematic analysis of the potential consequences to our business and financial results from a major flood, fire, earthquake,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83"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b w:val="1"/>
          <w:bCs w:val="1"/>
          <w:i w:val="1"/>
          <w:iCs w:val="1"/>
          <w:color w:val="auto"/>
        </w:rPr>
        <w:t>Our Chief Financial Officer and Chief Business Officer have been subpoenaed for information by the Securities and Exchange Commission on a matter unrelated to ORIC.</w:t>
      </w:r>
    </w:p>
    <w:p>
      <w:pPr>
        <w:spacing w:after="0" w:line="62" w:lineRule="exact"/>
        <w:rPr>
          <w:sz w:val="20"/>
          <w:szCs w:val="20"/>
          <w:color w:val="auto"/>
        </w:rPr>
      </w:pPr>
    </w:p>
    <w:p>
      <w:pPr>
        <w:ind w:right="80" w:firstLine="749"/>
        <w:spacing w:after="0" w:line="286" w:lineRule="auto"/>
        <w:rPr>
          <w:sz w:val="20"/>
          <w:szCs w:val="20"/>
          <w:color w:val="auto"/>
        </w:rPr>
      </w:pPr>
      <w:r>
        <w:rPr>
          <w:rFonts w:ascii="Arial" w:cs="Arial" w:eastAsia="Arial" w:hAnsi="Arial"/>
          <w:sz w:val="17"/>
          <w:szCs w:val="17"/>
          <w:color w:val="auto"/>
        </w:rPr>
        <w:t>Our Chief Financial Officer and Chief Business Officer each received subpoenas for documents and information, in their personal capacities, from the SEC in March and April 2020. The subpoenas appear to relate to an ongoing SEC investigation into the trading of securities of certain other companies. The subpoenas state that they are a part of a non-public fact-finding inquiry by the SEC and do not mean that a conclusion has been reached regarding the conduct of the individuals. Both individuals have assured us that they have not engaged in any wrongdoing with respect to the matters at issue in the SEC inquiry. We cannot predict the course of the SEC’s inquiry and its implications for us. Nor can we predict what actions, if any, the SEC or any other governmental agency may ultimately take on these matters in the future. If action were taken against one or both of these individuals, any such action will become time consuming and distracting for them, and if such action is successful, the individual or individuals could be subject to fines, penalties and the imposition of restrictive sanctions that may affect their ability to serve as officers of our company. Regardless of the outcome, these matters may result in incurrence of additional costs and diversion of management’s attention, and may create a perception of wrongdoing that could be harmful to our business or reputation.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to offset future taxable income may be limited.</w:t>
      </w:r>
    </w:p>
    <w:p>
      <w:pPr>
        <w:spacing w:after="0" w:line="142" w:lineRule="exact"/>
        <w:rPr>
          <w:sz w:val="20"/>
          <w:szCs w:val="20"/>
          <w:color w:val="auto"/>
        </w:rPr>
      </w:pPr>
    </w:p>
    <w:p>
      <w:pPr>
        <w:ind w:right="60" w:firstLine="749"/>
        <w:spacing w:after="0" w:line="287" w:lineRule="auto"/>
        <w:rPr>
          <w:sz w:val="20"/>
          <w:szCs w:val="20"/>
          <w:color w:val="auto"/>
        </w:rPr>
      </w:pPr>
      <w:r>
        <w:rPr>
          <w:rFonts w:ascii="Arial" w:cs="Arial" w:eastAsia="Arial" w:hAnsi="Arial"/>
          <w:sz w:val="17"/>
          <w:szCs w:val="17"/>
          <w:color w:val="auto"/>
        </w:rPr>
        <w:t>Our net operating loss (NOL) carryforwards may be unavailable to offset future taxable income because of restrictions under U.S. tax law. Our NOLs generated in tax years beginning prior to January 1, 2018 are only permitted to be carried forward for 20 taxable years under applicable U.S. federal tax law, and therefore could expire unused. Under tax legislation commonly referred to as the Tax Cuts and Jobs Act (Tax Act) as amended by the Coronavirus Aid, Relief, and Economic Security Act (CARES Act), our federal NOLs generated in tax years beginning after December 31, 2017 may be carried forward indefinitely, but for taxable years beginning after December 31, 2020, the deductibility of federal NOLs generated in tax years beginning after December 31, 2017 is limited to 80% of our current year taxable income. As of December 31, 2020, we had available NOL carry forwards of $130.8 million, of which $89.2 million do not expire. We also have available California NOL carryforwards of approximately $132.0 million as of December 31, 2020, which begin to expire in 2034 and are subject to limitation on use.</w:t>
      </w:r>
    </w:p>
    <w:p>
      <w:pPr>
        <w:spacing w:after="0" w:line="74" w:lineRule="exact"/>
        <w:rPr>
          <w:sz w:val="20"/>
          <w:szCs w:val="20"/>
          <w:color w:val="auto"/>
        </w:rPr>
      </w:pPr>
    </w:p>
    <w:p>
      <w:pPr>
        <w:ind w:right="100" w:firstLine="749"/>
        <w:spacing w:after="0" w:line="308" w:lineRule="auto"/>
        <w:rPr>
          <w:sz w:val="20"/>
          <w:szCs w:val="20"/>
          <w:color w:val="auto"/>
        </w:rPr>
      </w:pPr>
      <w:r>
        <w:rPr>
          <w:rFonts w:ascii="Arial" w:cs="Arial" w:eastAsia="Arial" w:hAnsi="Arial"/>
          <w:sz w:val="16"/>
          <w:szCs w:val="16"/>
          <w:color w:val="auto"/>
        </w:rPr>
        <w:t>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may have experienced such ownership changes in the past, and we may experience ownership changes in the future as a result of shifts in our stock ownership, some of which are outside our control. We have not conducted any studies to determine annual limitations, if any, that could result from such changes in the ownership. 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could materially adversely affect our company.</w:t>
      </w:r>
    </w:p>
    <w:p>
      <w:pPr>
        <w:spacing w:after="0" w:line="131" w:lineRule="exact"/>
        <w:rPr>
          <w:sz w:val="20"/>
          <w:szCs w:val="20"/>
          <w:color w:val="auto"/>
        </w:rPr>
      </w:pPr>
    </w:p>
    <w:p>
      <w:pPr>
        <w:ind w:firstLine="749"/>
        <w:spacing w:after="0" w:line="304" w:lineRule="auto"/>
        <w:rPr>
          <w:sz w:val="20"/>
          <w:szCs w:val="20"/>
          <w:color w:val="auto"/>
        </w:rPr>
      </w:pPr>
      <w:r>
        <w:rPr>
          <w:rFonts w:ascii="Arial" w:cs="Arial" w:eastAsia="Arial" w:hAnsi="Arial"/>
          <w:sz w:val="16"/>
          <w:szCs w:val="16"/>
          <w:color w:val="auto"/>
        </w:rPr>
        <w:t>Recent legislation commonly known as the Tax Act, significantly revises the Code. The Tax Act, as amended by the CARES Act, among other things, reduces the corporate tax rate from a top marginal rate of 35% to a flat rate of 21%, repeals the alternative minimum tax for corporations, limits the tax deduction for interest expense to 30% (50% for taxable years beginning in 2019 or 2020) of adjusted taxable income (except for certain small businesses), limits the deduction in taxable years beginning after December 31, 2020, for NOLs carried forward from taxable years beginning after December 31, 2017, eliminates net operating loss carrybacks for NOLs generated in taxable years beginning after December 31, 2020, and modifies or repeals many business deductions and credits. Our financial statements included elsewhere in this periodic report reflect the effects of the Tax Act based on current guidance. However, there remain uncertainties and ambiguities in the application of certain provisions of the Tax Act and, as a result, we made certain judgments and assumptions in the interpretation thereof. The U.S. Treasury Department and the Internal Revenue Service, or the IRS, may issue further guidance on how the provisions of the Tax Act will be applied or otherwise administered, which may differ from our current interpretation. In addition, the Tax Act could be subject to potential amendments and technical corrections, any of which could materially lessen or increase certain adverse impacts of the legislation on us. Additionally, the new administration in the United States and congressional decisions made in the near future may result in increased corporate tax. For example, President Biden has proposed increasing the corporate tax rate to 28%. If enacted, such legislation may increase the amount of tax we may owe in future taxable years, which may adversely impact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could materially adversely affect our business.</w:t>
      </w:r>
    </w:p>
    <w:p>
      <w:pPr>
        <w:spacing w:after="0" w:line="131" w:lineRule="exact"/>
        <w:rPr>
          <w:sz w:val="20"/>
          <w:szCs w:val="20"/>
          <w:color w:val="auto"/>
        </w:rPr>
      </w:pPr>
    </w:p>
    <w:p>
      <w:pPr>
        <w:ind w:right="220" w:firstLine="749"/>
        <w:spacing w:after="0" w:line="293" w:lineRule="auto"/>
        <w:rPr>
          <w:sz w:val="20"/>
          <w:szCs w:val="20"/>
          <w:color w:val="auto"/>
        </w:rPr>
      </w:pPr>
      <w:r>
        <w:rPr>
          <w:rFonts w:ascii="Arial" w:cs="Arial" w:eastAsia="Arial" w:hAnsi="Arial"/>
          <w:sz w:val="18"/>
          <w:szCs w:val="18"/>
          <w:color w:val="auto"/>
        </w:rPr>
        <w:t>We may seek regulatory approval of our product candidates outside of the United States and, accordingly, we expect that we will be subject to additional risks related to operating in foreign countries if we obtain the necessary approvals, including:</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differing regulatory requirements and reimbursement regimes in foreign countries;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compliance with tax, employment, immigration and labor laws for employees living or traveling abroad;</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foreign taxes, including withholding of payroll taxes;</w:t>
      </w:r>
    </w:p>
    <w:p>
      <w:pPr>
        <w:spacing w:after="0" w:line="131" w:lineRule="exact"/>
        <w:rPr>
          <w:sz w:val="20"/>
          <w:szCs w:val="20"/>
          <w:color w:val="auto"/>
        </w:rPr>
      </w:pPr>
    </w:p>
    <w:p>
      <w:pPr>
        <w:ind w:left="1200" w:right="220"/>
        <w:spacing w:after="0" w:line="293" w:lineRule="auto"/>
        <w:rPr>
          <w:sz w:val="20"/>
          <w:szCs w:val="20"/>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difficulties staffing and managing foreign operations;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workforce uncertainty in countries where labor unrest is more common than in the United States;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potential liability under the FCPA or comparable foreign regulations;</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56" w:name="page57"/>
    <w:bookmarkEnd w:id="56"/>
    <w:p>
      <w:pPr>
        <w:ind w:left="1200" w:right="220"/>
        <w:spacing w:after="0" w:line="293" w:lineRule="auto"/>
        <w:rPr>
          <w:sz w:val="20"/>
          <w:szCs w:val="20"/>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sz w:val="20"/>
          <w:szCs w:val="20"/>
          <w:color w:val="auto"/>
        </w:rPr>
      </w:pPr>
    </w:p>
    <w:p>
      <w:pPr>
        <w:ind w:left="1200" w:right="1420"/>
        <w:spacing w:after="0" w:line="391" w:lineRule="auto"/>
        <w:rPr>
          <w:sz w:val="20"/>
          <w:szCs w:val="20"/>
          <w:color w:val="auto"/>
        </w:rPr>
      </w:pPr>
      <w:r>
        <w:rPr>
          <w:rFonts w:ascii="Arial" w:cs="Arial" w:eastAsia="Arial" w:hAnsi="Arial"/>
          <w:sz w:val="18"/>
          <w:szCs w:val="18"/>
          <w:color w:val="auto"/>
        </w:rPr>
        <w:t>production shortages resulting from any events affecting raw material supply or manufacturing capabilities abroad; and business interruptions resulting from geo-political actions, including war and terrorism.</w:t>
      </w:r>
    </w:p>
    <w:p>
      <w:pPr>
        <w:spacing w:after="0" w:line="1" w:lineRule="exact"/>
        <w:rPr>
          <w:sz w:val="20"/>
          <w:szCs w:val="20"/>
          <w:color w:val="auto"/>
        </w:rPr>
      </w:pPr>
    </w:p>
    <w:p>
      <w:pPr>
        <w:ind w:right="380" w:firstLine="749"/>
        <w:spacing w:after="0" w:line="293"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31" w:lineRule="exact"/>
        <w:rPr>
          <w:sz w:val="20"/>
          <w:szCs w:val="20"/>
          <w:color w:val="auto"/>
        </w:rPr>
      </w:pPr>
    </w:p>
    <w:p>
      <w:pPr>
        <w:ind w:right="140" w:firstLine="749"/>
        <w:spacing w:after="0" w:line="272"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applications from third parties.</w:t>
      </w:r>
    </w:p>
    <w:p>
      <w:pPr>
        <w:spacing w:after="0" w:line="83" w:lineRule="exact"/>
        <w:rPr>
          <w:sz w:val="20"/>
          <w:szCs w:val="20"/>
          <w:color w:val="auto"/>
        </w:rPr>
      </w:pPr>
    </w:p>
    <w:p>
      <w:pPr>
        <w:ind w:right="60" w:firstLine="749"/>
        <w:spacing w:after="0" w:line="272"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83" w:lineRule="exact"/>
        <w:rPr>
          <w:sz w:val="20"/>
          <w:szCs w:val="20"/>
          <w:color w:val="auto"/>
        </w:rPr>
      </w:pPr>
    </w:p>
    <w:p>
      <w:pPr>
        <w:ind w:right="40" w:firstLine="749"/>
        <w:spacing w:after="0" w:line="272"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The degree of future protection for our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83" w:lineRule="exact"/>
        <w:rPr>
          <w:sz w:val="20"/>
          <w:szCs w:val="20"/>
          <w:color w:val="auto"/>
        </w:rPr>
      </w:pPr>
    </w:p>
    <w:p>
      <w:pPr>
        <w:ind w:firstLine="749"/>
        <w:spacing w:after="0" w:line="319" w:lineRule="auto"/>
        <w:rPr>
          <w:sz w:val="20"/>
          <w:szCs w:val="20"/>
          <w:color w:val="auto"/>
        </w:rPr>
      </w:pPr>
      <w:r>
        <w:rPr>
          <w:rFonts w:ascii="Arial" w:cs="Arial" w:eastAsia="Arial" w:hAnsi="Arial"/>
          <w:sz w:val="16"/>
          <w:szCs w:val="16"/>
          <w:color w:val="auto"/>
        </w:rPr>
        <w:t>Although as of June 30, 2021 we owned four and licensed two issued patents in the United States, we cannot be certain that the claims in our other U.S. pending patent applications, corresponding international patent applications and patent applications in certain foreign territories, or those of our licensors, will be considered patentable by the United States Patent and Trademark Office (USPTO), courts in the United States or by the patent offices and courts in foreign countries, nor can we be certain that the claims in our issued or licensed patents will not be found invalid or unenforceable if challenged.</w:t>
      </w:r>
    </w:p>
    <w:p>
      <w:pPr>
        <w:spacing w:after="0" w:line="48" w:lineRule="exact"/>
        <w:rPr>
          <w:sz w:val="20"/>
          <w:szCs w:val="20"/>
          <w:color w:val="auto"/>
        </w:rPr>
      </w:pPr>
    </w:p>
    <w:p>
      <w:pPr>
        <w:ind w:firstLine="749"/>
        <w:spacing w:after="0" w:line="279"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75" w:lineRule="exact"/>
        <w:rPr>
          <w:sz w:val="20"/>
          <w:szCs w:val="20"/>
          <w:color w:val="auto"/>
        </w:rPr>
      </w:pPr>
    </w:p>
    <w:p>
      <w:pPr>
        <w:ind w:left="1200" w:right="20"/>
        <w:spacing w:after="0" w:line="303"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5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patent applications may not result in any patents being issued;</w:t>
      </w:r>
    </w:p>
    <w:p>
      <w:pPr>
        <w:spacing w:after="0" w:line="131" w:lineRule="exact"/>
        <w:rPr>
          <w:sz w:val="20"/>
          <w:szCs w:val="20"/>
          <w:color w:val="auto"/>
        </w:rPr>
      </w:pPr>
    </w:p>
    <w:p>
      <w:pPr>
        <w:ind w:left="1200" w:right="280"/>
        <w:spacing w:after="0" w:line="293" w:lineRule="auto"/>
        <w:rPr>
          <w:sz w:val="20"/>
          <w:szCs w:val="20"/>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62" w:lineRule="exact"/>
        <w:rPr>
          <w:sz w:val="20"/>
          <w:szCs w:val="20"/>
          <w:color w:val="auto"/>
        </w:rPr>
      </w:pPr>
    </w:p>
    <w:p>
      <w:pPr>
        <w:jc w:val="both"/>
        <w:ind w:left="1200" w:right="60"/>
        <w:spacing w:after="0" w:line="279" w:lineRule="auto"/>
        <w:rPr>
          <w:sz w:val="20"/>
          <w:szCs w:val="20"/>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75" w:lineRule="exact"/>
        <w:rPr>
          <w:sz w:val="20"/>
          <w:szCs w:val="20"/>
          <w:color w:val="auto"/>
        </w:rPr>
      </w:pPr>
    </w:p>
    <w:p>
      <w:pPr>
        <w:jc w:val="both"/>
        <w:ind w:left="1200" w:right="300"/>
        <w:spacing w:after="0" w:line="279" w:lineRule="auto"/>
        <w:rPr>
          <w:sz w:val="20"/>
          <w:szCs w:val="20"/>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75" w:lineRule="exact"/>
        <w:rPr>
          <w:sz w:val="20"/>
          <w:szCs w:val="20"/>
          <w:color w:val="auto"/>
        </w:rPr>
      </w:pPr>
    </w:p>
    <w:p>
      <w:pPr>
        <w:ind w:left="1200" w:right="80"/>
        <w:spacing w:after="0" w:line="293" w:lineRule="auto"/>
        <w:rPr>
          <w:sz w:val="20"/>
          <w:szCs w:val="20"/>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62" w:lineRule="exact"/>
        <w:rPr>
          <w:sz w:val="20"/>
          <w:szCs w:val="20"/>
          <w:color w:val="auto"/>
        </w:rPr>
      </w:pPr>
    </w:p>
    <w:p>
      <w:pPr>
        <w:ind w:right="100" w:firstLine="749"/>
        <w:spacing w:after="0" w:line="275" w:lineRule="auto"/>
        <w:rPr>
          <w:sz w:val="20"/>
          <w:szCs w:val="20"/>
          <w:color w:val="auto"/>
        </w:rPr>
      </w:pPr>
      <w:r>
        <w:rPr>
          <w:rFonts w:ascii="Arial" w:cs="Arial" w:eastAsia="Arial" w:hAnsi="Arial"/>
          <w:sz w:val="18"/>
          <w:szCs w:val="18"/>
          <w:color w:val="auto"/>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It is also possible that we or our licensors will fail to identify patentable aspects of our research and development output before it is too late to obtain patent protection.</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57" w:name="page58"/>
    <w:bookmarkEnd w:id="57"/>
    <w:p>
      <w:pPr>
        <w:ind w:right="60" w:firstLine="749"/>
        <w:spacing w:after="0" w:line="275"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77" w:lineRule="exact"/>
        <w:rPr>
          <w:sz w:val="20"/>
          <w:szCs w:val="20"/>
          <w:color w:val="auto"/>
        </w:rPr>
      </w:pPr>
    </w:p>
    <w:p>
      <w:pPr>
        <w:ind w:right="60" w:firstLine="749"/>
        <w:spacing w:after="0" w:line="279"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75"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62" w:lineRule="exact"/>
        <w:rPr>
          <w:sz w:val="20"/>
          <w:szCs w:val="20"/>
          <w:color w:val="auto"/>
        </w:rPr>
      </w:pPr>
    </w:p>
    <w:p>
      <w:pPr>
        <w:ind w:firstLine="749"/>
        <w:spacing w:after="0" w:line="275"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77" w:lineRule="exact"/>
        <w:rPr>
          <w:sz w:val="20"/>
          <w:szCs w:val="20"/>
          <w:color w:val="auto"/>
        </w:rPr>
      </w:pPr>
    </w:p>
    <w:p>
      <w:pPr>
        <w:ind w:right="40" w:firstLine="749"/>
        <w:spacing w:after="0" w:line="269"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88" w:lineRule="exact"/>
        <w:rPr>
          <w:sz w:val="20"/>
          <w:szCs w:val="20"/>
          <w:color w:val="auto"/>
        </w:rPr>
      </w:pPr>
    </w:p>
    <w:p>
      <w:pPr>
        <w:ind w:right="20" w:firstLine="749"/>
        <w:spacing w:after="0" w:line="304"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(IPR), or other similar proceedings challenging our owned or in-licensed patent rights. An adverse determination in any such submission, proceeding or litigation could reduce the scope of, or invalidate or render unenforceable, our patent rights or those of our licensors, allow third parties to commercialize our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31" w:lineRule="exact"/>
        <w:rPr>
          <w:sz w:val="20"/>
          <w:szCs w:val="20"/>
          <w:color w:val="auto"/>
        </w:rPr>
      </w:pPr>
    </w:p>
    <w:p>
      <w:pPr>
        <w:ind w:right="120" w:firstLine="749"/>
        <w:spacing w:after="0" w:line="293"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1200" w:right="160"/>
        <w:spacing w:after="0" w:line="293" w:lineRule="auto"/>
        <w:rPr>
          <w:sz w:val="20"/>
          <w:szCs w:val="20"/>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62" w:lineRule="exact"/>
        <w:rPr>
          <w:sz w:val="20"/>
          <w:szCs w:val="20"/>
          <w:color w:val="auto"/>
        </w:rPr>
      </w:pPr>
    </w:p>
    <w:p>
      <w:pPr>
        <w:ind w:left="1200" w:right="20"/>
        <w:spacing w:after="0" w:line="293" w:lineRule="auto"/>
        <w:rPr>
          <w:sz w:val="20"/>
          <w:szCs w:val="20"/>
          <w:color w:val="auto"/>
        </w:rPr>
      </w:pPr>
      <w:r>
        <w:rPr>
          <w:rFonts w:ascii="Arial" w:cs="Arial" w:eastAsia="Arial" w:hAnsi="Arial"/>
          <w:sz w:val="18"/>
          <w:szCs w:val="18"/>
          <w:color w:val="auto"/>
        </w:rPr>
        <w:t>we or our licensors or collaborators might not have been the first to make the inventions covered by the issued patents or patent application that we own or license;</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we or our licensors or collaborators might not have been the first to file patent applications covering certain of our inventions;</w:t>
      </w:r>
    </w:p>
    <w:p>
      <w:pPr>
        <w:spacing w:after="0" w:line="131" w:lineRule="exact"/>
        <w:rPr>
          <w:sz w:val="20"/>
          <w:szCs w:val="20"/>
          <w:color w:val="auto"/>
        </w:rPr>
      </w:pPr>
    </w:p>
    <w:p>
      <w:pPr>
        <w:ind w:left="1200" w:right="780"/>
        <w:spacing w:after="0" w:line="293" w:lineRule="auto"/>
        <w:rPr>
          <w:sz w:val="20"/>
          <w:szCs w:val="20"/>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it is possible that the pending patent applications we own or license will not lead to issued patents;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8" w:name="page59"/>
    <w:bookmarkEnd w:id="58"/>
    <w:p>
      <w:pPr>
        <w:ind w:left="1200"/>
        <w:spacing w:after="0"/>
        <w:rPr>
          <w:sz w:val="20"/>
          <w:szCs w:val="20"/>
          <w:color w:val="auto"/>
        </w:rPr>
      </w:pPr>
      <w:r>
        <w:rPr>
          <w:rFonts w:ascii="Arial" w:cs="Arial" w:eastAsia="Arial" w:hAnsi="Arial"/>
          <w:sz w:val="17"/>
          <w:szCs w:val="17"/>
          <w:color w:val="auto"/>
        </w:rPr>
        <w:t>issued patents that we own or license may be held invalid or unenforceable, as a result of legal challenges by our competitors;</w:t>
      </w:r>
    </w:p>
    <w:p>
      <w:pPr>
        <w:spacing w:after="0" w:line="142" w:lineRule="exact"/>
        <w:rPr>
          <w:sz w:val="20"/>
          <w:szCs w:val="20"/>
          <w:color w:val="auto"/>
        </w:rPr>
      </w:pPr>
    </w:p>
    <w:p>
      <w:pPr>
        <w:ind w:left="1200" w:right="520"/>
        <w:spacing w:after="0" w:line="324" w:lineRule="auto"/>
        <w:rPr>
          <w:sz w:val="20"/>
          <w:szCs w:val="20"/>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we may not develop additional proprietary technologies that are patentable;</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patents of others may have an adverse effect on our business; and</w:t>
      </w:r>
    </w:p>
    <w:p>
      <w:pPr>
        <w:spacing w:after="0" w:line="131" w:lineRule="exact"/>
        <w:rPr>
          <w:sz w:val="20"/>
          <w:szCs w:val="20"/>
          <w:color w:val="auto"/>
        </w:rPr>
      </w:pPr>
    </w:p>
    <w:p>
      <w:pPr>
        <w:ind w:left="1200" w:right="120"/>
        <w:spacing w:after="0" w:line="293" w:lineRule="auto"/>
        <w:rPr>
          <w:sz w:val="20"/>
          <w:szCs w:val="20"/>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131" w:lineRule="exact"/>
        <w:rPr>
          <w:sz w:val="20"/>
          <w:szCs w:val="20"/>
          <w:color w:val="auto"/>
        </w:rPr>
      </w:pPr>
    </w:p>
    <w:p>
      <w:pPr>
        <w:ind w:right="420"/>
        <w:spacing w:after="0" w:line="279"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75" w:lineRule="exact"/>
        <w:rPr>
          <w:sz w:val="20"/>
          <w:szCs w:val="20"/>
          <w:color w:val="auto"/>
        </w:rPr>
      </w:pPr>
    </w:p>
    <w:p>
      <w:pPr>
        <w:ind w:right="80" w:firstLine="749"/>
        <w:spacing w:after="0" w:line="287" w:lineRule="auto"/>
        <w:rPr>
          <w:sz w:val="20"/>
          <w:szCs w:val="20"/>
          <w:color w:val="auto"/>
        </w:rPr>
      </w:pPr>
      <w:r>
        <w:rPr>
          <w:rFonts w:ascii="Arial" w:cs="Arial" w:eastAsia="Arial" w:hAnsi="Arial"/>
          <w:sz w:val="17"/>
          <w:szCs w:val="17"/>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70"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or our licensors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7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result in costly litigation that may cause negative publicity;</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divert the time and attention of our technical personnel and management;</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cause development delays;</w:t>
      </w:r>
    </w:p>
    <w:p>
      <w:pPr>
        <w:spacing w:after="0" w:line="131" w:lineRule="exact"/>
        <w:rPr>
          <w:sz w:val="20"/>
          <w:szCs w:val="20"/>
          <w:color w:val="auto"/>
        </w:rPr>
      </w:pPr>
    </w:p>
    <w:p>
      <w:pPr>
        <w:ind w:left="1200" w:right="100"/>
        <w:spacing w:after="0" w:line="293" w:lineRule="auto"/>
        <w:rPr>
          <w:sz w:val="20"/>
          <w:szCs w:val="20"/>
          <w:color w:val="auto"/>
        </w:rPr>
      </w:pPr>
      <w:r>
        <w:rPr>
          <w:rFonts w:ascii="Arial" w:cs="Arial" w:eastAsia="Arial" w:hAnsi="Arial"/>
          <w:sz w:val="18"/>
          <w:szCs w:val="18"/>
          <w:color w:val="auto"/>
        </w:rPr>
        <w:t>prevent us from commercializing any of our product candidates until the asserted patent expires or is held finally invalid, not infringed, or unenforceable in a court of law;</w:t>
      </w:r>
    </w:p>
    <w:p>
      <w:pPr>
        <w:spacing w:after="0" w:line="62" w:lineRule="exact"/>
        <w:rPr>
          <w:sz w:val="20"/>
          <w:szCs w:val="20"/>
          <w:color w:val="auto"/>
        </w:rPr>
      </w:pPr>
    </w:p>
    <w:p>
      <w:pPr>
        <w:ind w:left="1200" w:right="2740"/>
        <w:spacing w:after="0" w:line="391" w:lineRule="auto"/>
        <w:rPr>
          <w:sz w:val="20"/>
          <w:szCs w:val="20"/>
          <w:color w:val="auto"/>
        </w:rPr>
      </w:pPr>
      <w:r>
        <w:rPr>
          <w:rFonts w:ascii="Arial" w:cs="Arial" w:eastAsia="Arial" w:hAnsi="Arial"/>
          <w:sz w:val="18"/>
          <w:szCs w:val="18"/>
          <w:color w:val="auto"/>
        </w:rPr>
        <w:t>require us to develop non-infringing technology, which may not be possible on a cost-effective basis; subject us to significant liability to third parties; or</w:t>
      </w:r>
    </w:p>
    <w:p>
      <w:pPr>
        <w:spacing w:after="0" w:line="1" w:lineRule="exact"/>
        <w:rPr>
          <w:sz w:val="20"/>
          <w:szCs w:val="20"/>
          <w:color w:val="auto"/>
        </w:rPr>
      </w:pPr>
    </w:p>
    <w:p>
      <w:pPr>
        <w:ind w:left="1200" w:right="140"/>
        <w:spacing w:after="0" w:line="293" w:lineRule="auto"/>
        <w:rPr>
          <w:sz w:val="20"/>
          <w:szCs w:val="20"/>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62" w:lineRule="exact"/>
        <w:rPr>
          <w:sz w:val="20"/>
          <w:szCs w:val="20"/>
          <w:color w:val="auto"/>
        </w:rPr>
      </w:pPr>
    </w:p>
    <w:p>
      <w:pPr>
        <w:ind w:right="100" w:firstLine="749"/>
        <w:spacing w:after="0" w:line="275"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periodic report, others may hold proprietary rights that could prevent our product candidates from being marketed. For example, we are aware of issued patents that claim a method of treatment based upon a general mode of action. These patents appear to be licensed to a potential competitor. These claims could be alleged to cover our lead product candidate, ORIC-101, in certain treatment indications. While we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9" w:name="page60"/>
    <w:bookmarkEnd w:id="59"/>
    <w:p>
      <w:pPr>
        <w:ind w:right="40"/>
        <w:spacing w:after="0" w:line="293" w:lineRule="auto"/>
        <w:rPr>
          <w:sz w:val="20"/>
          <w:szCs w:val="20"/>
          <w:color w:val="auto"/>
        </w:rPr>
      </w:pPr>
      <w:r>
        <w:rPr>
          <w:rFonts w:ascii="Arial" w:cs="Arial" w:eastAsia="Arial" w:hAnsi="Arial"/>
          <w:sz w:val="18"/>
          <w:szCs w:val="18"/>
          <w:color w:val="auto"/>
        </w:rPr>
        <w:t>believe that these patents are difficult to enforce and that we would have valid defenses to these claims of patent infringement, we cannot be certain that we would prevail in any dispute and we cannot be certain how an adverse determination would affect our business.</w:t>
      </w:r>
    </w:p>
    <w:p>
      <w:pPr>
        <w:spacing w:after="0" w:line="62" w:lineRule="exact"/>
        <w:rPr>
          <w:sz w:val="20"/>
          <w:szCs w:val="20"/>
          <w:color w:val="auto"/>
        </w:rPr>
      </w:pPr>
    </w:p>
    <w:p>
      <w:pPr>
        <w:ind w:firstLine="749"/>
        <w:spacing w:after="0" w:line="285" w:lineRule="auto"/>
        <w:rPr>
          <w:sz w:val="20"/>
          <w:szCs w:val="20"/>
          <w:color w:val="auto"/>
        </w:rPr>
      </w:pPr>
      <w:r>
        <w:rPr>
          <w:rFonts w:ascii="Arial" w:cs="Arial" w:eastAsia="Arial" w:hAnsi="Arial"/>
          <w:sz w:val="17"/>
          <w:szCs w:val="17"/>
          <w:color w:val="auto"/>
        </w:rPr>
        <w:t>It is possible that a third party may assert a claim of patent infringement directed at any of our product candidates.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reasonable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77" w:lineRule="exact"/>
        <w:rPr>
          <w:sz w:val="20"/>
          <w:szCs w:val="20"/>
          <w:color w:val="auto"/>
        </w:rPr>
      </w:pPr>
    </w:p>
    <w:p>
      <w:pPr>
        <w:ind w:right="60" w:firstLine="749"/>
        <w:spacing w:after="0" w:line="292" w:lineRule="auto"/>
        <w:rPr>
          <w:sz w:val="20"/>
          <w:szCs w:val="20"/>
          <w:color w:val="auto"/>
        </w:rPr>
      </w:pPr>
      <w:r>
        <w:rPr>
          <w:rFonts w:ascii="Arial" w:cs="Arial" w:eastAsia="Arial" w:hAnsi="Arial"/>
          <w:sz w:val="17"/>
          <w:szCs w:val="17"/>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66" w:lineRule="exact"/>
        <w:rPr>
          <w:sz w:val="20"/>
          <w:szCs w:val="20"/>
          <w:color w:val="auto"/>
        </w:rPr>
      </w:pPr>
    </w:p>
    <w:p>
      <w:pPr>
        <w:ind w:right="40" w:firstLine="749"/>
        <w:spacing w:after="0" w:line="306" w:lineRule="auto"/>
        <w:rPr>
          <w:sz w:val="20"/>
          <w:szCs w:val="20"/>
          <w:color w:val="auto"/>
        </w:rPr>
      </w:pPr>
      <w:r>
        <w:rPr>
          <w:rFonts w:ascii="Arial" w:cs="Arial" w:eastAsia="Arial" w:hAnsi="Arial"/>
          <w:sz w:val="16"/>
          <w:szCs w:val="16"/>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ind w:firstLine="749"/>
        <w:spacing w:after="0" w:line="306" w:lineRule="auto"/>
        <w:rPr>
          <w:sz w:val="20"/>
          <w:szCs w:val="20"/>
          <w:color w:val="auto"/>
        </w:rPr>
      </w:pPr>
      <w:r>
        <w:rPr>
          <w:rFonts w:ascii="Arial" w:cs="Arial" w:eastAsia="Arial" w:hAnsi="Arial"/>
          <w:sz w:val="16"/>
          <w:szCs w:val="16"/>
          <w:color w:val="auto"/>
        </w:rPr>
        <w:t>Because our development programs may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or maintain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our licensors’ patents, which could be expensive, time consuming and unsuccessful.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our issued patents or our licensors’ patents could be found invalid or unenforceable if challenged in court.</w:t>
      </w:r>
    </w:p>
    <w:p>
      <w:pPr>
        <w:spacing w:after="0" w:line="101" w:lineRule="exact"/>
        <w:rPr>
          <w:sz w:val="20"/>
          <w:szCs w:val="20"/>
          <w:color w:val="auto"/>
        </w:rPr>
      </w:pPr>
    </w:p>
    <w:p>
      <w:pPr>
        <w:ind w:right="120" w:firstLine="749"/>
        <w:spacing w:after="0" w:line="271" w:lineRule="auto"/>
        <w:rPr>
          <w:sz w:val="20"/>
          <w:szCs w:val="20"/>
          <w:color w:val="auto"/>
        </w:rPr>
      </w:pPr>
      <w:r>
        <w:rPr>
          <w:rFonts w:ascii="Arial" w:cs="Arial" w:eastAsia="Arial" w:hAnsi="Arial"/>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0" w:name="page61"/>
    <w:bookmarkEnd w:id="60"/>
    <w:p>
      <w:pPr>
        <w:ind w:right="60"/>
        <w:spacing w:after="0" w:line="329" w:lineRule="auto"/>
        <w:rPr>
          <w:sz w:val="20"/>
          <w:szCs w:val="20"/>
          <w:color w:val="auto"/>
        </w:rPr>
      </w:pPr>
      <w:r>
        <w:rPr>
          <w:rFonts w:ascii="Arial" w:cs="Arial" w:eastAsia="Arial" w:hAnsi="Arial"/>
          <w:sz w:val="16"/>
          <w:szCs w:val="16"/>
          <w:color w:val="auto"/>
        </w:rPr>
        <w:t>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40" w:lineRule="exact"/>
        <w:rPr>
          <w:sz w:val="20"/>
          <w:szCs w:val="20"/>
          <w:color w:val="auto"/>
        </w:rPr>
      </w:pPr>
    </w:p>
    <w:p>
      <w:pPr>
        <w:ind w:firstLine="749"/>
        <w:spacing w:after="0" w:line="287" w:lineRule="auto"/>
        <w:rPr>
          <w:sz w:val="20"/>
          <w:szCs w:val="20"/>
          <w:color w:val="auto"/>
        </w:rPr>
      </w:pPr>
      <w:r>
        <w:rPr>
          <w:rFonts w:ascii="Arial" w:cs="Arial" w:eastAsia="Arial" w:hAnsi="Arial"/>
          <w:sz w:val="17"/>
          <w:szCs w:val="17"/>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70" w:lineRule="exact"/>
        <w:rPr>
          <w:sz w:val="20"/>
          <w:szCs w:val="20"/>
          <w:color w:val="auto"/>
        </w:rPr>
      </w:pPr>
    </w:p>
    <w:p>
      <w:pPr>
        <w:jc w:val="both"/>
        <w:ind w:right="180" w:firstLine="749"/>
        <w:spacing w:after="0" w:line="359" w:lineRule="auto"/>
        <w:rPr>
          <w:sz w:val="20"/>
          <w:szCs w:val="20"/>
          <w:color w:val="auto"/>
        </w:rPr>
      </w:pPr>
      <w:r>
        <w:rPr>
          <w:rFonts w:ascii="Arial" w:cs="Arial" w:eastAsia="Arial" w:hAnsi="Arial"/>
          <w:sz w:val="16"/>
          <w:szCs w:val="16"/>
          <w:color w:val="auto"/>
        </w:rPr>
        <w:t>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w:t>
      </w:r>
    </w:p>
    <w:p>
      <w:pPr>
        <w:spacing w:after="0" w:line="17" w:lineRule="exact"/>
        <w:rPr>
          <w:sz w:val="20"/>
          <w:szCs w:val="20"/>
          <w:color w:val="auto"/>
        </w:rPr>
      </w:pPr>
    </w:p>
    <w:p>
      <w:pPr>
        <w:ind w:right="60" w:firstLine="749"/>
        <w:spacing w:after="0" w:line="308" w:lineRule="auto"/>
        <w:rPr>
          <w:sz w:val="20"/>
          <w:szCs w:val="20"/>
          <w:color w:val="auto"/>
        </w:rPr>
      </w:pPr>
      <w:r>
        <w:rPr>
          <w:rFonts w:ascii="Arial" w:cs="Arial" w:eastAsia="Arial" w:hAnsi="Arial"/>
          <w:sz w:val="16"/>
          <w:szCs w:val="16"/>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55" w:lineRule="exact"/>
        <w:rPr>
          <w:sz w:val="20"/>
          <w:szCs w:val="20"/>
          <w:color w:val="auto"/>
        </w:rPr>
      </w:pPr>
    </w:p>
    <w:p>
      <w:pPr>
        <w:ind w:right="60" w:firstLine="749"/>
        <w:spacing w:after="0" w:line="27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75" w:lineRule="exact"/>
        <w:rPr>
          <w:sz w:val="20"/>
          <w:szCs w:val="20"/>
          <w:color w:val="auto"/>
        </w:rPr>
      </w:pPr>
    </w:p>
    <w:p>
      <w:pPr>
        <w:ind w:right="300" w:firstLine="749"/>
        <w:spacing w:after="0" w:line="293" w:lineRule="auto"/>
        <w:rPr>
          <w:sz w:val="20"/>
          <w:szCs w:val="20"/>
          <w:color w:val="auto"/>
        </w:rPr>
      </w:pPr>
      <w:r>
        <w:rPr>
          <w:rFonts w:ascii="Arial" w:cs="Arial" w:eastAsia="Arial" w:hAnsi="Arial"/>
          <w:sz w:val="18"/>
          <w:szCs w:val="18"/>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62" w:lineRule="exact"/>
        <w:rPr>
          <w:sz w:val="20"/>
          <w:szCs w:val="20"/>
          <w:color w:val="auto"/>
        </w:rPr>
      </w:pPr>
    </w:p>
    <w:p>
      <w:pPr>
        <w:ind w:right="480"/>
        <w:spacing w:after="0" w:line="293"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62" w:lineRule="exact"/>
        <w:rPr>
          <w:sz w:val="20"/>
          <w:szCs w:val="20"/>
          <w:color w:val="auto"/>
        </w:rPr>
      </w:pPr>
    </w:p>
    <w:p>
      <w:pPr>
        <w:ind w:firstLine="749"/>
        <w:spacing w:after="0" w:line="272"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83"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62" w:lineRule="exact"/>
        <w:rPr>
          <w:sz w:val="20"/>
          <w:szCs w:val="20"/>
          <w:color w:val="auto"/>
        </w:rPr>
      </w:pPr>
    </w:p>
    <w:p>
      <w:pPr>
        <w:ind w:right="80" w:firstLine="749"/>
        <w:spacing w:after="0" w:line="288" w:lineRule="auto"/>
        <w:rPr>
          <w:sz w:val="20"/>
          <w:szCs w:val="20"/>
          <w:color w:val="auto"/>
        </w:rPr>
      </w:pPr>
      <w:r>
        <w:rPr>
          <w:rFonts w:ascii="Arial" w:cs="Arial" w:eastAsia="Arial" w:hAnsi="Arial"/>
          <w:sz w:val="17"/>
          <w:szCs w:val="17"/>
          <w:color w:val="auto"/>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73"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or those of our licensors and the enforcement or defense of our issued patents or those of our licensors.</w:t>
      </w:r>
    </w:p>
    <w:p>
      <w:pPr>
        <w:spacing w:after="0" w:line="62" w:lineRule="exact"/>
        <w:rPr>
          <w:sz w:val="20"/>
          <w:szCs w:val="20"/>
          <w:color w:val="auto"/>
        </w:rPr>
      </w:pPr>
    </w:p>
    <w:p>
      <w:pPr>
        <w:ind w:right="320" w:firstLine="749"/>
        <w:spacing w:after="0" w:line="293" w:lineRule="auto"/>
        <w:rPr>
          <w:sz w:val="20"/>
          <w:szCs w:val="20"/>
          <w:color w:val="auto"/>
        </w:rPr>
      </w:pPr>
      <w:r>
        <w:rPr>
          <w:rFonts w:ascii="Arial" w:cs="Arial" w:eastAsia="Arial" w:hAnsi="Arial"/>
          <w:sz w:val="18"/>
          <w:szCs w:val="18"/>
          <w:color w:val="auto"/>
        </w:rPr>
        <w:t>On September 16, 2011, the Leahy-Smith America Invents Act (the Leahy-Smith Act), was signed into law. The Leahy-Smith Act includes a number of significant changes to U.S. patent law. These include provisions that affect the way patent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1" w:name="page62"/>
    <w:bookmarkEnd w:id="61"/>
    <w:p>
      <w:pPr>
        <w:ind w:right="40"/>
        <w:spacing w:after="0" w:line="287" w:lineRule="auto"/>
        <w:rPr>
          <w:sz w:val="20"/>
          <w:szCs w:val="20"/>
          <w:color w:val="auto"/>
        </w:rPr>
      </w:pPr>
      <w:r>
        <w:rPr>
          <w:rFonts w:ascii="Arial" w:cs="Arial" w:eastAsia="Arial" w:hAnsi="Arial"/>
          <w:sz w:val="17"/>
          <w:szCs w:val="17"/>
          <w:color w:val="auto"/>
        </w:rPr>
        <w:t>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w:t>
      </w:r>
    </w:p>
    <w:p>
      <w:pPr>
        <w:spacing w:after="0" w:line="70" w:lineRule="exact"/>
        <w:rPr>
          <w:sz w:val="20"/>
          <w:szCs w:val="20"/>
          <w:color w:val="auto"/>
        </w:rPr>
      </w:pPr>
    </w:p>
    <w:p>
      <w:pPr>
        <w:ind w:firstLine="749"/>
        <w:spacing w:after="0" w:line="272"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83" w:lineRule="exact"/>
        <w:rPr>
          <w:sz w:val="20"/>
          <w:szCs w:val="20"/>
          <w:color w:val="auto"/>
        </w:rPr>
      </w:pPr>
    </w:p>
    <w:p>
      <w:pPr>
        <w:ind w:right="20" w:firstLine="749"/>
        <w:spacing w:after="0" w:line="288" w:lineRule="auto"/>
        <w:rPr>
          <w:sz w:val="20"/>
          <w:szCs w:val="20"/>
          <w:color w:val="auto"/>
        </w:rPr>
      </w:pPr>
      <w:r>
        <w:rPr>
          <w:rFonts w:ascii="Arial" w:cs="Arial" w:eastAsia="Arial" w:hAnsi="Arial"/>
          <w:sz w:val="17"/>
          <w:szCs w:val="17"/>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spacing w:after="0" w:line="73" w:lineRule="exact"/>
        <w:rPr>
          <w:sz w:val="20"/>
          <w:szCs w:val="20"/>
          <w:color w:val="auto"/>
        </w:rPr>
      </w:pPr>
    </w:p>
    <w:p>
      <w:pPr>
        <w:ind w:right="480"/>
        <w:spacing w:after="0" w:line="293"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62" w:lineRule="exact"/>
        <w:rPr>
          <w:sz w:val="20"/>
          <w:szCs w:val="20"/>
          <w:color w:val="auto"/>
        </w:rPr>
      </w:pPr>
    </w:p>
    <w:p>
      <w:pPr>
        <w:ind w:right="20" w:firstLine="749"/>
        <w:spacing w:after="0" w:line="270" w:lineRule="auto"/>
        <w:rPr>
          <w:sz w:val="20"/>
          <w:szCs w:val="20"/>
          <w:color w:val="auto"/>
        </w:rPr>
      </w:pPr>
      <w:r>
        <w:rPr>
          <w:rFonts w:ascii="Arial" w:cs="Arial" w:eastAsia="Arial" w:hAnsi="Arial"/>
          <w:sz w:val="18"/>
          <w:szCs w:val="18"/>
          <w:color w:val="auto"/>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those of our licensors or in third-party patents. In addition, Congress or other foreign legislative bodies may pass patent reform legislation that is unfavorable to us.</w:t>
      </w:r>
    </w:p>
    <w:p>
      <w:pPr>
        <w:spacing w:after="0" w:line="85" w:lineRule="exact"/>
        <w:rPr>
          <w:sz w:val="20"/>
          <w:szCs w:val="20"/>
          <w:color w:val="auto"/>
        </w:rPr>
      </w:pPr>
    </w:p>
    <w:p>
      <w:pPr>
        <w:ind w:right="140" w:firstLine="749"/>
        <w:spacing w:after="0" w:line="271"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those of our licensors and the patents we might obtain or license in the future.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31" w:lineRule="exact"/>
        <w:rPr>
          <w:sz w:val="20"/>
          <w:szCs w:val="20"/>
          <w:color w:val="auto"/>
        </w:rPr>
      </w:pPr>
    </w:p>
    <w:p>
      <w:pPr>
        <w:ind w:right="120" w:firstLine="749"/>
        <w:spacing w:after="0" w:line="272"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those of our licensors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31" w:lineRule="exact"/>
        <w:rPr>
          <w:sz w:val="20"/>
          <w:szCs w:val="20"/>
          <w:color w:val="auto"/>
        </w:rPr>
      </w:pPr>
    </w:p>
    <w:p>
      <w:pPr>
        <w:ind w:right="80" w:firstLine="749"/>
        <w:spacing w:after="0" w:line="271"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31" w:lineRule="exact"/>
        <w:rPr>
          <w:sz w:val="20"/>
          <w:szCs w:val="20"/>
          <w:color w:val="auto"/>
        </w:rPr>
      </w:pPr>
    </w:p>
    <w:p>
      <w:pPr>
        <w:ind w:firstLine="749"/>
        <w:spacing w:after="0" w:line="304"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our U.S. patents or those of our licensors may be eligible for limited patent term restoration under the Drug Price Competition and Patent Term Restoration Act of 1984 (Hatch-Waxman Amendments). The Hatch- 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31" w:lineRule="exact"/>
        <w:rPr>
          <w:sz w:val="20"/>
          <w:szCs w:val="20"/>
          <w:color w:val="auto"/>
        </w:rPr>
      </w:pPr>
    </w:p>
    <w:p>
      <w:pPr>
        <w:ind w:right="100" w:firstLine="749"/>
        <w:spacing w:after="0" w:line="306" w:lineRule="auto"/>
        <w:rPr>
          <w:sz w:val="20"/>
          <w:szCs w:val="20"/>
          <w:color w:val="auto"/>
        </w:rPr>
      </w:pPr>
      <w:r>
        <w:rPr>
          <w:rFonts w:ascii="Arial" w:cs="Arial" w:eastAsia="Arial" w:hAnsi="Arial"/>
          <w:sz w:val="16"/>
          <w:szCs w:val="16"/>
          <w:color w:val="auto"/>
        </w:rPr>
        <w:t>Although as of June 30, 2021 we owned four and licensed two issued patents in the United States and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spacing w:after="0" w:line="62" w:lineRule="exact"/>
        <w:rPr>
          <w:sz w:val="20"/>
          <w:szCs w:val="20"/>
          <w:color w:val="auto"/>
        </w:rPr>
      </w:pPr>
    </w:p>
    <w:p>
      <w:pPr>
        <w:ind w:firstLine="749"/>
        <w:spacing w:after="0" w:line="269"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and those of our licensors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license, or obtain.</w:t>
      </w:r>
    </w:p>
    <w:p>
      <w:pPr>
        <w:spacing w:after="0" w:line="86" w:lineRule="exact"/>
        <w:rPr>
          <w:sz w:val="20"/>
          <w:szCs w:val="20"/>
          <w:color w:val="auto"/>
        </w:rPr>
      </w:pPr>
    </w:p>
    <w:p>
      <w:pPr>
        <w:ind w:right="160" w:firstLine="749"/>
        <w:spacing w:after="0" w:line="272"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83"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5" w:lineRule="exact"/>
        <w:rPr>
          <w:sz w:val="20"/>
          <w:szCs w:val="20"/>
          <w:color w:val="auto"/>
        </w:rPr>
      </w:pPr>
    </w:p>
    <w:p>
      <w:pPr>
        <w:ind w:right="60" w:firstLine="749"/>
        <w:spacing w:after="0" w:line="308"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and/or patent applications will be due to the USPTO and various foreign patent offices at various points over the lifetime of our patents and/or patent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63" w:name="page64"/>
    <w:bookmarkEnd w:id="63"/>
    <w:p>
      <w:pPr>
        <w:ind w:right="100"/>
        <w:spacing w:after="0" w:line="293"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firstLine="749"/>
        <w:spacing w:after="0" w:line="286" w:lineRule="auto"/>
        <w:rPr>
          <w:sz w:val="20"/>
          <w:szCs w:val="20"/>
          <w:color w:val="auto"/>
        </w:rPr>
      </w:pPr>
      <w:r>
        <w:rPr>
          <w:rFonts w:ascii="Arial" w:cs="Arial" w:eastAsia="Arial" w:hAnsi="Arial"/>
          <w:sz w:val="17"/>
          <w:szCs w:val="17"/>
          <w:color w:val="auto"/>
        </w:rPr>
        <w:t>We intend to use registered or unregistered trademarks or trade names to brand and market ourselves and our products. As of June 30, 2021, we had two pending United States trademark applications. Our trademark applications may not result in any trademark registrations being issued, and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31" w:lineRule="exact"/>
        <w:rPr>
          <w:sz w:val="20"/>
          <w:szCs w:val="20"/>
          <w:color w:val="auto"/>
        </w:rPr>
      </w:pPr>
    </w:p>
    <w:p>
      <w:pPr>
        <w:ind w:right="60" w:firstLine="749"/>
        <w:spacing w:after="0" w:line="288" w:lineRule="auto"/>
        <w:rPr>
          <w:sz w:val="20"/>
          <w:szCs w:val="20"/>
          <w:color w:val="auto"/>
        </w:rPr>
      </w:pPr>
      <w:r>
        <w:rPr>
          <w:rFonts w:ascii="Arial" w:cs="Arial" w:eastAsia="Arial" w:hAnsi="Arial"/>
          <w:sz w:val="17"/>
          <w:szCs w:val="17"/>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73" w:lineRule="exact"/>
        <w:rPr>
          <w:sz w:val="20"/>
          <w:szCs w:val="20"/>
          <w:color w:val="auto"/>
        </w:rPr>
      </w:pPr>
    </w:p>
    <w:p>
      <w:pPr>
        <w:ind w:right="60" w:firstLine="749"/>
        <w:spacing w:after="0" w:line="292" w:lineRule="auto"/>
        <w:rPr>
          <w:sz w:val="20"/>
          <w:szCs w:val="20"/>
          <w:color w:val="auto"/>
        </w:rPr>
      </w:pPr>
      <w:r>
        <w:rPr>
          <w:rFonts w:ascii="Arial" w:cs="Arial" w:eastAsia="Arial" w:hAnsi="Arial"/>
          <w:sz w:val="17"/>
          <w:szCs w:val="17"/>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claims that we or our employees have wrongfully used or disclosed alleged confidential information or trade secrets.</w:t>
      </w:r>
    </w:p>
    <w:p>
      <w:pPr>
        <w:spacing w:after="0" w:line="154" w:lineRule="exact"/>
        <w:rPr>
          <w:sz w:val="20"/>
          <w:szCs w:val="20"/>
          <w:color w:val="auto"/>
        </w:rPr>
      </w:pPr>
    </w:p>
    <w:p>
      <w:pPr>
        <w:ind w:firstLine="749"/>
        <w:spacing w:after="0" w:line="285" w:lineRule="auto"/>
        <w:rPr>
          <w:sz w:val="20"/>
          <w:szCs w:val="20"/>
          <w:color w:val="auto"/>
        </w:rPr>
      </w:pPr>
      <w:r>
        <w:rPr>
          <w:rFonts w:ascii="Arial" w:cs="Arial" w:eastAsia="Arial" w:hAnsi="Arial"/>
          <w:sz w:val="17"/>
          <w:szCs w:val="17"/>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A third party has inquired about a potential breach of a non-disclosure and confidentiality agreement in view of our developments in the CD73 inhibitor program. The inquiry may progress to a claim that we or our employees inadvertently or otherwise breached the agreement and used trade secrets or other information proprietary to the third party.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77" w:lineRule="exact"/>
        <w:rPr>
          <w:sz w:val="20"/>
          <w:szCs w:val="20"/>
          <w:color w:val="auto"/>
        </w:rPr>
      </w:pPr>
    </w:p>
    <w:p>
      <w:pPr>
        <w:ind w:firstLine="749"/>
        <w:spacing w:after="0" w:line="272"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4" w:name="page65"/>
    <w:bookmarkEnd w:id="64"/>
    <w:p>
      <w:pPr>
        <w:ind w:right="620"/>
        <w:spacing w:after="0" w:line="293"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62" w:lineRule="exact"/>
        <w:rPr>
          <w:sz w:val="20"/>
          <w:szCs w:val="20"/>
          <w:color w:val="auto"/>
        </w:rPr>
      </w:pPr>
    </w:p>
    <w:p>
      <w:pPr>
        <w:ind w:right="40" w:firstLine="749"/>
        <w:spacing w:after="0" w:line="309" w:lineRule="auto"/>
        <w:rPr>
          <w:sz w:val="20"/>
          <w:szCs w:val="20"/>
          <w:color w:val="auto"/>
        </w:rPr>
      </w:pPr>
      <w:r>
        <w:rPr>
          <w:rFonts w:ascii="Arial" w:cs="Arial" w:eastAsia="Arial" w:hAnsi="Arial"/>
          <w:sz w:val="16"/>
          <w:szCs w:val="16"/>
          <w:color w:val="auto"/>
        </w:rPr>
        <w:t>As is common in the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56"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62" w:lineRule="exact"/>
        <w:rPr>
          <w:sz w:val="20"/>
          <w:szCs w:val="20"/>
          <w:color w:val="auto"/>
        </w:rPr>
      </w:pPr>
    </w:p>
    <w:p>
      <w:pPr>
        <w:ind w:firstLine="749"/>
        <w:spacing w:after="0" w:line="275" w:lineRule="auto"/>
        <w:rPr>
          <w:sz w:val="20"/>
          <w:szCs w:val="20"/>
          <w:color w:val="auto"/>
        </w:rPr>
      </w:pPr>
      <w:r>
        <w:rPr>
          <w:rFonts w:ascii="Arial" w:cs="Arial" w:eastAsia="Arial" w:hAnsi="Arial"/>
          <w:sz w:val="18"/>
          <w:szCs w:val="18"/>
          <w:color w:val="auto"/>
        </w:rPr>
        <w:t>We have entered into license agreements with third parties and we may enter into additional license agreements in the future with others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77" w:lineRule="exact"/>
        <w:rPr>
          <w:sz w:val="20"/>
          <w:szCs w:val="20"/>
          <w:color w:val="auto"/>
        </w:rPr>
      </w:pPr>
    </w:p>
    <w:p>
      <w:pPr>
        <w:ind w:right="120" w:firstLine="749"/>
        <w:spacing w:after="0" w:line="271"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83" w:lineRule="exact"/>
        <w:rPr>
          <w:sz w:val="20"/>
          <w:szCs w:val="20"/>
          <w:color w:val="auto"/>
        </w:rPr>
      </w:pPr>
    </w:p>
    <w:p>
      <w:pPr>
        <w:ind w:right="140" w:firstLine="749"/>
        <w:spacing w:after="0" w:line="275" w:lineRule="auto"/>
        <w:rPr>
          <w:sz w:val="20"/>
          <w:szCs w:val="20"/>
          <w:color w:val="auto"/>
        </w:rPr>
      </w:pPr>
      <w:r>
        <w:rPr>
          <w:rFonts w:ascii="Arial" w:cs="Arial" w:eastAsia="Arial" w:hAnsi="Arial"/>
          <w:sz w:val="18"/>
          <w:szCs w:val="18"/>
          <w:color w:val="auto"/>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77" w:lineRule="exact"/>
        <w:rPr>
          <w:sz w:val="20"/>
          <w:szCs w:val="20"/>
          <w:color w:val="auto"/>
        </w:rPr>
      </w:pPr>
    </w:p>
    <w:p>
      <w:pPr>
        <w:ind w:right="60" w:firstLine="749"/>
        <w:spacing w:after="0" w:line="308" w:lineRule="auto"/>
        <w:rPr>
          <w:sz w:val="20"/>
          <w:szCs w:val="20"/>
          <w:color w:val="auto"/>
        </w:rPr>
      </w:pPr>
      <w:r>
        <w:rPr>
          <w:rFonts w:ascii="Arial" w:cs="Arial" w:eastAsia="Arial" w:hAnsi="Arial"/>
          <w:sz w:val="16"/>
          <w:szCs w:val="16"/>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55" w:lineRule="exact"/>
        <w:rPr>
          <w:sz w:val="20"/>
          <w:szCs w:val="20"/>
          <w:color w:val="auto"/>
        </w:rPr>
      </w:pPr>
    </w:p>
    <w:p>
      <w:pPr>
        <w:ind w:right="800"/>
        <w:spacing w:after="0" w:line="394"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jc w:val="both"/>
        <w:ind w:right="120" w:firstLine="749"/>
        <w:spacing w:after="0" w:line="279" w:lineRule="auto"/>
        <w:rPr>
          <w:sz w:val="20"/>
          <w:szCs w:val="20"/>
          <w:color w:val="auto"/>
        </w:rPr>
      </w:pPr>
      <w:r>
        <w:rPr>
          <w:rFonts w:ascii="Arial" w:cs="Arial" w:eastAsia="Arial" w:hAnsi="Arial"/>
          <w:sz w:val="18"/>
          <w:szCs w:val="18"/>
          <w:color w:val="auto"/>
        </w:rPr>
        <w:t>Our existing license agreements, and we expect that our future agreements will, impose various development, diligence, commercialization, and other obligations on us. Certain of our license agreements also require us to meet development timelines, or to exercise commercially reasonable efforts to develop and commercialize licensed products, in order to maintain the license.</w:t>
      </w:r>
    </w:p>
    <w:p>
      <w:pPr>
        <w:spacing w:after="0" w:line="7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Moreover, disputes may arise between us and our licensors regarding intellectual property subject to a license agreement, including:</w:t>
      </w:r>
    </w:p>
    <w:p>
      <w:pPr>
        <w:spacing w:after="0" w:line="14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scope of rights granted under the license agreement and other interpretation-related issues;</w:t>
      </w:r>
    </w:p>
    <w:p>
      <w:pPr>
        <w:spacing w:after="0" w:line="131" w:lineRule="exact"/>
        <w:rPr>
          <w:sz w:val="20"/>
          <w:szCs w:val="20"/>
          <w:color w:val="auto"/>
        </w:rPr>
      </w:pPr>
    </w:p>
    <w:p>
      <w:pPr>
        <w:ind w:left="1200" w:right="400"/>
        <w:spacing w:after="0" w:line="293" w:lineRule="auto"/>
        <w:rPr>
          <w:sz w:val="20"/>
          <w:szCs w:val="20"/>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right to sublicense patents and other rights to third parties;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5" w:name="page66"/>
    <w:bookmarkEnd w:id="65"/>
    <w:p>
      <w:pPr>
        <w:ind w:left="1200"/>
        <w:spacing w:after="0"/>
        <w:rPr>
          <w:sz w:val="20"/>
          <w:szCs w:val="20"/>
          <w:color w:val="auto"/>
        </w:rPr>
      </w:pPr>
      <w:r>
        <w:rPr>
          <w:rFonts w:ascii="Arial" w:cs="Arial" w:eastAsia="Arial" w:hAnsi="Arial"/>
          <w:sz w:val="18"/>
          <w:szCs w:val="18"/>
          <w:color w:val="auto"/>
        </w:rPr>
        <w:t>our right to transfer or assign the license;</w:t>
      </w:r>
    </w:p>
    <w:p>
      <w:pPr>
        <w:spacing w:after="0" w:line="131" w:lineRule="exact"/>
        <w:rPr>
          <w:sz w:val="20"/>
          <w:szCs w:val="20"/>
          <w:color w:val="auto"/>
        </w:rPr>
      </w:pPr>
    </w:p>
    <w:p>
      <w:pPr>
        <w:ind w:left="1200" w:right="660"/>
        <w:spacing w:after="0" w:line="293" w:lineRule="auto"/>
        <w:rPr>
          <w:sz w:val="20"/>
          <w:szCs w:val="20"/>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priority of invention of patented technology.</w:t>
      </w:r>
    </w:p>
    <w:p>
      <w:pPr>
        <w:spacing w:after="0" w:line="131" w:lineRule="exact"/>
        <w:rPr>
          <w:sz w:val="20"/>
          <w:szCs w:val="20"/>
          <w:color w:val="auto"/>
        </w:rPr>
      </w:pPr>
    </w:p>
    <w:p>
      <w:pPr>
        <w:ind w:right="160" w:firstLine="749"/>
        <w:spacing w:after="0" w:line="288" w:lineRule="auto"/>
        <w:rPr>
          <w:sz w:val="20"/>
          <w:szCs w:val="20"/>
          <w:color w:val="auto"/>
        </w:rPr>
      </w:pPr>
      <w:r>
        <w:rPr>
          <w:rFonts w:ascii="Arial" w:cs="Arial" w:eastAsia="Arial" w:hAnsi="Arial"/>
          <w:sz w:val="17"/>
          <w:szCs w:val="17"/>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reasonable terms, we may be unable to successfully develop and commercialize the affected product candidates, which could have a material adverse effect on our business, financial conditions, results of operations, and prospects.</w:t>
      </w:r>
    </w:p>
    <w:p>
      <w:pPr>
        <w:spacing w:after="0" w:line="73" w:lineRule="exact"/>
        <w:rPr>
          <w:sz w:val="20"/>
          <w:szCs w:val="20"/>
          <w:color w:val="auto"/>
        </w:rPr>
      </w:pPr>
    </w:p>
    <w:p>
      <w:pPr>
        <w:ind w:right="20" w:firstLine="749"/>
        <w:spacing w:after="0" w:line="286" w:lineRule="auto"/>
        <w:rPr>
          <w:sz w:val="20"/>
          <w:szCs w:val="20"/>
          <w:color w:val="auto"/>
        </w:rPr>
      </w:pPr>
      <w:r>
        <w:rPr>
          <w:rFonts w:ascii="Arial" w:cs="Arial" w:eastAsia="Arial" w:hAnsi="Arial"/>
          <w:sz w:val="17"/>
          <w:szCs w:val="17"/>
          <w:color w:val="auto"/>
        </w:rPr>
        <w:t>In spite of our best efforts, our licensors might conclude that we have materially breached our obligations under such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and we may be required to cease our development and commercialization of certain of our product candidates. For example, if Mirati terminates the Mirati License Agreement, we may be required to cease our development and commercialization of licensed products directed to PRC2 and would be obligated to assign to Mirati, or grant an exclusive license to Mirati with respect to, certain of our patents, know-how and regulatory filings. Likewise, if Voronoi terminates the Voronoi License Agreement, we may be required to cease our development and commercialization of licensed products directed to epidermal growth factor receptor (EGFR, or ErbB1) and human epidermal growth factor receptor 2 (HER2, or ErbB2) with exon 20 insertion mutations and we would be obligated to grant a nonexclusive license to Voronoi under certain of our patents and know-how, and to assign to Voronoi certain of our regulatory filings. Any of the foregoing could have a material adverse effect on our competitive position, business, financial conditions, results of operations, and prospects.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31" w:lineRule="exact"/>
        <w:rPr>
          <w:sz w:val="20"/>
          <w:szCs w:val="20"/>
          <w:color w:val="auto"/>
        </w:rPr>
      </w:pPr>
    </w:p>
    <w:p>
      <w:pPr>
        <w:ind w:right="20" w:firstLine="749"/>
        <w:spacing w:after="0" w:line="286" w:lineRule="auto"/>
        <w:rPr>
          <w:sz w:val="20"/>
          <w:szCs w:val="20"/>
          <w:color w:val="auto"/>
        </w:rPr>
      </w:pPr>
      <w:r>
        <w:rPr>
          <w:rFonts w:ascii="Arial" w:cs="Arial" w:eastAsia="Arial" w:hAnsi="Arial"/>
          <w:sz w:val="17"/>
          <w:szCs w:val="17"/>
          <w:color w:val="auto"/>
        </w:rPr>
        <w:t>While we normally seek to obtain the right to control the preparation, filing, prosecution, maintenance, enforcement, and defense of the patent applications and patents relating to our product candidates, there may be times when the preparation, filing, prosecution, maintenance, enforcement and defense activities for patents and patent applications relating to our product candidates are controlled by our licensors or collaboration partners. If any of our licensors or collaboration partners fail to prepare, file, prosecute, maintain, enforce, and defend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the preparation, filing, prosecution, maintenance, enforcement, and defense of patents and patent applications we have licensed to and from third parties, we may still be adversely affected or prejudiced by actions or inactions of our licensees, our licensors and their counsel that took place prior to the date upon which we assumed control over such activities.</w:t>
      </w:r>
    </w:p>
    <w:p>
      <w:pPr>
        <w:spacing w:after="0" w:line="74" w:lineRule="exact"/>
        <w:rPr>
          <w:sz w:val="20"/>
          <w:szCs w:val="20"/>
          <w:color w:val="auto"/>
        </w:rPr>
      </w:pPr>
    </w:p>
    <w:p>
      <w:pPr>
        <w:ind w:right="400"/>
        <w:spacing w:after="0" w:line="279"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75" w:lineRule="exact"/>
        <w:rPr>
          <w:sz w:val="20"/>
          <w:szCs w:val="20"/>
          <w:color w:val="auto"/>
        </w:rPr>
      </w:pPr>
    </w:p>
    <w:p>
      <w:pPr>
        <w:ind w:firstLine="749"/>
        <w:spacing w:after="0" w:line="304" w:lineRule="auto"/>
        <w:rPr>
          <w:sz w:val="20"/>
          <w:szCs w:val="20"/>
          <w:color w:val="auto"/>
        </w:rPr>
      </w:pPr>
      <w:r>
        <w:rPr>
          <w:rFonts w:ascii="Arial" w:cs="Arial" w:eastAsia="Arial" w:hAnsi="Arial"/>
          <w:sz w:val="16"/>
          <w:szCs w:val="16"/>
          <w:color w:val="auto"/>
        </w:rPr>
        <w:t>Our patent applications licensed from MSKCC, which do not cover ORIC-101, any of our current product candidates or any of our discovery and research programs, have been supported through the use of U.S. government funding awarded by the National Institutes of Health and the United States Army Medical Research and Materiel Command. Although we do not currently own issued patents or pending patent applications that have been generated through the use of U.S. government funding,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6" w:name="page67"/>
    <w:bookmarkEnd w:id="66"/>
    <w:p>
      <w:pPr>
        <w:spacing w:after="0" w:line="269" w:lineRule="auto"/>
        <w:rPr>
          <w:sz w:val="20"/>
          <w:szCs w:val="20"/>
          <w:color w:val="auto"/>
        </w:rPr>
      </w:pPr>
      <w:r>
        <w:rPr>
          <w:rFonts w:ascii="Arial" w:cs="Arial" w:eastAsia="Arial" w:hAnsi="Arial"/>
          <w:sz w:val="18"/>
          <w:szCs w:val="18"/>
          <w:color w:val="auto"/>
        </w:rPr>
        <w:t>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0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deadlines for the completion of such trials, research and studies.</w:t>
      </w:r>
    </w:p>
    <w:p>
      <w:pPr>
        <w:spacing w:after="0" w:line="76" w:lineRule="exact"/>
        <w:rPr>
          <w:sz w:val="20"/>
          <w:szCs w:val="20"/>
          <w:color w:val="auto"/>
        </w:rPr>
      </w:pPr>
    </w:p>
    <w:p>
      <w:pPr>
        <w:ind w:right="20" w:firstLine="749"/>
        <w:spacing w:after="0" w:line="287" w:lineRule="auto"/>
        <w:rPr>
          <w:sz w:val="20"/>
          <w:szCs w:val="20"/>
          <w:color w:val="auto"/>
        </w:rPr>
      </w:pPr>
      <w:r>
        <w:rPr>
          <w:rFonts w:ascii="Arial" w:cs="Arial" w:eastAsia="Arial" w:hAnsi="Arial"/>
          <w:sz w:val="17"/>
          <w:szCs w:val="17"/>
          <w:color w:val="auto"/>
        </w:rPr>
        <w:t>We do not have the ability to independently conduct our clinical trials. We currently rely on third parties, such as CROs, clinical data management organizations, medical institutions and clinical investigators, to conduct our current and planned clinical trials of ORIC-101 and we expect to continue to rely upon third parties to conduct additional clinical trials of ORIC-101 and other product candidates. Third parties have a significant role in the conduct of our clinical trials and the subsequent collection and analysis of data. These third parties are not our employees, and except for remedies available to us under our agreements with such third parties, we have limited ability to control the amount or timing of resources that any such third party will devote to our clinical trials. The third parties we rely on for these services may also have relationships with other entities, some of which may be our competitors. Some of these third parties may terminate their engagements with us at any time. If we need to enter into alternative arrangements with a third party, it would delay our drug development activities.</w:t>
      </w:r>
    </w:p>
    <w:p>
      <w:pPr>
        <w:spacing w:after="0" w:line="74" w:lineRule="exact"/>
        <w:rPr>
          <w:sz w:val="20"/>
          <w:szCs w:val="20"/>
          <w:color w:val="auto"/>
        </w:rPr>
      </w:pPr>
    </w:p>
    <w:p>
      <w:pPr>
        <w:ind w:right="60" w:firstLine="749"/>
        <w:spacing w:after="0" w:line="286" w:lineRule="auto"/>
        <w:rPr>
          <w:sz w:val="20"/>
          <w:szCs w:val="20"/>
          <w:color w:val="auto"/>
        </w:rPr>
      </w:pPr>
      <w:r>
        <w:rPr>
          <w:rFonts w:ascii="Arial" w:cs="Arial" w:eastAsia="Arial" w:hAnsi="Arial"/>
          <w:sz w:val="17"/>
          <w:szCs w:val="17"/>
          <w:color w:val="auto"/>
        </w:rPr>
        <w:t>Our reliance on these third parties for such drug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reliable and accurate and that the rights, integrity and confidentiality of trial participants are protected.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substantially comply with GCP regulations. In addition, our clinical trials must be conducted with product produced under current cGMP regulations. Our failure to comply with these regulations may require us to repeat clinical trials, which would delay the marketing approval process.</w:t>
      </w:r>
    </w:p>
    <w:p>
      <w:pPr>
        <w:spacing w:after="0" w:line="70" w:lineRule="exact"/>
        <w:rPr>
          <w:sz w:val="20"/>
          <w:szCs w:val="20"/>
          <w:color w:val="auto"/>
        </w:rPr>
      </w:pPr>
    </w:p>
    <w:p>
      <w:pPr>
        <w:jc w:val="both"/>
        <w:ind w:right="280" w:firstLine="749"/>
        <w:spacing w:after="0" w:line="329" w:lineRule="auto"/>
        <w:rPr>
          <w:sz w:val="20"/>
          <w:szCs w:val="20"/>
          <w:color w:val="auto"/>
        </w:rPr>
      </w:pPr>
      <w:r>
        <w:rPr>
          <w:rFonts w:ascii="Arial" w:cs="Arial" w:eastAsia="Arial" w:hAnsi="Arial"/>
          <w:sz w:val="16"/>
          <w:szCs w:val="16"/>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4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i w:val="1"/>
          <w:iCs w:val="1"/>
          <w:color w:val="auto"/>
        </w:rPr>
        <w:t>We contract with third parties for the production of our product candidates for preclinical studies and, in the case of ORIC-101, our ongoing clinical trials, and expect to continue to do so for additional clinical trials and ultimately for commercialization. This reliance on third parties increases the risk that we will not have sufficient quality and quantities of our product candidates or such quantities at an acceptable cost, which could delay, prevent or impair our development or commercialization efforts.</w:t>
      </w:r>
    </w:p>
    <w:p>
      <w:pPr>
        <w:spacing w:after="0" w:line="77" w:lineRule="exact"/>
        <w:rPr>
          <w:sz w:val="20"/>
          <w:szCs w:val="20"/>
          <w:color w:val="auto"/>
        </w:rPr>
      </w:pPr>
    </w:p>
    <w:p>
      <w:pPr>
        <w:ind w:right="60" w:firstLine="749"/>
        <w:spacing w:after="0" w:line="308" w:lineRule="auto"/>
        <w:rPr>
          <w:sz w:val="20"/>
          <w:szCs w:val="20"/>
          <w:color w:val="auto"/>
        </w:rPr>
      </w:pPr>
      <w:r>
        <w:rPr>
          <w:rFonts w:ascii="Arial" w:cs="Arial" w:eastAsia="Arial" w:hAnsi="Arial"/>
          <w:sz w:val="16"/>
          <w:szCs w:val="16"/>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In the case of ORIC-101, we rely on a single third-party manufacturer and we currently have no alternative manufacturer in place. We do not have long-term supply agreements, and we purchase our required drug product on a purchase order basis, which means that aside from any binding purchase orders we have from time to time, our supplier could cease supplying to us or change the terms on which it is willing to continue supplying to us at any time. If we were to experience an unexpected loss of supply of ORIC-101 or any other product candidates for any reason, whether as a result of manufacturing, supply or storage issues or otherwise, we could experience delays, disruptions, suspensions or terminations of, or be required to restart or repeat, any pending or ongoing clinical trials.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7" w:name="page68"/>
    <w:bookmarkEnd w:id="67"/>
    <w:p>
      <w:pPr>
        <w:ind w:firstLine="749"/>
        <w:spacing w:after="0" w:line="303" w:lineRule="auto"/>
        <w:rPr>
          <w:sz w:val="20"/>
          <w:szCs w:val="20"/>
          <w:color w:val="auto"/>
        </w:rPr>
      </w:pPr>
      <w:r>
        <w:rPr>
          <w:rFonts w:ascii="Arial" w:cs="Arial" w:eastAsia="Arial" w:hAnsi="Arial"/>
          <w:sz w:val="17"/>
          <w:szCs w:val="17"/>
          <w:color w:val="auto"/>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43" w:lineRule="exact"/>
        <w:rPr>
          <w:sz w:val="20"/>
          <w:szCs w:val="20"/>
          <w:color w:val="auto"/>
        </w:rPr>
      </w:pPr>
    </w:p>
    <w:p>
      <w:pPr>
        <w:jc w:val="both"/>
        <w:ind w:left="1200" w:right="120"/>
        <w:spacing w:after="0" w:line="248" w:lineRule="auto"/>
        <w:rPr>
          <w:sz w:val="20"/>
          <w:szCs w:val="20"/>
          <w:color w:val="auto"/>
        </w:rPr>
      </w:pPr>
      <w:r>
        <w:rPr>
          <w:rFonts w:ascii="Arial" w:cs="Arial" w:eastAsia="Arial" w:hAnsi="Arial"/>
          <w:sz w:val="18"/>
          <w:szCs w:val="18"/>
          <w:color w:val="auto"/>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74" w:lineRule="exact"/>
        <w:rPr>
          <w:sz w:val="20"/>
          <w:szCs w:val="20"/>
          <w:color w:val="auto"/>
        </w:rPr>
      </w:pPr>
    </w:p>
    <w:p>
      <w:pPr>
        <w:jc w:val="both"/>
        <w:ind w:left="1200" w:right="120"/>
        <w:spacing w:after="0" w:line="360" w:lineRule="auto"/>
        <w:rPr>
          <w:sz w:val="20"/>
          <w:szCs w:val="20"/>
          <w:color w:val="auto"/>
        </w:rPr>
      </w:pPr>
      <w:r>
        <w:rPr>
          <w:rFonts w:ascii="Arial" w:cs="Arial" w:eastAsia="Arial" w:hAnsi="Arial"/>
          <w:sz w:val="18"/>
          <w:szCs w:val="18"/>
          <w:color w:val="auto"/>
        </w:rPr>
        <w:t>the termination or nonrenewal of arrangements or agreements by our third-party contractors at a time that is costly or inconvenient for us; the breach by the third-party contractors of our agreements with them;</w:t>
      </w:r>
    </w:p>
    <w:p>
      <w:pPr>
        <w:ind w:left="1200" w:right="2340"/>
        <w:spacing w:after="0" w:line="405" w:lineRule="auto"/>
        <w:rPr>
          <w:sz w:val="20"/>
          <w:szCs w:val="20"/>
          <w:color w:val="auto"/>
        </w:rPr>
      </w:pPr>
      <w:r>
        <w:rPr>
          <w:rFonts w:ascii="Arial" w:cs="Arial" w:eastAsia="Arial" w:hAnsi="Arial"/>
          <w:sz w:val="16"/>
          <w:szCs w:val="16"/>
          <w:color w:val="auto"/>
        </w:rPr>
        <w:t>the failure of third-party contractors to comply with applicable regulatory requirements, including cGMPs; the failure of the third party to manufacture our product candidates according to our specifications;</w:t>
      </w:r>
    </w:p>
    <w:p>
      <w:pPr>
        <w:ind w:left="1200" w:right="340"/>
        <w:spacing w:after="0" w:line="261" w:lineRule="auto"/>
        <w:rPr>
          <w:sz w:val="20"/>
          <w:szCs w:val="20"/>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63" w:lineRule="exact"/>
        <w:rPr>
          <w:sz w:val="20"/>
          <w:szCs w:val="20"/>
          <w:color w:val="auto"/>
        </w:rPr>
      </w:pPr>
    </w:p>
    <w:p>
      <w:pPr>
        <w:ind w:left="1200" w:right="60"/>
        <w:spacing w:after="0" w:line="261" w:lineRule="auto"/>
        <w:rPr>
          <w:sz w:val="20"/>
          <w:szCs w:val="20"/>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misappropriation of our proprietary information, including our trade secrets and know-how.</w:t>
      </w:r>
    </w:p>
    <w:p>
      <w:pPr>
        <w:spacing w:after="0" w:line="117" w:lineRule="exact"/>
        <w:rPr>
          <w:sz w:val="20"/>
          <w:szCs w:val="20"/>
          <w:color w:val="auto"/>
        </w:rPr>
      </w:pPr>
    </w:p>
    <w:p>
      <w:pPr>
        <w:ind w:right="20" w:firstLine="749"/>
        <w:spacing w:after="0" w:line="287" w:lineRule="auto"/>
        <w:rPr>
          <w:sz w:val="20"/>
          <w:szCs w:val="20"/>
          <w:color w:val="auto"/>
        </w:rPr>
      </w:pPr>
      <w:r>
        <w:rPr>
          <w:rFonts w:ascii="Arial" w:cs="Arial" w:eastAsia="Arial" w:hAnsi="Arial"/>
          <w:sz w:val="17"/>
          <w:szCs w:val="17"/>
          <w:color w:val="auto"/>
        </w:rPr>
        <w:t>We do not have complete control over all aspects of the manufacturing process of our contract manufacturing partners and are dependent on these contract manufacturing partners for compliance with cGMP regulations for manufacturing both active pharmaceutical ingredients (API) and finished drug products. To date, we have obtained API and drug product for our product candidates from single-source third party contract manufacturers. We are in the process of developing our supply chain for each of our product candidates and intend to put in place framework agreements under which third-party contract manufacturers will generally provide us with necessary quantities of API and drug product on a project-by-project basis based on our development needs. As we advance our product candidates through development, we will consider our lack of redundant supply for the API and drug product for each of our product candidates to protect against any potential supply disruptions. However, we may be unsuccessful in putting in place such framework agreements or protecting against potential supply disruptions.</w:t>
      </w:r>
    </w:p>
    <w:p>
      <w:pPr>
        <w:spacing w:after="0" w:line="74" w:lineRule="exact"/>
        <w:rPr>
          <w:sz w:val="20"/>
          <w:szCs w:val="20"/>
          <w:color w:val="auto"/>
        </w:rPr>
      </w:pPr>
    </w:p>
    <w:p>
      <w:pPr>
        <w:ind w:firstLine="749"/>
        <w:spacing w:after="0" w:line="305" w:lineRule="auto"/>
        <w:rPr>
          <w:sz w:val="20"/>
          <w:szCs w:val="20"/>
          <w:color w:val="auto"/>
        </w:rPr>
      </w:pPr>
      <w:r>
        <w:rPr>
          <w:rFonts w:ascii="Arial" w:cs="Arial" w:eastAsia="Arial" w:hAnsi="Arial"/>
          <w:sz w:val="16"/>
          <w:szCs w:val="16"/>
          <w:color w:val="auto"/>
        </w:rPr>
        <w:t>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or a comparable foreign regulatory authority does not approve these facilities for the manufacture of our product candidates or if it withdraws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61" w:lineRule="exact"/>
        <w:rPr>
          <w:sz w:val="20"/>
          <w:szCs w:val="20"/>
          <w:color w:val="auto"/>
        </w:rPr>
      </w:pPr>
    </w:p>
    <w:p>
      <w:pPr>
        <w:ind w:right="140" w:firstLine="749"/>
        <w:spacing w:after="0" w:line="324"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spacing w:after="0" w:line="39"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62" w:lineRule="exact"/>
        <w:rPr>
          <w:sz w:val="20"/>
          <w:szCs w:val="20"/>
          <w:color w:val="auto"/>
        </w:rPr>
      </w:pPr>
    </w:p>
    <w:p>
      <w:pPr>
        <w:ind w:right="60" w:firstLine="749"/>
        <w:spacing w:after="0" w:line="290" w:lineRule="auto"/>
        <w:rPr>
          <w:sz w:val="20"/>
          <w:szCs w:val="20"/>
          <w:color w:val="auto"/>
        </w:rPr>
      </w:pPr>
      <w:r>
        <w:rPr>
          <w:rFonts w:ascii="Arial" w:cs="Arial" w:eastAsia="Arial" w:hAnsi="Arial"/>
          <w:sz w:val="17"/>
          <w:szCs w:val="17"/>
          <w:color w:val="auto"/>
        </w:rPr>
        <w:t>From time to time, we evaluate various acquisition opportunities and strategic partnerships, including licensing or acquiring complementary products, intellectual property rights, technologies or businesses. For instance, in August 2020, we entered into the Mirati License Agreement pursuant to which we licensed from Mirati exclusive worldwide development and commercialization rights to its allosteric PRC2 inhibitor program and, in October 2020, we entered into the Voronoi License Agreement pursuant to which we licensed from Voronoi exclusive development and commercialization rights to its EGFR and HER2 exon 20 insertion mutation program worldwide (other than in the People’s Republic of China, Hong Kong, Macau and Taiwan). Any such acquisition or strategic partnership may entail numerous risks, including:</w:t>
      </w:r>
    </w:p>
    <w:p>
      <w:pPr>
        <w:spacing w:after="0" w:line="6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increased operating expenses and cash requirements;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8" w:name="page69"/>
    <w:bookmarkEnd w:id="68"/>
    <w:p>
      <w:pPr>
        <w:ind w:left="1200"/>
        <w:spacing w:after="0"/>
        <w:rPr>
          <w:sz w:val="20"/>
          <w:szCs w:val="20"/>
          <w:color w:val="auto"/>
        </w:rPr>
      </w:pPr>
      <w:r>
        <w:rPr>
          <w:rFonts w:ascii="Arial" w:cs="Arial" w:eastAsia="Arial" w:hAnsi="Arial"/>
          <w:sz w:val="18"/>
          <w:szCs w:val="18"/>
          <w:color w:val="auto"/>
        </w:rPr>
        <w:t>the assumption of additional indebtedness or contingent liabilities;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issuance of our equity securities;</w:t>
      </w:r>
    </w:p>
    <w:p>
      <w:pPr>
        <w:spacing w:after="0" w:line="131" w:lineRule="exact"/>
        <w:rPr>
          <w:sz w:val="20"/>
          <w:szCs w:val="20"/>
          <w:color w:val="auto"/>
        </w:rPr>
      </w:pPr>
    </w:p>
    <w:p>
      <w:pPr>
        <w:ind w:left="1200" w:right="340"/>
        <w:spacing w:after="0" w:line="293" w:lineRule="auto"/>
        <w:rPr>
          <w:sz w:val="20"/>
          <w:szCs w:val="20"/>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62" w:lineRule="exact"/>
        <w:rPr>
          <w:sz w:val="20"/>
          <w:szCs w:val="20"/>
          <w:color w:val="auto"/>
        </w:rPr>
      </w:pPr>
    </w:p>
    <w:p>
      <w:pPr>
        <w:ind w:left="1200" w:right="140"/>
        <w:spacing w:after="0" w:line="440" w:lineRule="auto"/>
        <w:rPr>
          <w:sz w:val="20"/>
          <w:szCs w:val="20"/>
          <w:color w:val="auto"/>
        </w:rPr>
      </w:pPr>
      <w:r>
        <w:rPr>
          <w:rFonts w:ascii="Arial" w:cs="Arial" w:eastAsia="Arial" w:hAnsi="Arial"/>
          <w:sz w:val="16"/>
          <w:szCs w:val="16"/>
          <w:color w:val="auto"/>
        </w:rPr>
        <w:t>the diversion of our management’s attention from our existing programs and initiatives in pursuing such a strategic merger or acquisition; retention of key employees, the loss of key personnel and uncertainties in our ability to maintain key business relationships;</w:t>
      </w:r>
    </w:p>
    <w:p>
      <w:pPr>
        <w:ind w:left="1200" w:right="20"/>
        <w:spacing w:after="0" w:line="293" w:lineRule="auto"/>
        <w:rPr>
          <w:sz w:val="20"/>
          <w:szCs w:val="20"/>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62" w:lineRule="exact"/>
        <w:rPr>
          <w:sz w:val="20"/>
          <w:szCs w:val="20"/>
          <w:color w:val="auto"/>
        </w:rPr>
      </w:pPr>
    </w:p>
    <w:p>
      <w:pPr>
        <w:ind w:left="1200" w:right="80"/>
        <w:spacing w:after="0" w:line="293" w:lineRule="auto"/>
        <w:rPr>
          <w:sz w:val="20"/>
          <w:szCs w:val="20"/>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62" w:lineRule="exact"/>
        <w:rPr>
          <w:sz w:val="20"/>
          <w:szCs w:val="20"/>
          <w:color w:val="auto"/>
        </w:rPr>
      </w:pPr>
    </w:p>
    <w:p>
      <w:pPr>
        <w:ind w:right="60" w:firstLine="749"/>
        <w:spacing w:after="0" w:line="296" w:lineRule="auto"/>
        <w:rPr>
          <w:sz w:val="20"/>
          <w:szCs w:val="20"/>
          <w:color w:val="auto"/>
        </w:rPr>
      </w:pPr>
      <w:r>
        <w:rPr>
          <w:rFonts w:ascii="Arial" w:cs="Arial" w:eastAsia="Arial" w:hAnsi="Arial"/>
          <w:sz w:val="17"/>
          <w:szCs w:val="17"/>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 For instance, in connection with the Mirati License Agreement, we issued to Mirati 588,235 shares of our common stock and, in connection with the Voronoi License Agreement, we issued Voronoi 283,259 shares of our common stock, each of which resulted in dilution to our existing stockholders.</w:t>
      </w:r>
    </w:p>
    <w:p>
      <w:pPr>
        <w:spacing w:after="0" w:line="62"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b w:val="1"/>
          <w:bCs w:val="1"/>
          <w:i w:val="1"/>
          <w:iCs w:val="1"/>
          <w:color w:val="auto"/>
        </w:rPr>
        <w:t>If we decide to establish collaborations, but are not able to establish those collaborations on commercially reasonable terms, we may have to alter our development and commercialization plans.</w:t>
      </w:r>
    </w:p>
    <w:p>
      <w:pPr>
        <w:spacing w:after="0" w:line="62" w:lineRule="exact"/>
        <w:rPr>
          <w:sz w:val="20"/>
          <w:szCs w:val="20"/>
          <w:color w:val="auto"/>
        </w:rPr>
      </w:pPr>
    </w:p>
    <w:p>
      <w:pPr>
        <w:ind w:right="40" w:firstLine="749"/>
        <w:spacing w:after="0" w:line="296" w:lineRule="auto"/>
        <w:rPr>
          <w:sz w:val="20"/>
          <w:szCs w:val="20"/>
          <w:color w:val="auto"/>
        </w:rPr>
      </w:pPr>
      <w:r>
        <w:rPr>
          <w:rFonts w:ascii="Arial" w:cs="Arial" w:eastAsia="Arial" w:hAnsi="Arial"/>
          <w:sz w:val="17"/>
          <w:szCs w:val="17"/>
          <w:color w:val="auto"/>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62" w:lineRule="exact"/>
        <w:rPr>
          <w:sz w:val="20"/>
          <w:szCs w:val="20"/>
          <w:color w:val="auto"/>
        </w:rPr>
      </w:pPr>
    </w:p>
    <w:p>
      <w:pPr>
        <w:ind w:firstLine="749"/>
        <w:spacing w:after="0" w:line="306" w:lineRule="auto"/>
        <w:rPr>
          <w:sz w:val="20"/>
          <w:szCs w:val="20"/>
          <w:color w:val="auto"/>
        </w:rPr>
      </w:pPr>
      <w:r>
        <w:rPr>
          <w:rFonts w:ascii="Arial" w:cs="Arial" w:eastAsia="Arial" w:hAnsi="Arial"/>
          <w:sz w:val="16"/>
          <w:szCs w:val="16"/>
          <w:color w:val="auto"/>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57" w:lineRule="exact"/>
        <w:rPr>
          <w:sz w:val="20"/>
          <w:szCs w:val="20"/>
          <w:color w:val="auto"/>
        </w:rPr>
      </w:pPr>
    </w:p>
    <w:p>
      <w:pPr>
        <w:ind w:right="80" w:firstLine="749"/>
        <w:spacing w:after="0" w:line="279"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75" w:lineRule="exact"/>
        <w:rPr>
          <w:sz w:val="20"/>
          <w:szCs w:val="20"/>
          <w:color w:val="auto"/>
        </w:rPr>
      </w:pPr>
    </w:p>
    <w:p>
      <w:pPr>
        <w:ind w:right="100" w:firstLine="749"/>
        <w:spacing w:after="0" w:line="311" w:lineRule="auto"/>
        <w:rPr>
          <w:sz w:val="20"/>
          <w:szCs w:val="20"/>
          <w:color w:val="auto"/>
        </w:rPr>
      </w:pPr>
      <w:r>
        <w:rPr>
          <w:rFonts w:ascii="Arial" w:cs="Arial" w:eastAsia="Arial" w:hAnsi="Arial"/>
          <w:sz w:val="16"/>
          <w:szCs w:val="16"/>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9" w:name="page70"/>
    <w:bookmarkEnd w:id="69"/>
    <w:p>
      <w:pPr>
        <w:ind w:right="240"/>
        <w:spacing w:after="0" w:line="293" w:lineRule="auto"/>
        <w:rPr>
          <w:sz w:val="20"/>
          <w:szCs w:val="20"/>
          <w:color w:val="auto"/>
        </w:rPr>
      </w:pPr>
      <w:r>
        <w:rPr>
          <w:rFonts w:ascii="Arial" w:cs="Arial" w:eastAsia="Arial" w:hAnsi="Arial"/>
          <w:sz w:val="18"/>
          <w:szCs w:val="18"/>
          <w:b w:val="1"/>
          <w:bCs w:val="1"/>
          <w:i w:val="1"/>
          <w:iCs w:val="1"/>
          <w:color w:val="auto"/>
        </w:rPr>
        <w:t>We may enter into collaborations with third parties for the development and commercialization of product candidates. If those collaborations are not successful, we may not be able to capitalize on the market potential of these product candidates.</w:t>
      </w:r>
    </w:p>
    <w:p>
      <w:pPr>
        <w:spacing w:after="0" w:line="62" w:lineRule="exact"/>
        <w:rPr>
          <w:sz w:val="20"/>
          <w:szCs w:val="20"/>
          <w:color w:val="auto"/>
        </w:rPr>
      </w:pPr>
    </w:p>
    <w:p>
      <w:pPr>
        <w:ind w:right="240" w:firstLine="749"/>
        <w:spacing w:after="0" w:line="296" w:lineRule="auto"/>
        <w:rPr>
          <w:sz w:val="20"/>
          <w:szCs w:val="20"/>
          <w:color w:val="auto"/>
        </w:rPr>
      </w:pPr>
      <w:r>
        <w:rPr>
          <w:rFonts w:ascii="Arial" w:cs="Arial" w:eastAsia="Arial" w:hAnsi="Arial"/>
          <w:sz w:val="17"/>
          <w:szCs w:val="17"/>
          <w:color w:val="auto"/>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62" w:lineRule="exact"/>
        <w:rPr>
          <w:sz w:val="20"/>
          <w:szCs w:val="20"/>
          <w:color w:val="auto"/>
        </w:rPr>
      </w:pPr>
    </w:p>
    <w:p>
      <w:pPr>
        <w:ind w:left="1200" w:right="400"/>
        <w:spacing w:after="0" w:line="293" w:lineRule="auto"/>
        <w:rPr>
          <w:sz w:val="20"/>
          <w:szCs w:val="20"/>
          <w:color w:val="auto"/>
        </w:rPr>
      </w:pPr>
      <w:r>
        <w:rPr>
          <w:rFonts w:ascii="Arial" w:cs="Arial" w:eastAsia="Arial" w:hAnsi="Arial"/>
          <w:sz w:val="18"/>
          <w:szCs w:val="18"/>
          <w:color w:val="auto"/>
        </w:rPr>
        <w:t>collaborators have significant discretion in determining the efforts and resources that they will apply to, and the manner in which they perform their obligations under, these collaborations and may not perform their obligations as expected;</w:t>
      </w:r>
    </w:p>
    <w:p>
      <w:pPr>
        <w:spacing w:after="0" w:line="62" w:lineRule="exact"/>
        <w:rPr>
          <w:sz w:val="20"/>
          <w:szCs w:val="20"/>
          <w:color w:val="auto"/>
        </w:rPr>
      </w:pPr>
    </w:p>
    <w:p>
      <w:pPr>
        <w:ind w:left="1200"/>
        <w:spacing w:after="0" w:line="275" w:lineRule="auto"/>
        <w:rPr>
          <w:sz w:val="20"/>
          <w:szCs w:val="20"/>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77" w:lineRule="exact"/>
        <w:rPr>
          <w:sz w:val="20"/>
          <w:szCs w:val="20"/>
          <w:color w:val="auto"/>
        </w:rPr>
      </w:pPr>
    </w:p>
    <w:p>
      <w:pPr>
        <w:ind w:left="1200" w:right="620"/>
        <w:spacing w:after="0" w:line="359" w:lineRule="auto"/>
        <w:rPr>
          <w:sz w:val="20"/>
          <w:szCs w:val="20"/>
          <w:color w:val="auto"/>
        </w:rPr>
      </w:pPr>
      <w:r>
        <w:rPr>
          <w:rFonts w:ascii="Arial" w:cs="Arial" w:eastAsia="Arial" w:hAnsi="Arial"/>
          <w:sz w:val="16"/>
          <w:szCs w:val="16"/>
          <w:color w:val="auto"/>
        </w:rPr>
        <w:t>collaborators may rely on third parties to conduct development, manufacturing, and/or commercialization activities, and except for remedies available to us under our collaboration agreements, we have limited ability to control the conduct of such activities;</w:t>
      </w:r>
    </w:p>
    <w:p>
      <w:pPr>
        <w:spacing w:after="0" w:line="17" w:lineRule="exact"/>
        <w:rPr>
          <w:sz w:val="20"/>
          <w:szCs w:val="20"/>
          <w:color w:val="auto"/>
        </w:rPr>
      </w:pPr>
    </w:p>
    <w:p>
      <w:pPr>
        <w:ind w:left="1200" w:right="300"/>
        <w:spacing w:after="0" w:line="324" w:lineRule="auto"/>
        <w:rPr>
          <w:sz w:val="20"/>
          <w:szCs w:val="20"/>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9" w:lineRule="exact"/>
        <w:rPr>
          <w:sz w:val="20"/>
          <w:szCs w:val="20"/>
          <w:color w:val="auto"/>
        </w:rPr>
      </w:pPr>
    </w:p>
    <w:p>
      <w:pPr>
        <w:ind w:left="1200" w:right="300"/>
        <w:spacing w:after="0" w:line="279" w:lineRule="auto"/>
        <w:rPr>
          <w:sz w:val="20"/>
          <w:szCs w:val="20"/>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75" w:lineRule="exact"/>
        <w:rPr>
          <w:sz w:val="20"/>
          <w:szCs w:val="20"/>
          <w:color w:val="auto"/>
        </w:rPr>
      </w:pPr>
    </w:p>
    <w:p>
      <w:pPr>
        <w:ind w:left="1200" w:right="580"/>
        <w:spacing w:after="0" w:line="293" w:lineRule="auto"/>
        <w:rPr>
          <w:sz w:val="20"/>
          <w:szCs w:val="20"/>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we may grant exclusive rights to our collaborators that would prevent us from collaborating with others;</w:t>
      </w:r>
    </w:p>
    <w:p>
      <w:pPr>
        <w:spacing w:after="0" w:line="131" w:lineRule="exact"/>
        <w:rPr>
          <w:sz w:val="20"/>
          <w:szCs w:val="20"/>
          <w:color w:val="auto"/>
        </w:rPr>
      </w:pPr>
    </w:p>
    <w:p>
      <w:pPr>
        <w:ind w:left="1200" w:right="140"/>
        <w:spacing w:after="0" w:line="275" w:lineRule="auto"/>
        <w:rPr>
          <w:sz w:val="20"/>
          <w:szCs w:val="20"/>
          <w:color w:val="auto"/>
        </w:rPr>
      </w:pPr>
      <w:r>
        <w:rPr>
          <w:rFonts w:ascii="Arial" w:cs="Arial" w:eastAsia="Arial" w:hAnsi="Arial"/>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77" w:lineRule="exact"/>
        <w:rPr>
          <w:sz w:val="20"/>
          <w:szCs w:val="20"/>
          <w:color w:val="auto"/>
        </w:rPr>
      </w:pPr>
    </w:p>
    <w:p>
      <w:pPr>
        <w:ind w:left="1200" w:right="740"/>
        <w:spacing w:after="0" w:line="279" w:lineRule="auto"/>
        <w:rPr>
          <w:sz w:val="20"/>
          <w:szCs w:val="20"/>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75" w:lineRule="exact"/>
        <w:rPr>
          <w:sz w:val="20"/>
          <w:szCs w:val="20"/>
          <w:color w:val="auto"/>
        </w:rPr>
      </w:pPr>
    </w:p>
    <w:p>
      <w:pPr>
        <w:ind w:left="1200" w:right="820"/>
        <w:spacing w:after="0" w:line="293" w:lineRule="auto"/>
        <w:rPr>
          <w:sz w:val="20"/>
          <w:szCs w:val="20"/>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collaboration agreements may not lead to development or commercialization of product candidates in the most efficient manner or at all;</w:t>
      </w:r>
    </w:p>
    <w:p>
      <w:pPr>
        <w:spacing w:after="0" w:line="154" w:lineRule="exact"/>
        <w:rPr>
          <w:sz w:val="20"/>
          <w:szCs w:val="20"/>
          <w:color w:val="auto"/>
        </w:rPr>
      </w:pPr>
    </w:p>
    <w:p>
      <w:pPr>
        <w:ind w:left="1200" w:right="680"/>
        <w:spacing w:after="0" w:line="279" w:lineRule="auto"/>
        <w:rPr>
          <w:sz w:val="20"/>
          <w:szCs w:val="20"/>
          <w:color w:val="auto"/>
        </w:rPr>
      </w:pPr>
      <w:r>
        <w:rPr>
          <w:rFonts w:ascii="Arial" w:cs="Arial" w:eastAsia="Arial" w:hAnsi="Arial"/>
          <w:sz w:val="18"/>
          <w:szCs w:val="18"/>
          <w:color w:val="auto"/>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75" w:lineRule="exact"/>
        <w:rPr>
          <w:sz w:val="20"/>
          <w:szCs w:val="20"/>
          <w:color w:val="auto"/>
        </w:rPr>
      </w:pPr>
    </w:p>
    <w:p>
      <w:pPr>
        <w:ind w:left="1200" w:right="300"/>
        <w:spacing w:after="0" w:line="293" w:lineRule="auto"/>
        <w:rPr>
          <w:sz w:val="20"/>
          <w:szCs w:val="20"/>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62" w:lineRule="exact"/>
        <w:rPr>
          <w:sz w:val="20"/>
          <w:szCs w:val="20"/>
          <w:color w:val="auto"/>
        </w:rPr>
      </w:pPr>
    </w:p>
    <w:p>
      <w:pPr>
        <w:ind w:left="1200" w:right="500"/>
        <w:spacing w:after="0" w:line="293" w:lineRule="auto"/>
        <w:rPr>
          <w:sz w:val="20"/>
          <w:szCs w:val="20"/>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135"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continue for our common stock or what the market price of our common stock will be and as a result it may be difficult for you to sell your shares of our common stock.</w:t>
      </w:r>
    </w:p>
    <w:p>
      <w:pPr>
        <w:spacing w:after="0" w:line="62" w:lineRule="exact"/>
        <w:rPr>
          <w:sz w:val="20"/>
          <w:szCs w:val="20"/>
          <w:color w:val="auto"/>
        </w:rPr>
      </w:pPr>
    </w:p>
    <w:p>
      <w:pPr>
        <w:ind w:right="140" w:firstLine="749"/>
        <w:spacing w:after="0" w:line="271" w:lineRule="auto"/>
        <w:rPr>
          <w:sz w:val="20"/>
          <w:szCs w:val="20"/>
          <w:color w:val="auto"/>
        </w:rPr>
      </w:pPr>
      <w:r>
        <w:rPr>
          <w:rFonts w:ascii="Arial" w:cs="Arial" w:eastAsia="Arial" w:hAnsi="Arial"/>
          <w:sz w:val="18"/>
          <w:szCs w:val="18"/>
          <w:color w:val="auto"/>
        </w:rPr>
        <w:t>Prior to our IPO in April 2020, there was no public market for shares of our common stock. Shares of our common stock only recently began trading on Nasdaq, but we can provide no assurance that we will be able to sustain an active trading market for our shares.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is volatile.</w:t>
      </w:r>
    </w:p>
    <w:p>
      <w:pPr>
        <w:spacing w:after="0" w:line="131" w:lineRule="exact"/>
        <w:rPr>
          <w:sz w:val="20"/>
          <w:szCs w:val="20"/>
          <w:color w:val="auto"/>
        </w:rPr>
      </w:pPr>
    </w:p>
    <w:p>
      <w:pPr>
        <w:ind w:right="100" w:firstLine="749"/>
        <w:spacing w:after="0" w:line="303"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5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Broad market and industry factors may negatively affect the market price of our common stock, regardless of our actual operating performance.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factors discussed in this “Risk factors” section and elsewhere in this periodic report, these factors include:</w:t>
      </w:r>
    </w:p>
    <w:p>
      <w:pPr>
        <w:spacing w:after="0" w:line="130" w:lineRule="exact"/>
        <w:rPr>
          <w:sz w:val="20"/>
          <w:szCs w:val="20"/>
          <w:color w:val="auto"/>
        </w:rPr>
      </w:pPr>
    </w:p>
    <w:p>
      <w:pPr>
        <w:ind w:left="1200" w:right="160"/>
        <w:spacing w:after="0" w:line="293" w:lineRule="auto"/>
        <w:rPr>
          <w:sz w:val="20"/>
          <w:szCs w:val="20"/>
          <w:color w:val="auto"/>
        </w:rPr>
      </w:pPr>
      <w:r>
        <w:rPr>
          <w:rFonts w:ascii="Arial" w:cs="Arial" w:eastAsia="Arial" w:hAnsi="Arial"/>
          <w:sz w:val="18"/>
          <w:szCs w:val="18"/>
          <w:color w:val="auto"/>
        </w:rPr>
        <w:t>the timing and results of preclinical studies and clinical trials of our product candidates, those conducted by third parties or those of our competitors;</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success of competitive products or announcements by potential competitors of their product development efforts;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regulatory actions with respect to our products or our competitors’ products;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actual or anticipated changes in our growth rate relative to our competitors;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regulatory or legal developments in the United States and other countries;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developments or disputes concerning patent applications, issued patents or other proprietary rights;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recruitment or departure of key personnel;</w:t>
      </w:r>
    </w:p>
    <w:p>
      <w:pPr>
        <w:spacing w:after="0" w:line="131" w:lineRule="exact"/>
        <w:rPr>
          <w:sz w:val="20"/>
          <w:szCs w:val="20"/>
          <w:color w:val="auto"/>
        </w:rPr>
      </w:pPr>
    </w:p>
    <w:p>
      <w:pPr>
        <w:ind w:left="1200" w:right="400"/>
        <w:spacing w:after="0" w:line="293" w:lineRule="auto"/>
        <w:rPr>
          <w:sz w:val="20"/>
          <w:szCs w:val="20"/>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4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fluctuations in the valuation of companies perceived by investors to be comparable to us;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market conditions in the pharmaceutical and biotechnology sector;</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changes in the structure of healthcare payment systems;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share price and volume fluctuations attributable to inconsistent trading volume levels of our shares;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announcement or expectation of additional financing efforts;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of our common stock by us, our insiders or our other stockholders;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expiration of market stand-off or lock-up agreements;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impact of any natural disasters or public health emergencies, such as the COVID-19 pandemic; and</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general economic, political, industry and market conditions.</w:t>
      </w:r>
    </w:p>
    <w:p>
      <w:pPr>
        <w:spacing w:after="0" w:line="131" w:lineRule="exact"/>
        <w:rPr>
          <w:sz w:val="20"/>
          <w:szCs w:val="20"/>
          <w:color w:val="auto"/>
        </w:rPr>
      </w:pPr>
    </w:p>
    <w:p>
      <w:pPr>
        <w:ind w:right="200" w:firstLine="749"/>
        <w:spacing w:after="0" w:line="293"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62"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62" w:lineRule="exact"/>
        <w:rPr>
          <w:sz w:val="20"/>
          <w:szCs w:val="20"/>
          <w:color w:val="auto"/>
        </w:rPr>
      </w:pPr>
    </w:p>
    <w:p>
      <w:pPr>
        <w:ind w:right="320" w:firstLine="749"/>
        <w:spacing w:after="0" w:line="293" w:lineRule="auto"/>
        <w:rPr>
          <w:sz w:val="20"/>
          <w:szCs w:val="20"/>
          <w:color w:val="auto"/>
        </w:rPr>
      </w:pPr>
      <w:r>
        <w:rPr>
          <w:rFonts w:ascii="Arial" w:cs="Arial" w:eastAsia="Arial" w:hAnsi="Arial"/>
          <w:sz w:val="18"/>
          <w:szCs w:val="18"/>
          <w:color w:val="auto"/>
        </w:rPr>
        <w:t>The trading market for our common stock is influenced by the research and reports that securities or industry analysts publish about us, our business or our market. We currently have research coverage from a limited number of securities or industry analysts. If</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72" w:right="479" w:bottom="1440" w:gutter="0" w:footer="0" w:header="0"/>
        </w:sectPr>
      </w:pPr>
    </w:p>
    <w:bookmarkStart w:id="71" w:name="page72"/>
    <w:bookmarkEnd w:id="71"/>
    <w:p>
      <w:pPr>
        <w:ind w:right="60"/>
        <w:spacing w:after="0" w:line="275" w:lineRule="auto"/>
        <w:rPr>
          <w:sz w:val="20"/>
          <w:szCs w:val="20"/>
          <w:color w:val="auto"/>
        </w:rPr>
      </w:pPr>
      <w:r>
        <w:rPr>
          <w:rFonts w:ascii="Arial" w:cs="Arial" w:eastAsia="Arial" w:hAnsi="Arial"/>
          <w:sz w:val="18"/>
          <w:szCs w:val="18"/>
          <w:color w:val="auto"/>
        </w:rPr>
        <w:t>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77"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62" w:lineRule="exact"/>
        <w:rPr>
          <w:sz w:val="20"/>
          <w:szCs w:val="20"/>
          <w:color w:val="auto"/>
        </w:rPr>
      </w:pPr>
    </w:p>
    <w:p>
      <w:pPr>
        <w:ind w:right="40" w:firstLine="749"/>
        <w:spacing w:after="0" w:line="272"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83" w:lineRule="exact"/>
        <w:rPr>
          <w:sz w:val="20"/>
          <w:szCs w:val="20"/>
          <w:color w:val="auto"/>
        </w:rPr>
      </w:pPr>
    </w:p>
    <w:p>
      <w:pPr>
        <w:jc w:val="both"/>
        <w:ind w:right="120" w:firstLine="749"/>
        <w:spacing w:after="0" w:line="275" w:lineRule="auto"/>
        <w:rPr>
          <w:sz w:val="20"/>
          <w:szCs w:val="20"/>
          <w:color w:val="auto"/>
        </w:rPr>
      </w:pPr>
      <w:r>
        <w:rPr>
          <w:rFonts w:ascii="Arial" w:cs="Arial" w:eastAsia="Arial" w:hAnsi="Arial"/>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77" w:lineRule="exact"/>
        <w:rPr>
          <w:sz w:val="20"/>
          <w:szCs w:val="20"/>
          <w:color w:val="auto"/>
        </w:rPr>
      </w:pPr>
    </w:p>
    <w:p>
      <w:pPr>
        <w:jc w:val="both"/>
        <w:ind w:right="140" w:firstLine="749"/>
        <w:spacing w:after="0" w:line="293" w:lineRule="auto"/>
        <w:rPr>
          <w:sz w:val="20"/>
          <w:szCs w:val="20"/>
          <w:color w:val="auto"/>
        </w:rPr>
      </w:pPr>
      <w:r>
        <w:rPr>
          <w:rFonts w:ascii="Arial" w:cs="Arial" w:eastAsia="Arial" w:hAnsi="Arial"/>
          <w:sz w:val="18"/>
          <w:szCs w:val="18"/>
          <w:color w:val="auto"/>
        </w:rPr>
        <w:t>Furthermore, our operating results may fluctuate due to a variety of other factors, many of which are outside of our control and may be difficult to predict, including the following:</w:t>
      </w:r>
    </w:p>
    <w:p>
      <w:pPr>
        <w:spacing w:after="0" w:line="62" w:lineRule="exact"/>
        <w:rPr>
          <w:sz w:val="20"/>
          <w:szCs w:val="20"/>
          <w:color w:val="auto"/>
        </w:rPr>
      </w:pPr>
    </w:p>
    <w:p>
      <w:pPr>
        <w:ind w:left="1200" w:right="200"/>
        <w:spacing w:after="0" w:line="293" w:lineRule="auto"/>
        <w:rPr>
          <w:sz w:val="20"/>
          <w:szCs w:val="20"/>
          <w:color w:val="auto"/>
        </w:rPr>
      </w:pPr>
      <w:r>
        <w:rPr>
          <w:rFonts w:ascii="Arial" w:cs="Arial" w:eastAsia="Arial" w:hAnsi="Arial"/>
          <w:sz w:val="18"/>
          <w:szCs w:val="18"/>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ability to enroll patients in clinical trials and the timing of enrollment;</w:t>
      </w:r>
    </w:p>
    <w:p>
      <w:pPr>
        <w:spacing w:after="0" w:line="131" w:lineRule="exact"/>
        <w:rPr>
          <w:sz w:val="20"/>
          <w:szCs w:val="20"/>
          <w:color w:val="auto"/>
        </w:rPr>
      </w:pPr>
    </w:p>
    <w:p>
      <w:pPr>
        <w:ind w:left="1200" w:right="100"/>
        <w:spacing w:after="0" w:line="279" w:lineRule="auto"/>
        <w:rPr>
          <w:sz w:val="20"/>
          <w:szCs w:val="20"/>
          <w:color w:val="auto"/>
        </w:rPr>
      </w:pPr>
      <w:r>
        <w:rPr>
          <w:rFonts w:ascii="Arial" w:cs="Arial" w:eastAsia="Arial" w:hAnsi="Arial"/>
          <w:sz w:val="18"/>
          <w:szCs w:val="18"/>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7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expenditures that we will or may incur to acquire or develop additional product candidates and technologies or other assets;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timing and outcomes of clinical trials for ORIC-101, and any of our other product candidates, or competing product candidates;</w:t>
      </w:r>
    </w:p>
    <w:p>
      <w:pPr>
        <w:spacing w:after="0" w:line="14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131" w:lineRule="exact"/>
        <w:rPr>
          <w:sz w:val="20"/>
          <w:szCs w:val="20"/>
          <w:color w:val="auto"/>
        </w:rPr>
      </w:pPr>
    </w:p>
    <w:p>
      <w:pPr>
        <w:ind w:left="1200" w:right="20"/>
        <w:spacing w:after="0" w:line="293" w:lineRule="auto"/>
        <w:rPr>
          <w:sz w:val="20"/>
          <w:szCs w:val="20"/>
          <w:color w:val="auto"/>
        </w:rPr>
      </w:pPr>
      <w:r>
        <w:rPr>
          <w:rFonts w:ascii="Arial" w:cs="Arial" w:eastAsia="Arial" w:hAnsi="Arial"/>
          <w:sz w:val="18"/>
          <w:szCs w:val="18"/>
          <w:color w:val="auto"/>
        </w:rPr>
        <w:t>competition from existing and potential future products that compete with ORIC-101 and any of our other product candidates, and changes in the competitive landscape of our industry, including consolidation among our competitors or partners;</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any delays in regulatory review or approval of ORIC-101 or any of our other product candidates;</w:t>
      </w:r>
    </w:p>
    <w:p>
      <w:pPr>
        <w:spacing w:after="0" w:line="131" w:lineRule="exact"/>
        <w:rPr>
          <w:sz w:val="20"/>
          <w:szCs w:val="20"/>
          <w:color w:val="auto"/>
        </w:rPr>
      </w:pPr>
    </w:p>
    <w:p>
      <w:pPr>
        <w:ind w:left="1200" w:right="80"/>
        <w:spacing w:after="0" w:line="293" w:lineRule="auto"/>
        <w:rPr>
          <w:sz w:val="20"/>
          <w:szCs w:val="20"/>
          <w:color w:val="auto"/>
        </w:rPr>
      </w:pPr>
      <w:r>
        <w:rPr>
          <w:rFonts w:ascii="Arial" w:cs="Arial" w:eastAsia="Arial" w:hAnsi="Arial"/>
          <w:sz w:val="18"/>
          <w:szCs w:val="18"/>
          <w:color w:val="auto"/>
        </w:rPr>
        <w:t>the level of demand for ORIC-101 and any of our other product candidates, if approved, which may fluctuate significantly and be difficult to predict;</w:t>
      </w:r>
    </w:p>
    <w:p>
      <w:pPr>
        <w:spacing w:after="0" w:line="62" w:lineRule="exact"/>
        <w:rPr>
          <w:sz w:val="20"/>
          <w:szCs w:val="20"/>
          <w:color w:val="auto"/>
        </w:rPr>
      </w:pPr>
    </w:p>
    <w:p>
      <w:pPr>
        <w:ind w:left="1200" w:right="360"/>
        <w:spacing w:after="0" w:line="293" w:lineRule="auto"/>
        <w:rPr>
          <w:sz w:val="20"/>
          <w:szCs w:val="20"/>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ORIC-101 and any of our other product candidates;</w:t>
      </w:r>
    </w:p>
    <w:p>
      <w:pPr>
        <w:spacing w:after="0" w:line="62" w:lineRule="exact"/>
        <w:rPr>
          <w:sz w:val="20"/>
          <w:szCs w:val="20"/>
          <w:color w:val="auto"/>
        </w:rPr>
      </w:pPr>
    </w:p>
    <w:p>
      <w:pPr>
        <w:ind w:left="1200"/>
        <w:spacing w:after="0" w:line="293" w:lineRule="auto"/>
        <w:rPr>
          <w:sz w:val="20"/>
          <w:szCs w:val="20"/>
          <w:color w:val="auto"/>
        </w:rPr>
      </w:pPr>
      <w:r>
        <w:rPr>
          <w:rFonts w:ascii="Arial" w:cs="Arial" w:eastAsia="Arial" w:hAnsi="Arial"/>
          <w:sz w:val="18"/>
          <w:szCs w:val="18"/>
          <w:color w:val="auto"/>
        </w:rPr>
        <w:t>our ability to commercialize ORIC-101 and any of our other product candidates, if approved, inside and outside of the United States, either independently or working with third parties;</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ability to establish and maintain collaborations, licensing or other arrangements;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ability to adequately support future growth;</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potential unforeseen business disruptions that increase our costs or expenses;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future accounting pronouncements or changes in our accounting policies; and</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changing and volatile global economic and political environment.</w:t>
      </w:r>
    </w:p>
    <w:p>
      <w:pPr>
        <w:spacing w:after="0" w:line="131" w:lineRule="exact"/>
        <w:rPr>
          <w:sz w:val="20"/>
          <w:szCs w:val="20"/>
          <w:color w:val="auto"/>
        </w:rPr>
      </w:pPr>
    </w:p>
    <w:p>
      <w:pPr>
        <w:ind w:right="140" w:firstLine="749"/>
        <w:spacing w:after="0" w:line="275" w:lineRule="auto"/>
        <w:rPr>
          <w:sz w:val="20"/>
          <w:szCs w:val="20"/>
          <w:color w:val="auto"/>
        </w:rPr>
      </w:pPr>
      <w:r>
        <w:rPr>
          <w:rFonts w:ascii="Arial" w:cs="Arial" w:eastAsia="Arial" w:hAnsi="Arial"/>
          <w:sz w:val="18"/>
          <w:szCs w:val="18"/>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72" w:name="page73"/>
    <w:bookmarkEnd w:id="72"/>
    <w:p>
      <w:pPr>
        <w:ind w:right="60"/>
        <w:spacing w:after="0" w:line="279" w:lineRule="auto"/>
        <w:rPr>
          <w:sz w:val="20"/>
          <w:szCs w:val="20"/>
          <w:color w:val="auto"/>
        </w:rPr>
      </w:pPr>
      <w:r>
        <w:rPr>
          <w:rFonts w:ascii="Arial" w:cs="Arial" w:eastAsia="Arial" w:hAnsi="Arial"/>
          <w:sz w:val="18"/>
          <w:szCs w:val="18"/>
          <w:color w:val="auto"/>
        </w:rPr>
        <w:t>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75"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right="120" w:firstLine="749"/>
        <w:spacing w:after="0" w:line="309" w:lineRule="auto"/>
        <w:rPr>
          <w:sz w:val="20"/>
          <w:szCs w:val="20"/>
          <w:color w:val="auto"/>
        </w:rPr>
      </w:pPr>
      <w:r>
        <w:rPr>
          <w:rFonts w:ascii="Arial" w:cs="Arial" w:eastAsia="Arial" w:hAnsi="Arial"/>
          <w:sz w:val="16"/>
          <w:szCs w:val="16"/>
          <w:color w:val="auto"/>
        </w:rPr>
        <w:t>As of June 30, 2021, our executive officers, directors, holders of 5% or more of our common stock and their respective affiliates beneficially owned approximately 53% of our outstanding common stock. These stockholders, acting together, may be able to impact matters requiring stockholder approval.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31" w:lineRule="exact"/>
        <w:rPr>
          <w:sz w:val="20"/>
          <w:szCs w:val="20"/>
          <w:color w:val="auto"/>
        </w:rPr>
      </w:pPr>
    </w:p>
    <w:p>
      <w:pPr>
        <w:ind w:right="200" w:firstLine="749"/>
        <w:spacing w:after="0" w:line="324"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39" w:lineRule="exact"/>
        <w:rPr>
          <w:sz w:val="20"/>
          <w:szCs w:val="20"/>
          <w:color w:val="auto"/>
        </w:rPr>
      </w:pPr>
    </w:p>
    <w:p>
      <w:pPr>
        <w:ind w:right="140" w:firstLine="749"/>
        <w:spacing w:after="0" w:line="319" w:lineRule="auto"/>
        <w:rPr>
          <w:sz w:val="20"/>
          <w:szCs w:val="20"/>
          <w:color w:val="auto"/>
        </w:rPr>
      </w:pPr>
      <w:r>
        <w:rPr>
          <w:rFonts w:ascii="Arial" w:cs="Arial" w:eastAsia="Arial" w:hAnsi="Arial"/>
          <w:sz w:val="16"/>
          <w:szCs w:val="16"/>
          <w:color w:val="auto"/>
        </w:rPr>
        <w:t>Certain holders of shares of our common stock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Any sales of securities by these stockholders could have a material adverse effect on the market price for our common stock.</w:t>
      </w:r>
    </w:p>
    <w:p>
      <w:pPr>
        <w:spacing w:after="0" w:line="48"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62" w:lineRule="exact"/>
        <w:rPr>
          <w:sz w:val="20"/>
          <w:szCs w:val="20"/>
          <w:color w:val="auto"/>
        </w:rPr>
      </w:pPr>
    </w:p>
    <w:p>
      <w:pPr>
        <w:ind w:right="160" w:firstLine="749"/>
        <w:spacing w:after="0" w:line="279"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75" w:lineRule="exact"/>
        <w:rPr>
          <w:sz w:val="20"/>
          <w:szCs w:val="20"/>
          <w:color w:val="auto"/>
        </w:rPr>
      </w:pPr>
    </w:p>
    <w:p>
      <w:pPr>
        <w:ind w:left="1200" w:right="380"/>
        <w:spacing w:after="0" w:line="279" w:lineRule="auto"/>
        <w:rPr>
          <w:sz w:val="20"/>
          <w:szCs w:val="20"/>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our periodic reports;</w:t>
      </w:r>
    </w:p>
    <w:p>
      <w:pPr>
        <w:spacing w:after="0" w:line="75" w:lineRule="exact"/>
        <w:rPr>
          <w:sz w:val="20"/>
          <w:szCs w:val="20"/>
          <w:color w:val="auto"/>
        </w:rPr>
      </w:pPr>
    </w:p>
    <w:p>
      <w:pPr>
        <w:ind w:left="1200" w:right="420"/>
        <w:spacing w:after="0" w:line="293" w:lineRule="auto"/>
        <w:rPr>
          <w:sz w:val="20"/>
          <w:szCs w:val="20"/>
          <w:color w:val="auto"/>
        </w:rPr>
      </w:pPr>
      <w:r>
        <w:rPr>
          <w:rFonts w:ascii="Arial" w:cs="Arial" w:eastAsia="Arial" w:hAnsi="Arial"/>
          <w:sz w:val="18"/>
          <w:szCs w:val="18"/>
          <w:color w:val="auto"/>
        </w:rPr>
        <w:t>not being required to comply with the auditor attestation requirements of Section 404 of the Sarbanes-Oxley Act of 2002, as amended (Sarbanes-Oxley Act);</w:t>
      </w:r>
    </w:p>
    <w:p>
      <w:pPr>
        <w:spacing w:after="0" w:line="62" w:lineRule="exact"/>
        <w:rPr>
          <w:sz w:val="20"/>
          <w:szCs w:val="20"/>
          <w:color w:val="auto"/>
        </w:rPr>
      </w:pPr>
    </w:p>
    <w:p>
      <w:pPr>
        <w:jc w:val="both"/>
        <w:ind w:left="1200" w:right="280"/>
        <w:spacing w:after="0" w:line="279" w:lineRule="auto"/>
        <w:rPr>
          <w:sz w:val="20"/>
          <w:szCs w:val="20"/>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reduced disclosure obligations regarding executive compensation in our periodic reports and proxy statements; and</w:t>
      </w:r>
    </w:p>
    <w:p>
      <w:pPr>
        <w:spacing w:after="0" w:line="131" w:lineRule="exact"/>
        <w:rPr>
          <w:sz w:val="20"/>
          <w:szCs w:val="20"/>
          <w:color w:val="auto"/>
        </w:rPr>
      </w:pPr>
    </w:p>
    <w:p>
      <w:pPr>
        <w:ind w:left="1200" w:right="80"/>
        <w:spacing w:after="0" w:line="293" w:lineRule="auto"/>
        <w:rPr>
          <w:sz w:val="20"/>
          <w:szCs w:val="20"/>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62" w:lineRule="exact"/>
        <w:rPr>
          <w:sz w:val="20"/>
          <w:szCs w:val="20"/>
          <w:color w:val="auto"/>
        </w:rPr>
      </w:pPr>
    </w:p>
    <w:p>
      <w:pPr>
        <w:ind w:firstLine="749"/>
        <w:spacing w:after="0" w:line="272"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not to avail ourselves of this exemption from new or revised accounting standards and, therefore, will be subject to the same new or revised accounting standards as other public companies that are not emerging growth companies. As a result, our financial statements may not be comparable to emerging growth companies that elect to avail themselves of the exemption from new or revised accounting pronouncements as of public company effective dates.</w:t>
      </w:r>
    </w:p>
    <w:p>
      <w:pPr>
        <w:spacing w:after="0" w:line="8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We will remain an emerging growth company until the earliest to occur of: (1) the last day of the fiscal year in which we have more than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$1.07 billion in annual revenue; (2) the date we qualify as a “large accelerated filer,” with at least $700.0 million of equity securities held by non-affiliates;</w:t>
      </w:r>
    </w:p>
    <w:p>
      <w:pPr>
        <w:spacing w:after="0" w:line="46" w:lineRule="exact"/>
        <w:rPr>
          <w:sz w:val="20"/>
          <w:szCs w:val="20"/>
          <w:color w:val="auto"/>
        </w:rPr>
      </w:pPr>
    </w:p>
    <w:p>
      <w:pPr>
        <w:ind w:right="360" w:firstLine="8"/>
        <w:spacing w:after="0" w:line="292"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securities during the prior three-year period; and (4) December 31, 2025.</w:t>
      </w:r>
    </w:p>
    <w:p>
      <w:pPr>
        <w:spacing w:after="0" w:line="62" w:lineRule="exact"/>
        <w:rPr>
          <w:sz w:val="20"/>
          <w:szCs w:val="20"/>
          <w:color w:val="auto"/>
        </w:rPr>
      </w:pPr>
    </w:p>
    <w:p>
      <w:pPr>
        <w:ind w:right="240" w:firstLine="749"/>
        <w:spacing w:after="0" w:line="359" w:lineRule="auto"/>
        <w:rPr>
          <w:sz w:val="20"/>
          <w:szCs w:val="20"/>
          <w:color w:val="auto"/>
        </w:rPr>
      </w:pPr>
      <w:r>
        <w:rPr>
          <w:rFonts w:ascii="Arial" w:cs="Arial" w:eastAsia="Arial" w:hAnsi="Arial"/>
          <w:sz w:val="16"/>
          <w:szCs w:val="16"/>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3" w:name="page74"/>
    <w:bookmarkEnd w:id="73"/>
    <w:p>
      <w:pPr>
        <w:ind w:right="40"/>
        <w:spacing w:after="0" w:line="279"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devotes substantial time to related compliance initiatives. Additionally, if we fail to maintain proper and effective internal controls, our ability to produce accurate financial statements on a timely basis could be impaired.</w:t>
      </w:r>
    </w:p>
    <w:p>
      <w:pPr>
        <w:spacing w:after="0" w:line="75" w:lineRule="exact"/>
        <w:rPr>
          <w:sz w:val="20"/>
          <w:szCs w:val="20"/>
          <w:color w:val="auto"/>
        </w:rPr>
      </w:pPr>
    </w:p>
    <w:p>
      <w:pPr>
        <w:ind w:right="40" w:firstLine="749"/>
        <w:spacing w:after="0" w:line="286" w:lineRule="auto"/>
        <w:rPr>
          <w:sz w:val="20"/>
          <w:szCs w:val="20"/>
          <w:color w:val="auto"/>
        </w:rPr>
      </w:pPr>
      <w:r>
        <w:rPr>
          <w:rFonts w:ascii="Arial" w:cs="Arial" w:eastAsia="Arial" w:hAnsi="Arial"/>
          <w:sz w:val="17"/>
          <w:szCs w:val="17"/>
          <w:color w:val="auto"/>
        </w:rPr>
        <w:t>As a public company, we incur significant legal, accounting and other expenses that we did not incur as a private company, and these expenses may increase even more after we are no longer an “emerging growth company.” We are subject to the reporting requirements of the Securities Exchange Act of 1934, as amended (Exchange Act), the Sarbanes-Oxley Act, the Dodd-Frank Wall Street Reform and Protection Act, as well as rules adopted, and to be adopted, by the SEC and Nasdaq. Our management and other personnel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these rules and regulations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74" w:lineRule="exact"/>
        <w:rPr>
          <w:sz w:val="20"/>
          <w:szCs w:val="20"/>
          <w:color w:val="auto"/>
        </w:rPr>
      </w:pPr>
    </w:p>
    <w:p>
      <w:pPr>
        <w:ind w:right="100" w:firstLine="749"/>
        <w:spacing w:after="0" w:line="287" w:lineRule="auto"/>
        <w:rPr>
          <w:sz w:val="20"/>
          <w:szCs w:val="20"/>
          <w:color w:val="auto"/>
        </w:rPr>
      </w:pPr>
      <w:r>
        <w:rPr>
          <w:rFonts w:ascii="Arial" w:cs="Arial" w:eastAsia="Arial" w:hAnsi="Arial"/>
          <w:sz w:val="17"/>
          <w:szCs w:val="17"/>
          <w:color w:val="auto"/>
        </w:rPr>
        <w:t>In addition, as a public company we are required to incur additional costs and obligations in order to comply with SEC rules that implement Section 404 of the Sarbanes-Oxley Act. Under these rules, beginning with our second Annual Report on Form 10-K as a public company, we will be required to make a formal assessment of the effectiveness of our internal control over financial reporting, and once we cease to be an emerging growth company, we may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70" w:lineRule="exact"/>
        <w:rPr>
          <w:sz w:val="20"/>
          <w:szCs w:val="20"/>
          <w:color w:val="auto"/>
        </w:rPr>
      </w:pPr>
    </w:p>
    <w:p>
      <w:pPr>
        <w:ind w:right="260" w:firstLine="749"/>
        <w:spacing w:after="0" w:line="270"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84" w:lineRule="exact"/>
        <w:rPr>
          <w:sz w:val="20"/>
          <w:szCs w:val="20"/>
          <w:color w:val="auto"/>
        </w:rPr>
      </w:pPr>
    </w:p>
    <w:p>
      <w:pPr>
        <w:ind w:right="20" w:firstLine="749"/>
        <w:spacing w:after="0" w:line="275"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31" w:lineRule="exact"/>
        <w:rPr>
          <w:sz w:val="20"/>
          <w:szCs w:val="20"/>
          <w:color w:val="auto"/>
        </w:rPr>
      </w:pPr>
    </w:p>
    <w:p>
      <w:pPr>
        <w:ind w:right="120" w:firstLine="749"/>
        <w:spacing w:after="0" w:line="272"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83" w:lineRule="exact"/>
        <w:rPr>
          <w:sz w:val="20"/>
          <w:szCs w:val="20"/>
          <w:color w:val="auto"/>
        </w:rPr>
      </w:pPr>
    </w:p>
    <w:p>
      <w:pPr>
        <w:ind w:right="40" w:firstLine="749"/>
        <w:spacing w:after="0" w:line="275"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31" w:lineRule="exact"/>
        <w:rPr>
          <w:sz w:val="20"/>
          <w:szCs w:val="20"/>
          <w:color w:val="auto"/>
        </w:rPr>
      </w:pPr>
    </w:p>
    <w:p>
      <w:pPr>
        <w:ind w:firstLine="749"/>
        <w:spacing w:after="0" w:line="296" w:lineRule="auto"/>
        <w:rPr>
          <w:sz w:val="20"/>
          <w:szCs w:val="20"/>
          <w:color w:val="auto"/>
        </w:rPr>
      </w:pPr>
      <w:r>
        <w:rPr>
          <w:rFonts w:ascii="Arial" w:cs="Arial" w:eastAsia="Arial" w:hAnsi="Arial"/>
          <w:sz w:val="17"/>
          <w:szCs w:val="17"/>
          <w:color w:val="auto"/>
        </w:rPr>
        <w:t>The market price of our common stock is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31" w:lineRule="exact"/>
        <w:rPr>
          <w:sz w:val="20"/>
          <w:szCs w:val="20"/>
          <w:color w:val="auto"/>
        </w:rPr>
      </w:pPr>
    </w:p>
    <w:p>
      <w:pPr>
        <w:ind w:right="140" w:firstLine="749"/>
        <w:spacing w:after="0" w:line="279"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75" w:lineRule="exact"/>
        <w:rPr>
          <w:sz w:val="20"/>
          <w:szCs w:val="20"/>
          <w:color w:val="auto"/>
        </w:rPr>
      </w:pPr>
    </w:p>
    <w:p>
      <w:pPr>
        <w:ind w:right="280"/>
        <w:spacing w:after="0" w:line="394" w:lineRule="auto"/>
        <w:rPr>
          <w:sz w:val="20"/>
          <w:szCs w:val="20"/>
          <w:color w:val="auto"/>
        </w:rPr>
      </w:pPr>
      <w:r>
        <w:rPr>
          <w:rFonts w:ascii="Arial" w:cs="Arial" w:eastAsia="Arial" w:hAnsi="Arial"/>
          <w:sz w:val="15"/>
          <w:szCs w:val="15"/>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1"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31" w:lineRule="exact"/>
        <w:rPr>
          <w:sz w:val="20"/>
          <w:szCs w:val="20"/>
          <w:color w:val="auto"/>
        </w:rPr>
      </w:pPr>
    </w:p>
    <w:p>
      <w:pPr>
        <w:ind w:left="1200" w:right="160"/>
        <w:spacing w:after="0" w:line="293" w:lineRule="auto"/>
        <w:rPr>
          <w:sz w:val="20"/>
          <w:szCs w:val="20"/>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eliminate the ability of our stockholders to call special meetings of stockholders;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4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prohibit cumulative voting;</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authorize our board of directors to amend the bylaws;</w:t>
      </w:r>
    </w:p>
    <w:p>
      <w:pPr>
        <w:spacing w:after="0" w:line="131" w:lineRule="exact"/>
        <w:rPr>
          <w:sz w:val="20"/>
          <w:szCs w:val="20"/>
          <w:color w:val="auto"/>
        </w:rPr>
      </w:pPr>
    </w:p>
    <w:p>
      <w:pPr>
        <w:ind w:left="1200" w:right="620"/>
        <w:spacing w:after="0" w:line="293" w:lineRule="auto"/>
        <w:rPr>
          <w:sz w:val="20"/>
          <w:szCs w:val="20"/>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require a super-majority vote of stockholders to amend some provisions described above.</w:t>
      </w:r>
    </w:p>
    <w:p>
      <w:pPr>
        <w:spacing w:after="0" w:line="131" w:lineRule="exact"/>
        <w:rPr>
          <w:sz w:val="20"/>
          <w:szCs w:val="20"/>
          <w:color w:val="auto"/>
        </w:rPr>
      </w:pPr>
    </w:p>
    <w:p>
      <w:pPr>
        <w:ind w:right="60" w:firstLine="749"/>
        <w:spacing w:after="0" w:line="275" w:lineRule="auto"/>
        <w:rPr>
          <w:sz w:val="20"/>
          <w:szCs w:val="20"/>
          <w:color w:val="auto"/>
        </w:rPr>
      </w:pPr>
      <w:r>
        <w:rPr>
          <w:rFonts w:ascii="Arial" w:cs="Arial" w:eastAsia="Arial" w:hAnsi="Arial"/>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7" w:lineRule="exact"/>
        <w:rPr>
          <w:sz w:val="20"/>
          <w:szCs w:val="20"/>
          <w:color w:val="auto"/>
        </w:rPr>
      </w:pPr>
    </w:p>
    <w:p>
      <w:pPr>
        <w:ind w:right="240" w:firstLine="749"/>
        <w:spacing w:after="0" w:line="279"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75"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and the federal district courts of the United States of America will be the exclusive forums for substantially all disputes between us and our stockholders, which may limit our stockholders’ ability to obtain a favorable judicial forum for disputes with us or our directors, officers or employees.</w:t>
      </w:r>
    </w:p>
    <w:p>
      <w:pPr>
        <w:spacing w:after="0" w:line="75" w:lineRule="exact"/>
        <w:rPr>
          <w:sz w:val="20"/>
          <w:szCs w:val="20"/>
          <w:color w:val="auto"/>
        </w:rPr>
      </w:pPr>
    </w:p>
    <w:p>
      <w:pPr>
        <w:ind w:right="160" w:firstLine="749"/>
        <w:spacing w:after="0" w:line="292" w:lineRule="auto"/>
        <w:rPr>
          <w:sz w:val="20"/>
          <w:szCs w:val="20"/>
          <w:color w:val="auto"/>
        </w:rPr>
      </w:pPr>
      <w:r>
        <w:rPr>
          <w:rFonts w:ascii="Arial" w:cs="Arial" w:eastAsia="Arial" w:hAnsi="Arial"/>
          <w:sz w:val="17"/>
          <w:szCs w:val="17"/>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6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any derivative action or proceeding brought on our behalf;</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any action asserting a claim of breach of fiduciary duty;</w:t>
      </w:r>
    </w:p>
    <w:p>
      <w:pPr>
        <w:spacing w:after="0" w:line="131" w:lineRule="exact"/>
        <w:rPr>
          <w:sz w:val="20"/>
          <w:szCs w:val="20"/>
          <w:color w:val="auto"/>
        </w:rPr>
      </w:pPr>
    </w:p>
    <w:p>
      <w:pPr>
        <w:ind w:left="1200" w:right="60"/>
        <w:spacing w:after="0" w:line="293" w:lineRule="auto"/>
        <w:rPr>
          <w:sz w:val="20"/>
          <w:szCs w:val="20"/>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any action asserting a claim against us that is governed by the internal-affairs doctrine.</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This provision does not apply to suits brought to enforce a duty or liability created by the Exchange Act or any other claim for which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courts have exclusive jurisdiction.</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75" w:name="page76"/>
    <w:bookmarkEnd w:id="75"/>
    <w:p>
      <w:pPr>
        <w:ind w:right="160" w:firstLine="749"/>
        <w:spacing w:after="0" w:line="293"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of America will be the exclusive forum for resolving any complaint asserting a cause of action arising under the Securities Act.</w:t>
      </w:r>
    </w:p>
    <w:p>
      <w:pPr>
        <w:spacing w:after="0" w:line="62" w:lineRule="exact"/>
        <w:rPr>
          <w:sz w:val="20"/>
          <w:szCs w:val="20"/>
          <w:color w:val="auto"/>
        </w:rPr>
      </w:pPr>
    </w:p>
    <w:p>
      <w:pPr>
        <w:ind w:right="40" w:firstLine="749"/>
        <w:spacing w:after="0" w:line="272"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w:t>
      </w:r>
    </w:p>
    <w:p>
      <w:pPr>
        <w:spacing w:after="0" w:line="83" w:lineRule="exact"/>
        <w:rPr>
          <w:sz w:val="20"/>
          <w:szCs w:val="20"/>
          <w:color w:val="auto"/>
        </w:rPr>
      </w:pPr>
    </w:p>
    <w:p>
      <w:pPr>
        <w:ind w:right="340" w:firstLine="749"/>
        <w:spacing w:after="0" w:line="279" w:lineRule="auto"/>
        <w:rPr>
          <w:sz w:val="20"/>
          <w:szCs w:val="20"/>
          <w:color w:val="auto"/>
        </w:rPr>
      </w:pPr>
      <w:r>
        <w:rPr>
          <w:rFonts w:ascii="Arial" w:cs="Arial" w:eastAsia="Arial" w:hAnsi="Arial"/>
          <w:sz w:val="18"/>
          <w:szCs w:val="18"/>
          <w:color w:val="auto"/>
        </w:rPr>
        <w:t>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5" w:lineRule="exact"/>
        <w:rPr>
          <w:sz w:val="20"/>
          <w:szCs w:val="20"/>
          <w:color w:val="auto"/>
        </w:rPr>
      </w:pPr>
    </w:p>
    <w:p>
      <w:pPr>
        <w:ind w:right="40" w:firstLine="749"/>
        <w:spacing w:after="0" w:line="288" w:lineRule="auto"/>
        <w:rPr>
          <w:sz w:val="20"/>
          <w:szCs w:val="20"/>
          <w:color w:val="auto"/>
        </w:rPr>
      </w:pPr>
      <w:r>
        <w:rPr>
          <w:rFonts w:ascii="Arial" w:cs="Arial" w:eastAsia="Arial" w:hAnsi="Arial"/>
          <w:sz w:val="17"/>
          <w:szCs w:val="17"/>
          <w:color w:val="auto"/>
        </w:rPr>
        <w:t>The Registration Statements on Form S-1 (File Nos. 333-236792 and 333-237814) were declared effective by the SEC for our IPO of common stock on April 23, 2020. We started trading on the Nasdaq Global Select Market on April 24, 2020. In connection with our IPO, we sold an aggregate of 8,625,000 shares of common stock at a public offering price of $16.00 per share, including 1,125,000 shares sold pursuant to the underwriters’ full exercise of their option to purchase additional shares. The underwriters for our IPO were J.P. Morgan Securities LLC, Citigroup Global Markets Inc., Jefferies LLC, and Guggenheim Securities, LLC. The aggregate gross proceeds received by the Company from the offering, excluding underwriting discounts and commissions and offering expenses, were $138.0 million. No offering expenses were paid or are payable, directly or indirectly, to our directors or officers, to persons owning 10% or more of any class of our equity securities or to any of our affiliates.</w:t>
      </w:r>
    </w:p>
    <w:p>
      <w:pPr>
        <w:spacing w:after="0" w:line="73" w:lineRule="exact"/>
        <w:rPr>
          <w:sz w:val="20"/>
          <w:szCs w:val="20"/>
          <w:color w:val="auto"/>
        </w:rPr>
      </w:pPr>
    </w:p>
    <w:p>
      <w:pPr>
        <w:jc w:val="both"/>
        <w:ind w:right="40" w:firstLine="749"/>
        <w:spacing w:after="0" w:line="299" w:lineRule="auto"/>
        <w:rPr>
          <w:sz w:val="20"/>
          <w:szCs w:val="20"/>
          <w:color w:val="auto"/>
        </w:rPr>
      </w:pPr>
      <w:r>
        <w:rPr>
          <w:rFonts w:ascii="Arial" w:cs="Arial" w:eastAsia="Arial" w:hAnsi="Arial"/>
          <w:sz w:val="16"/>
          <w:szCs w:val="16"/>
          <w:color w:val="auto"/>
        </w:rPr>
        <w:t>The Registration Statements on Form S-1 (File Nos. 333-250001 and 333-250053) were declared effective by the SEC for our follow-on offering of common stock on November 12, 2020. In connection with our follow-on offering, we sold an aggregate of 5,796,000 shares of common stock at a public offering price of $23.00 per share, including 756,000 shares sold pursuant to the underwriters’ full exercise of their option to purchase additional shares.</w:t>
      </w:r>
    </w:p>
    <w:p>
      <w:pPr>
        <w:spacing w:after="0" w:line="2"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The underwriters for our follow-on offering were J.P. Morgan Securities LLC, Citigroup Global Markets Inc., Jefferies LLC, Guggenheim Securities, LLC and Oppenheimer &amp; Co. Inc. The aggregate gross proceeds received by the Company from the offering, excluding underwriting discounts and commissions and offering expenses was $133.3 million. No offering expenses were paid or are payable, directly or indirectly, to our directors or officers, to persons owning 10% or more of any class of our equity securities or to any of our affiliates.</w:t>
      </w:r>
    </w:p>
    <w:p>
      <w:pPr>
        <w:spacing w:after="0" w:line="80" w:lineRule="exact"/>
        <w:rPr>
          <w:sz w:val="20"/>
          <w:szCs w:val="20"/>
          <w:color w:val="auto"/>
        </w:rPr>
      </w:pPr>
    </w:p>
    <w:p>
      <w:pPr>
        <w:ind w:right="140" w:firstLine="749"/>
        <w:spacing w:after="0" w:line="303" w:lineRule="auto"/>
        <w:rPr>
          <w:sz w:val="20"/>
          <w:szCs w:val="20"/>
          <w:color w:val="auto"/>
        </w:rPr>
      </w:pPr>
      <w:r>
        <w:rPr>
          <w:rFonts w:ascii="Arial" w:cs="Arial" w:eastAsia="Arial" w:hAnsi="Arial"/>
          <w:sz w:val="17"/>
          <w:szCs w:val="17"/>
          <w:color w:val="auto"/>
        </w:rPr>
        <w:t>There has been no material change in the planned use of proceeds from our public offerings as described in our final prospectuses filed with the SEC pursuant to Rule 424(b)(4) on April 24, 2020 and November 13, 2020. We invested the funds received in short- and intermediate-term, interest-bearing obligations, investment-grade instruments, certificates of deposit or direct or guaranteed obligations of the U.S. government.</w:t>
      </w:r>
    </w:p>
    <w:p>
      <w:pPr>
        <w:spacing w:after="0" w:line="56" w:lineRule="exact"/>
        <w:rPr>
          <w:sz w:val="20"/>
          <w:szCs w:val="20"/>
          <w:color w:val="auto"/>
        </w:rPr>
      </w:pPr>
    </w:p>
    <w:p>
      <w:pPr>
        <w:ind w:right="100" w:firstLine="749"/>
        <w:spacing w:after="0" w:line="271" w:lineRule="auto"/>
        <w:rPr>
          <w:sz w:val="20"/>
          <w:szCs w:val="20"/>
          <w:color w:val="auto"/>
        </w:rPr>
      </w:pPr>
      <w:r>
        <w:rPr>
          <w:rFonts w:ascii="Arial" w:cs="Arial" w:eastAsia="Arial" w:hAnsi="Arial"/>
          <w:sz w:val="18"/>
          <w:szCs w:val="18"/>
          <w:color w:val="auto"/>
        </w:rPr>
        <w:t>On August 3, 2020, we issued 588,235 shares of common stock to Mirati in connection with the Mirati License Agreement. No underwriters were involved in the issuance. The shares were issued in a private placement in reliance on Section 4(a)(2) of the Securities Act, for transactions by an issuer not involving any public offering. We relied upon this exemption from registration based in part on representations made by Mirati in a stock issuance agreement entered into between us and Mirati, dated August 3, 2020. During the eighteen-month period following the date of the stock issuance agreement, Mirati is subject to certain transfer restrictions, and the parties agreed to negotiate and enter into a registration rights agreement, with respect to the shares.</w:t>
      </w:r>
    </w:p>
    <w:p>
      <w:pPr>
        <w:spacing w:after="0" w:line="83" w:lineRule="exact"/>
        <w:rPr>
          <w:sz w:val="20"/>
          <w:szCs w:val="20"/>
          <w:color w:val="auto"/>
        </w:rPr>
      </w:pPr>
    </w:p>
    <w:p>
      <w:pPr>
        <w:ind w:right="240" w:firstLine="749"/>
        <w:spacing w:after="0" w:line="292" w:lineRule="auto"/>
        <w:rPr>
          <w:sz w:val="20"/>
          <w:szCs w:val="20"/>
          <w:color w:val="auto"/>
        </w:rPr>
      </w:pPr>
      <w:r>
        <w:rPr>
          <w:rFonts w:ascii="Arial" w:cs="Arial" w:eastAsia="Arial" w:hAnsi="Arial"/>
          <w:sz w:val="17"/>
          <w:szCs w:val="17"/>
          <w:color w:val="auto"/>
        </w:rPr>
        <w:t>On October 19, 2020, we issued 283,259 shares of common stock to Voronoi in connection with the Voronoi License Agreement. No underwriters were involved in the issuance. The shares were issued in a private placement in reliance on Section 4(a)(2) of the Securities Act, for transactions by an issuer not involving any public offering. We relied upon this exemption from registration based in part on representations made by Voronoi in a stock issuance agreement entered into between us and Voronoi, dated October 19, 2020. During the twenty-four month period following the date of the stock issuance agreement, Voronoi is subject to certain transfer and standstill restrictions.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color w:val="auto"/>
        </w:rPr>
        <w:t>Item 6. Exhibits.</w:t>
      </w:r>
    </w:p>
    <w:p>
      <w:pPr>
        <w:sectPr>
          <w:pgSz w:w="11900" w:h="16838" w:orient="portrait"/>
          <w:cols w:equalWidth="0" w:num="1">
            <w:col w:w="10600"/>
          </w:cols>
          <w:pgMar w:left="320" w:top="364" w:right="979" w:bottom="1440" w:gutter="0" w:footer="0" w:header="0"/>
        </w:sect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4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2"/>
        </w:trPr>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gridSpan w:val="10"/>
          </w:tcPr>
          <w:p>
            <w:pPr>
              <w:ind w:left="1480"/>
              <w:spacing w:after="0"/>
              <w:rPr>
                <w:sz w:val="20"/>
                <w:szCs w:val="20"/>
                <w:color w:val="auto"/>
              </w:rPr>
            </w:pPr>
            <w:r>
              <w:rPr>
                <w:rFonts w:ascii="Arial" w:cs="Arial" w:eastAsia="Arial" w:hAnsi="Arial"/>
                <w:sz w:val="14"/>
                <w:szCs w:val="14"/>
                <w:b w:val="1"/>
                <w:bCs w:val="1"/>
                <w:color w:val="auto"/>
              </w:rPr>
              <w:t>Exhibit Description</w:t>
            </w:r>
          </w:p>
        </w:tc>
      </w:tr>
      <w:tr>
        <w:trPr>
          <w:trHeight w:val="188"/>
        </w:trPr>
        <w:tc>
          <w:tcPr>
            <w:tcW w:w="1040" w:type="dxa"/>
            <w:vAlign w:val="bottom"/>
          </w:tcPr>
          <w:p>
            <w:pPr>
              <w:ind w:left="20"/>
              <w:spacing w:after="0" w:line="189" w:lineRule="exact"/>
              <w:rPr>
                <w:sz w:val="20"/>
                <w:szCs w:val="20"/>
                <w:color w:val="auto"/>
              </w:rPr>
            </w:pPr>
            <w:r>
              <w:rPr>
                <w:rFonts w:ascii="Arial" w:cs="Arial" w:eastAsia="Arial" w:hAnsi="Arial"/>
                <w:sz w:val="18"/>
                <w:szCs w:val="18"/>
                <w:color w:val="auto"/>
              </w:rPr>
              <w:t>31.1</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80" w:type="dxa"/>
            <w:vAlign w:val="bottom"/>
            <w:tcBorders>
              <w:bottom w:val="single" w:sz="8" w:color="0563C1"/>
            </w:tcBorders>
            <w:gridSpan w:val="6"/>
          </w:tcPr>
          <w:p>
            <w:pPr>
              <w:spacing w:after="0" w:line="189" w:lineRule="exact"/>
              <w:rPr>
                <w:rFonts w:ascii="Arial" w:cs="Arial" w:eastAsia="Arial" w:hAnsi="Arial"/>
                <w:sz w:val="18"/>
                <w:szCs w:val="18"/>
                <w:color w:val="0563C1"/>
                <w:w w:val="92"/>
              </w:rPr>
            </w:pPr>
            <w:hyperlink w:anchor="page79">
              <w:r>
                <w:rPr>
                  <w:rFonts w:ascii="Arial" w:cs="Arial" w:eastAsia="Arial" w:hAnsi="Arial"/>
                  <w:sz w:val="18"/>
                  <w:szCs w:val="18"/>
                  <w:color w:val="0563C1"/>
                  <w:w w:val="92"/>
                </w:rPr>
                <w:t>Certification of Principal Executive Officer Pursuant to</w:t>
              </w:r>
            </w:hyperlink>
          </w:p>
        </w:tc>
        <w:tc>
          <w:tcPr>
            <w:tcW w:w="200" w:type="dxa"/>
            <w:vAlign w:val="bottom"/>
            <w:gridSpan w:val="4"/>
          </w:tcPr>
          <w:p>
            <w:pPr>
              <w:spacing w:after="0"/>
              <w:rPr>
                <w:sz w:val="16"/>
                <w:szCs w:val="16"/>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bottom w:val="single" w:sz="8" w:color="0563C1"/>
            </w:tcBorders>
            <w:gridSpan w:val="3"/>
          </w:tcPr>
          <w:p>
            <w:pPr>
              <w:spacing w:after="0" w:line="196" w:lineRule="exact"/>
              <w:rPr>
                <w:rFonts w:ascii="Arial" w:cs="Arial" w:eastAsia="Arial" w:hAnsi="Arial"/>
                <w:sz w:val="18"/>
                <w:szCs w:val="18"/>
                <w:color w:val="0563C1"/>
                <w:w w:val="88"/>
              </w:rPr>
            </w:pPr>
            <w:hyperlink w:anchor="page79">
              <w:r>
                <w:rPr>
                  <w:rFonts w:ascii="Arial" w:cs="Arial" w:eastAsia="Arial" w:hAnsi="Arial"/>
                  <w:sz w:val="18"/>
                  <w:szCs w:val="18"/>
                  <w:color w:val="0563C1"/>
                  <w:w w:val="88"/>
                </w:rPr>
                <w:t>Rules 13a-14(a) and 15d-14(a) under the Securities</w:t>
              </w:r>
            </w:hyperlink>
          </w:p>
        </w:tc>
        <w:tc>
          <w:tcPr>
            <w:tcW w:w="50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bottom w:val="single" w:sz="8" w:color="0563C1"/>
            </w:tcBorders>
            <w:gridSpan w:val="5"/>
          </w:tcPr>
          <w:p>
            <w:pPr>
              <w:spacing w:after="0" w:line="196" w:lineRule="exact"/>
              <w:rPr>
                <w:rFonts w:ascii="Arial" w:cs="Arial" w:eastAsia="Arial" w:hAnsi="Arial"/>
                <w:sz w:val="18"/>
                <w:szCs w:val="18"/>
                <w:color w:val="0563C1"/>
                <w:w w:val="89"/>
              </w:rPr>
            </w:pPr>
            <w:hyperlink w:anchor="page79">
              <w:r>
                <w:rPr>
                  <w:rFonts w:ascii="Arial" w:cs="Arial" w:eastAsia="Arial" w:hAnsi="Arial"/>
                  <w:sz w:val="18"/>
                  <w:szCs w:val="18"/>
                  <w:color w:val="0563C1"/>
                  <w:w w:val="89"/>
                </w:rPr>
                <w:t>Exchange Act of 1934, as Adopted Pursuant to Section</w:t>
              </w:r>
            </w:hyperlink>
          </w:p>
        </w:tc>
        <w:tc>
          <w:tcPr>
            <w:tcW w:w="22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10"/>
          </w:tcPr>
          <w:p>
            <w:pPr>
              <w:spacing w:after="0" w:line="196" w:lineRule="exact"/>
              <w:rPr>
                <w:rFonts w:ascii="Arial" w:cs="Arial" w:eastAsia="Arial" w:hAnsi="Arial"/>
                <w:sz w:val="18"/>
                <w:szCs w:val="18"/>
                <w:color w:val="0563C1"/>
              </w:rPr>
            </w:pPr>
            <w:hyperlink w:anchor="page79">
              <w:r>
                <w:rPr>
                  <w:rFonts w:ascii="Arial" w:cs="Arial" w:eastAsia="Arial" w:hAnsi="Arial"/>
                  <w:sz w:val="18"/>
                  <w:szCs w:val="18"/>
                  <w:color w:val="0563C1"/>
                </w:rPr>
                <w:t>302 of the Sarbanes-Oxley Act of 2002.</w:t>
              </w:r>
            </w:hyperlink>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10"/>
          </w:tcPr>
          <w:p>
            <w:pPr>
              <w:spacing w:after="0"/>
              <w:rPr>
                <w:rFonts w:ascii="Arial" w:cs="Arial" w:eastAsia="Arial" w:hAnsi="Arial"/>
                <w:sz w:val="18"/>
                <w:szCs w:val="18"/>
                <w:color w:val="0563C1"/>
                <w:w w:val="98"/>
              </w:rPr>
            </w:pPr>
            <w:hyperlink w:anchor="page80">
              <w:r>
                <w:rPr>
                  <w:rFonts w:ascii="Arial" w:cs="Arial" w:eastAsia="Arial" w:hAnsi="Arial"/>
                  <w:sz w:val="18"/>
                  <w:szCs w:val="18"/>
                  <w:color w:val="0563C1"/>
                  <w:w w:val="98"/>
                </w:rPr>
                <w:t>Certification of Principal Financial Officer Pursuant to</w:t>
              </w:r>
            </w:hyperlink>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top w:val="single" w:sz="8" w:color="0563C1"/>
              <w:bottom w:val="single" w:sz="8" w:color="0563C1"/>
            </w:tcBorders>
            <w:gridSpan w:val="3"/>
          </w:tcPr>
          <w:p>
            <w:pPr>
              <w:spacing w:after="0" w:line="196" w:lineRule="exact"/>
              <w:rPr>
                <w:rFonts w:ascii="Arial" w:cs="Arial" w:eastAsia="Arial" w:hAnsi="Arial"/>
                <w:sz w:val="18"/>
                <w:szCs w:val="18"/>
                <w:color w:val="0563C1"/>
                <w:w w:val="88"/>
              </w:rPr>
            </w:pPr>
            <w:hyperlink w:anchor="page80">
              <w:r>
                <w:rPr>
                  <w:rFonts w:ascii="Arial" w:cs="Arial" w:eastAsia="Arial" w:hAnsi="Arial"/>
                  <w:sz w:val="18"/>
                  <w:szCs w:val="18"/>
                  <w:color w:val="0563C1"/>
                  <w:w w:val="88"/>
                </w:rPr>
                <w:t>Rules 13a-14(a) and 15d-14(a) under the Securities</w:t>
              </w:r>
            </w:hyperlink>
          </w:p>
        </w:tc>
        <w:tc>
          <w:tcPr>
            <w:tcW w:w="240" w:type="dxa"/>
            <w:vAlign w:val="bottom"/>
            <w:tcBorders>
              <w:top w:val="single" w:sz="8" w:color="0563C1"/>
            </w:tcBorders>
          </w:tcPr>
          <w:p>
            <w:pPr>
              <w:spacing w:after="0"/>
              <w:rPr>
                <w:sz w:val="17"/>
                <w:szCs w:val="17"/>
                <w:color w:val="auto"/>
              </w:rPr>
            </w:pPr>
          </w:p>
        </w:tc>
        <w:tc>
          <w:tcPr>
            <w:tcW w:w="26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bottom w:val="single" w:sz="8" w:color="0563C1"/>
            </w:tcBorders>
            <w:gridSpan w:val="5"/>
          </w:tcPr>
          <w:p>
            <w:pPr>
              <w:spacing w:after="0" w:line="196" w:lineRule="exact"/>
              <w:rPr>
                <w:rFonts w:ascii="Arial" w:cs="Arial" w:eastAsia="Arial" w:hAnsi="Arial"/>
                <w:sz w:val="18"/>
                <w:szCs w:val="18"/>
                <w:color w:val="0563C1"/>
                <w:w w:val="89"/>
              </w:rPr>
            </w:pPr>
            <w:hyperlink w:anchor="page80">
              <w:r>
                <w:rPr>
                  <w:rFonts w:ascii="Arial" w:cs="Arial" w:eastAsia="Arial" w:hAnsi="Arial"/>
                  <w:sz w:val="18"/>
                  <w:szCs w:val="18"/>
                  <w:color w:val="0563C1"/>
                  <w:w w:val="89"/>
                </w:rPr>
                <w:t>Exchange Act of 1934, as Adopted Pursuant to Section</w:t>
              </w:r>
            </w:hyperlink>
          </w:p>
        </w:tc>
        <w:tc>
          <w:tcPr>
            <w:tcW w:w="22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10"/>
          </w:tcPr>
          <w:p>
            <w:pPr>
              <w:spacing w:after="0" w:line="196" w:lineRule="exact"/>
              <w:rPr>
                <w:rFonts w:ascii="Arial" w:cs="Arial" w:eastAsia="Arial" w:hAnsi="Arial"/>
                <w:sz w:val="18"/>
                <w:szCs w:val="18"/>
                <w:color w:val="0563C1"/>
              </w:rPr>
            </w:pPr>
            <w:hyperlink w:anchor="page80">
              <w:r>
                <w:rPr>
                  <w:rFonts w:ascii="Arial" w:cs="Arial" w:eastAsia="Arial" w:hAnsi="Arial"/>
                  <w:sz w:val="18"/>
                  <w:szCs w:val="18"/>
                  <w:color w:val="0563C1"/>
                </w:rPr>
                <w:t>302 of the Sarbanes-Oxley Act of 2002.</w:t>
              </w:r>
            </w:hyperlink>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tcBorders>
              <w:bottom w:val="single" w:sz="8" w:color="0563C1"/>
            </w:tcBorders>
            <w:gridSpan w:val="6"/>
          </w:tcPr>
          <w:p>
            <w:pPr>
              <w:spacing w:after="0"/>
              <w:rPr>
                <w:rFonts w:ascii="Arial" w:cs="Arial" w:eastAsia="Arial" w:hAnsi="Arial"/>
                <w:sz w:val="18"/>
                <w:szCs w:val="18"/>
                <w:color w:val="0563C1"/>
                <w:w w:val="92"/>
              </w:rPr>
            </w:pPr>
            <w:hyperlink w:anchor="page81">
              <w:r>
                <w:rPr>
                  <w:rFonts w:ascii="Arial" w:cs="Arial" w:eastAsia="Arial" w:hAnsi="Arial"/>
                  <w:sz w:val="18"/>
                  <w:szCs w:val="18"/>
                  <w:color w:val="0563C1"/>
                  <w:w w:val="92"/>
                </w:rPr>
                <w:t>Certification of Principal Executive Officer Pursuant to</w:t>
              </w:r>
            </w:hyperlink>
          </w:p>
        </w:tc>
        <w:tc>
          <w:tcPr>
            <w:tcW w:w="200" w:type="dxa"/>
            <w:vAlign w:val="bottom"/>
            <w:gridSpan w:val="4"/>
          </w:tcPr>
          <w:p>
            <w:pPr>
              <w:spacing w:after="0"/>
              <w:rPr>
                <w:sz w:val="19"/>
                <w:szCs w:val="19"/>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bottom w:val="single" w:sz="8" w:color="0563C1"/>
            </w:tcBorders>
            <w:gridSpan w:val="7"/>
          </w:tcPr>
          <w:p>
            <w:pPr>
              <w:spacing w:after="0" w:line="196" w:lineRule="exact"/>
              <w:rPr>
                <w:rFonts w:ascii="Arial" w:cs="Arial" w:eastAsia="Arial" w:hAnsi="Arial"/>
                <w:sz w:val="18"/>
                <w:szCs w:val="18"/>
                <w:color w:val="0563C1"/>
                <w:w w:val="89"/>
              </w:rPr>
            </w:pPr>
            <w:hyperlink w:anchor="page81">
              <w:r>
                <w:rPr>
                  <w:rFonts w:ascii="Arial" w:cs="Arial" w:eastAsia="Arial" w:hAnsi="Arial"/>
                  <w:sz w:val="18"/>
                  <w:szCs w:val="18"/>
                  <w:color w:val="0563C1"/>
                  <w:w w:val="89"/>
                </w:rPr>
                <w:t>18 U.S.C. Section 1350, as Adopted Pursuant to Section</w:t>
              </w:r>
            </w:hyperlink>
          </w:p>
        </w:tc>
        <w:tc>
          <w:tcPr>
            <w:tcW w:w="14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10"/>
          </w:tcPr>
          <w:p>
            <w:pPr>
              <w:spacing w:after="0" w:line="196" w:lineRule="exact"/>
              <w:rPr>
                <w:rFonts w:ascii="Arial" w:cs="Arial" w:eastAsia="Arial" w:hAnsi="Arial"/>
                <w:sz w:val="18"/>
                <w:szCs w:val="18"/>
                <w:color w:val="0563C1"/>
              </w:rPr>
            </w:pPr>
            <w:hyperlink w:anchor="page81">
              <w:r>
                <w:rPr>
                  <w:rFonts w:ascii="Arial" w:cs="Arial" w:eastAsia="Arial" w:hAnsi="Arial"/>
                  <w:sz w:val="18"/>
                  <w:szCs w:val="18"/>
                  <w:color w:val="0563C1"/>
                </w:rPr>
                <w:t>906 of the Sarbanes-Oxley Act of 2002.</w:t>
              </w:r>
            </w:hyperlink>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10"/>
          </w:tcPr>
          <w:p>
            <w:pPr>
              <w:spacing w:after="0"/>
              <w:rPr>
                <w:rFonts w:ascii="Arial" w:cs="Arial" w:eastAsia="Arial" w:hAnsi="Arial"/>
                <w:sz w:val="18"/>
                <w:szCs w:val="18"/>
                <w:color w:val="0563C1"/>
                <w:w w:val="93"/>
              </w:rPr>
            </w:pPr>
            <w:hyperlink w:anchor="page82">
              <w:r>
                <w:rPr>
                  <w:rFonts w:ascii="Arial" w:cs="Arial" w:eastAsia="Arial" w:hAnsi="Arial"/>
                  <w:sz w:val="18"/>
                  <w:szCs w:val="18"/>
                  <w:color w:val="0563C1"/>
                  <w:w w:val="93"/>
                </w:rPr>
                <w:t>Certification of Principal Financial Officer Pursuant to 18</w:t>
              </w:r>
            </w:hyperlink>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top w:val="single" w:sz="8" w:color="0563C1"/>
            </w:tcBorders>
            <w:gridSpan w:val="9"/>
          </w:tcPr>
          <w:p>
            <w:pPr>
              <w:spacing w:after="0" w:line="196" w:lineRule="exact"/>
              <w:rPr>
                <w:rFonts w:ascii="Arial" w:cs="Arial" w:eastAsia="Arial" w:hAnsi="Arial"/>
                <w:sz w:val="18"/>
                <w:szCs w:val="18"/>
                <w:color w:val="0563C1"/>
                <w:w w:val="89"/>
              </w:rPr>
            </w:pPr>
            <w:hyperlink w:anchor="page82">
              <w:r>
                <w:rPr>
                  <w:rFonts w:ascii="Arial" w:cs="Arial" w:eastAsia="Arial" w:hAnsi="Arial"/>
                  <w:sz w:val="18"/>
                  <w:szCs w:val="18"/>
                  <w:color w:val="0563C1"/>
                  <w:w w:val="89"/>
                </w:rPr>
                <w:t>U.S.C. Section 1350, as Adopted Pursuant to Section 906</w:t>
              </w:r>
            </w:hyperlink>
          </w:p>
        </w:tc>
        <w:tc>
          <w:tcPr>
            <w:tcW w:w="4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top w:val="single" w:sz="8" w:color="0563C1"/>
            </w:tcBorders>
            <w:gridSpan w:val="8"/>
          </w:tcPr>
          <w:p>
            <w:pPr>
              <w:spacing w:after="0" w:line="196" w:lineRule="exact"/>
              <w:rPr>
                <w:rFonts w:ascii="Arial" w:cs="Arial" w:eastAsia="Arial" w:hAnsi="Arial"/>
                <w:sz w:val="18"/>
                <w:szCs w:val="18"/>
                <w:color w:val="0563C1"/>
              </w:rPr>
            </w:pPr>
            <w:hyperlink w:anchor="page82">
              <w:r>
                <w:rPr>
                  <w:rFonts w:ascii="Arial" w:cs="Arial" w:eastAsia="Arial" w:hAnsi="Arial"/>
                  <w:sz w:val="18"/>
                  <w:szCs w:val="18"/>
                  <w:color w:val="0563C1"/>
                </w:rPr>
                <w:t>of the Sarbanes-Oxley Act of 2002.</w:t>
              </w:r>
            </w:hyperlink>
          </w:p>
        </w:tc>
        <w:tc>
          <w:tcPr>
            <w:tcW w:w="60" w:type="dxa"/>
            <w:vAlign w:val="bottom"/>
            <w:gridSpan w:val="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shd w:val="clear" w:color="auto" w:fill="0563C1"/>
          </w:tcPr>
          <w:p>
            <w:pPr>
              <w:spacing w:after="0" w:line="20" w:lineRule="exact"/>
              <w:rPr>
                <w:sz w:val="1"/>
                <w:szCs w:val="1"/>
                <w:color w:val="auto"/>
              </w:rPr>
            </w:pPr>
          </w:p>
        </w:tc>
        <w:tc>
          <w:tcPr>
            <w:tcW w:w="1640" w:type="dxa"/>
            <w:vAlign w:val="bottom"/>
            <w:gridSpan w:val="9"/>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180" w:type="dxa"/>
            <w:vAlign w:val="bottom"/>
            <w:gridSpan w:val="10"/>
          </w:tcPr>
          <w:p>
            <w:pPr>
              <w:spacing w:after="0"/>
              <w:rPr>
                <w:sz w:val="20"/>
                <w:szCs w:val="20"/>
                <w:color w:val="auto"/>
              </w:rPr>
            </w:pPr>
            <w:r>
              <w:rPr>
                <w:rFonts w:ascii="Arial" w:cs="Arial" w:eastAsia="Arial" w:hAnsi="Arial"/>
                <w:sz w:val="18"/>
                <w:szCs w:val="18"/>
                <w:color w:val="auto"/>
              </w:rPr>
              <w:t>INLINE XBRL Instance Document</w:t>
            </w:r>
          </w:p>
        </w:tc>
      </w:tr>
      <w:tr>
        <w:trPr>
          <w:trHeight w:val="243"/>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gridSpan w:val="10"/>
          </w:tcPr>
          <w:p>
            <w:pPr>
              <w:spacing w:after="0"/>
              <w:rPr>
                <w:sz w:val="20"/>
                <w:szCs w:val="20"/>
                <w:color w:val="auto"/>
              </w:rPr>
            </w:pPr>
            <w:r>
              <w:rPr>
                <w:rFonts w:ascii="Arial" w:cs="Arial" w:eastAsia="Arial" w:hAnsi="Arial"/>
                <w:sz w:val="18"/>
                <w:szCs w:val="18"/>
                <w:color w:val="auto"/>
                <w:w w:val="94"/>
              </w:rPr>
              <w:t>INLINE XBRL Taxonomy Extension Schema Document</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80" w:type="dxa"/>
            <w:vAlign w:val="bottom"/>
            <w:gridSpan w:val="10"/>
          </w:tcPr>
          <w:p>
            <w:pPr>
              <w:spacing w:after="0"/>
              <w:rPr>
                <w:sz w:val="20"/>
                <w:szCs w:val="20"/>
                <w:color w:val="auto"/>
              </w:rPr>
            </w:pPr>
            <w:r>
              <w:rPr>
                <w:rFonts w:ascii="Arial" w:cs="Arial" w:eastAsia="Arial" w:hAnsi="Arial"/>
                <w:sz w:val="18"/>
                <w:szCs w:val="18"/>
                <w:color w:val="auto"/>
              </w:rPr>
              <w:t>Linkbase Document</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80" w:type="dxa"/>
            <w:vAlign w:val="bottom"/>
            <w:gridSpan w:val="10"/>
          </w:tcPr>
          <w:p>
            <w:pPr>
              <w:spacing w:after="0"/>
              <w:rPr>
                <w:sz w:val="20"/>
                <w:szCs w:val="20"/>
                <w:color w:val="auto"/>
              </w:rPr>
            </w:pPr>
            <w:r>
              <w:rPr>
                <w:rFonts w:ascii="Arial" w:cs="Arial" w:eastAsia="Arial" w:hAnsi="Arial"/>
                <w:sz w:val="18"/>
                <w:szCs w:val="18"/>
                <w:color w:val="auto"/>
              </w:rPr>
              <w:t>Linkbase Document</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80" w:type="dxa"/>
            <w:vAlign w:val="bottom"/>
            <w:gridSpan w:val="10"/>
          </w:tcPr>
          <w:p>
            <w:pPr>
              <w:spacing w:after="0"/>
              <w:rPr>
                <w:sz w:val="20"/>
                <w:szCs w:val="20"/>
                <w:color w:val="auto"/>
              </w:rPr>
            </w:pPr>
            <w:r>
              <w:rPr>
                <w:rFonts w:ascii="Arial" w:cs="Arial" w:eastAsia="Arial" w:hAnsi="Arial"/>
                <w:sz w:val="18"/>
                <w:szCs w:val="18"/>
                <w:color w:val="auto"/>
              </w:rPr>
              <w:t>Document</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101.PRE</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80" w:type="dxa"/>
            <w:vAlign w:val="bottom"/>
            <w:gridSpan w:val="10"/>
          </w:tcPr>
          <w:p>
            <w:pPr>
              <w:spacing w:after="0"/>
              <w:rPr>
                <w:sz w:val="20"/>
                <w:szCs w:val="20"/>
                <w:color w:val="auto"/>
              </w:rPr>
            </w:pPr>
            <w:r>
              <w:rPr>
                <w:rFonts w:ascii="Arial" w:cs="Arial" w:eastAsia="Arial" w:hAnsi="Arial"/>
                <w:sz w:val="18"/>
                <w:szCs w:val="18"/>
                <w:color w:val="auto"/>
              </w:rPr>
              <w:t>Linkbase Document</w:t>
            </w:r>
          </w:p>
        </w:tc>
      </w:tr>
    </w:tbl>
    <w:p>
      <w:pPr>
        <w:spacing w:after="0" w:line="13" w:lineRule="exact"/>
        <w:rPr>
          <w:sz w:val="20"/>
          <w:szCs w:val="20"/>
          <w:color w:val="auto"/>
        </w:rPr>
      </w:pPr>
    </w:p>
    <w:p>
      <w:pPr>
        <w:ind w:left="1300" w:right="220" w:hanging="1279"/>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212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23495</wp:posOffset>
            </wp:positionV>
            <wp:extent cx="3505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11" w:lineRule="exact"/>
        <w:rPr>
          <w:sz w:val="20"/>
          <w:szCs w:val="20"/>
          <w:color w:val="auto"/>
        </w:rPr>
      </w:pPr>
    </w:p>
    <w:p>
      <w:pPr>
        <w:ind w:left="380"/>
        <w:spacing w:after="0"/>
        <w:tabs>
          <w:tab w:leader="none" w:pos="1520" w:val="left"/>
          <w:tab w:leader="none" w:pos="2820" w:val="left"/>
          <w:tab w:leader="none" w:pos="4360" w:val="left"/>
        </w:tabs>
        <w:rPr>
          <w:sz w:val="20"/>
          <w:szCs w:val="20"/>
          <w:color w:val="auto"/>
        </w:rPr>
      </w:pP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File No.</w:t>
      </w:r>
      <w:r>
        <w:rPr>
          <w:sz w:val="20"/>
          <w:szCs w:val="20"/>
          <w:color w:val="auto"/>
        </w:rPr>
        <w:tab/>
      </w: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3"/>
          <w:szCs w:val="13"/>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23495</wp:posOffset>
            </wp:positionV>
            <wp:extent cx="3505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70485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80" w:space="60"/>
            <w:col w:w="5060"/>
          </w:cols>
          <w:pgMar w:left="320" w:top="364" w:right="979" w:bottom="1440" w:gutter="0" w:footer="0" w:header="0"/>
          <w:type w:val="continuous"/>
        </w:sectPr>
      </w:pPr>
    </w:p>
    <w:bookmarkStart w:id="77" w:name="page78"/>
    <w:bookmarkEnd w:id="77"/>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749"/>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ORIC Pharmaceuticals, Inc.</w:t>
      </w:r>
    </w:p>
    <w:p>
      <w:pPr>
        <w:spacing w:after="0" w:line="211" w:lineRule="exact"/>
        <w:rPr>
          <w:sz w:val="20"/>
          <w:szCs w:val="20"/>
          <w:color w:val="auto"/>
        </w:rPr>
      </w:pPr>
    </w:p>
    <w:p>
      <w:pPr>
        <w:ind w:left="20"/>
        <w:spacing w:after="0"/>
        <w:tabs>
          <w:tab w:leader="none" w:pos="5440" w:val="left"/>
          <w:tab w:leader="none" w:pos="7780" w:val="left"/>
        </w:tabs>
        <w:rPr>
          <w:sz w:val="20"/>
          <w:szCs w:val="20"/>
          <w:color w:val="auto"/>
        </w:rPr>
      </w:pPr>
      <w:r>
        <w:rPr>
          <w:rFonts w:ascii="Arial" w:cs="Arial" w:eastAsia="Arial" w:hAnsi="Arial"/>
          <w:sz w:val="18"/>
          <w:szCs w:val="18"/>
          <w:color w:val="auto"/>
        </w:rPr>
        <w:t>Date: August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Jacob M. Chacko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14605</wp:posOffset>
            </wp:positionV>
            <wp:extent cx="344614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2" w:lineRule="exact"/>
        <w:rPr>
          <w:sz w:val="20"/>
          <w:szCs w:val="20"/>
          <w:color w:val="auto"/>
        </w:rPr>
      </w:pPr>
    </w:p>
    <w:p>
      <w:pPr>
        <w:jc w:val="center"/>
        <w:ind w:left="5800"/>
        <w:spacing w:after="0"/>
        <w:rPr>
          <w:sz w:val="20"/>
          <w:szCs w:val="20"/>
          <w:color w:val="auto"/>
        </w:rPr>
      </w:pPr>
      <w:r>
        <w:rPr>
          <w:rFonts w:ascii="Arial" w:cs="Arial" w:eastAsia="Arial" w:hAnsi="Arial"/>
          <w:sz w:val="18"/>
          <w:szCs w:val="18"/>
          <w:b w:val="1"/>
          <w:bCs w:val="1"/>
          <w:color w:val="auto"/>
        </w:rPr>
        <w:t>Jacob M. Chacko, M.D.</w:t>
      </w:r>
    </w:p>
    <w:p>
      <w:pPr>
        <w:spacing w:after="0" w:line="36" w:lineRule="exact"/>
        <w:rPr>
          <w:sz w:val="20"/>
          <w:szCs w:val="20"/>
          <w:color w:val="auto"/>
        </w:rPr>
      </w:pPr>
    </w:p>
    <w:p>
      <w:pPr>
        <w:ind w:left="7500"/>
        <w:spacing w:after="0"/>
        <w:rPr>
          <w:sz w:val="20"/>
          <w:szCs w:val="20"/>
          <w:color w:val="auto"/>
        </w:rPr>
      </w:pPr>
      <w:r>
        <w:rPr>
          <w:rFonts w:ascii="Arial" w:cs="Arial" w:eastAsia="Arial" w:hAnsi="Arial"/>
          <w:sz w:val="13"/>
          <w:szCs w:val="13"/>
          <w:b w:val="1"/>
          <w:bCs w:val="1"/>
          <w:color w:val="auto"/>
        </w:rPr>
        <w:t>President and Chief Executive Officer</w:t>
      </w:r>
    </w:p>
    <w:p>
      <w:pPr>
        <w:spacing w:after="0" w:line="273" w:lineRule="exact"/>
        <w:rPr>
          <w:sz w:val="20"/>
          <w:szCs w:val="20"/>
          <w:color w:val="auto"/>
        </w:rPr>
      </w:pPr>
    </w:p>
    <w:p>
      <w:pPr>
        <w:ind w:left="20"/>
        <w:spacing w:after="0"/>
        <w:tabs>
          <w:tab w:leader="none" w:pos="5440" w:val="left"/>
          <w:tab w:leader="none" w:pos="7740" w:val="left"/>
        </w:tabs>
        <w:rPr>
          <w:sz w:val="20"/>
          <w:szCs w:val="20"/>
          <w:color w:val="auto"/>
        </w:rPr>
      </w:pPr>
      <w:r>
        <w:rPr>
          <w:rFonts w:ascii="Arial" w:cs="Arial" w:eastAsia="Arial" w:hAnsi="Arial"/>
          <w:sz w:val="18"/>
          <w:szCs w:val="18"/>
          <w:color w:val="auto"/>
        </w:rPr>
        <w:t>Date: August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14605</wp:posOffset>
            </wp:positionV>
            <wp:extent cx="344614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2"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Dominic Piscitelli</w:t>
      </w:r>
    </w:p>
    <w:p>
      <w:pPr>
        <w:spacing w:after="0" w:line="36" w:lineRule="exact"/>
        <w:rPr>
          <w:sz w:val="20"/>
          <w:szCs w:val="20"/>
          <w:color w:val="auto"/>
        </w:rPr>
      </w:pPr>
    </w:p>
    <w:p>
      <w:pPr>
        <w:ind w:left="7900"/>
        <w:spacing w:after="0"/>
        <w:rPr>
          <w:sz w:val="20"/>
          <w:szCs w:val="20"/>
          <w:color w:val="auto"/>
        </w:rPr>
      </w:pPr>
      <w:r>
        <w:rPr>
          <w:rFonts w:ascii="Arial" w:cs="Arial" w:eastAsia="Arial" w:hAnsi="Arial"/>
          <w:sz w:val="13"/>
          <w:szCs w:val="13"/>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64" w:right="5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Jacob M. Chacko, certify that:</w:t>
      </w:r>
    </w:p>
    <w:p>
      <w:pPr>
        <w:spacing w:after="0" w:line="239"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ORIC Pharmaceuticals,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320" w:hanging="432"/>
        <w:spacing w:after="0" w:line="279"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80" w:hanging="479"/>
        <w:spacing w:after="0" w:line="279" w:lineRule="auto"/>
        <w:tabs>
          <w:tab w:leader="none" w:pos="7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480" w:hanging="479"/>
        <w:spacing w:after="0" w:line="359" w:lineRule="auto"/>
        <w:tabs>
          <w:tab w:leader="none" w:pos="79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780" w:hanging="239"/>
        <w:spacing w:after="0"/>
        <w:tabs>
          <w:tab w:leader="none" w:pos="7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46" w:lineRule="exact"/>
        <w:rPr>
          <w:rFonts w:ascii="Arial" w:cs="Arial" w:eastAsia="Arial" w:hAnsi="Arial"/>
          <w:sz w:val="16"/>
          <w:szCs w:val="16"/>
          <w:color w:val="auto"/>
        </w:rPr>
      </w:pPr>
    </w:p>
    <w:p>
      <w:pPr>
        <w:ind w:left="1020" w:right="500"/>
        <w:spacing w:after="0" w:line="292" w:lineRule="auto"/>
        <w:rPr>
          <w:rFonts w:ascii="Arial" w:cs="Arial" w:eastAsia="Arial" w:hAnsi="Arial"/>
          <w:sz w:val="16"/>
          <w:szCs w:val="16"/>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6"/>
          <w:szCs w:val="16"/>
          <w:color w:val="auto"/>
        </w:rPr>
      </w:pPr>
    </w:p>
    <w:p>
      <w:pPr>
        <w:ind w:left="440" w:right="220" w:hanging="432"/>
        <w:spacing w:after="0" w:line="324" w:lineRule="auto"/>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140" w:hanging="479"/>
        <w:spacing w:after="0" w:line="324" w:lineRule="auto"/>
        <w:tabs>
          <w:tab w:leader="none" w:pos="7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right="120" w:hanging="479"/>
        <w:spacing w:after="0" w:line="293" w:lineRule="auto"/>
        <w:tabs>
          <w:tab w:leader="none" w:pos="7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Date: August 10, 2021</w:t>
            </w:r>
          </w:p>
        </w:tc>
        <w:tc>
          <w:tcPr>
            <w:tcW w:w="2340" w:type="dxa"/>
            <w:vAlign w:val="bottom"/>
          </w:tcPr>
          <w:p>
            <w:pPr>
              <w:ind w:left="20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Jacob M. Chacko</w:t>
            </w:r>
          </w:p>
        </w:tc>
      </w:tr>
      <w:tr>
        <w:trPr>
          <w:trHeight w:val="224"/>
        </w:trPr>
        <w:tc>
          <w:tcPr>
            <w:tcW w:w="36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1"/>
              </w:rPr>
              <w:t>Jacob M. Chacko, M.D.</w:t>
            </w:r>
          </w:p>
        </w:tc>
      </w:tr>
      <w:tr>
        <w:trPr>
          <w:trHeight w:val="242"/>
        </w:trPr>
        <w:tc>
          <w:tcPr>
            <w:tcW w:w="36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r>
      <w:tr>
        <w:trPr>
          <w:trHeight w:val="1033"/>
        </w:trPr>
        <w:tc>
          <w:tcPr>
            <w:tcW w:w="36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Dominic Piscitelli, certify that:</w:t>
      </w:r>
    </w:p>
    <w:p>
      <w:pPr>
        <w:spacing w:after="0" w:line="239"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ORIC Pharmaceuticals,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320" w:hanging="432"/>
        <w:spacing w:after="0" w:line="279"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80" w:hanging="479"/>
        <w:spacing w:after="0" w:line="279" w:lineRule="auto"/>
        <w:tabs>
          <w:tab w:leader="none" w:pos="7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480" w:hanging="479"/>
        <w:spacing w:after="0" w:line="359" w:lineRule="auto"/>
        <w:tabs>
          <w:tab w:leader="none" w:pos="79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780" w:hanging="239"/>
        <w:spacing w:after="0"/>
        <w:tabs>
          <w:tab w:leader="none" w:pos="7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46" w:lineRule="exact"/>
        <w:rPr>
          <w:rFonts w:ascii="Arial" w:cs="Arial" w:eastAsia="Arial" w:hAnsi="Arial"/>
          <w:sz w:val="16"/>
          <w:szCs w:val="16"/>
          <w:color w:val="auto"/>
        </w:rPr>
      </w:pPr>
    </w:p>
    <w:p>
      <w:pPr>
        <w:ind w:left="1020" w:right="500"/>
        <w:spacing w:after="0" w:line="292" w:lineRule="auto"/>
        <w:rPr>
          <w:rFonts w:ascii="Arial" w:cs="Arial" w:eastAsia="Arial" w:hAnsi="Arial"/>
          <w:sz w:val="16"/>
          <w:szCs w:val="16"/>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6"/>
          <w:szCs w:val="16"/>
          <w:color w:val="auto"/>
        </w:rPr>
      </w:pPr>
    </w:p>
    <w:p>
      <w:pPr>
        <w:ind w:left="440" w:right="220" w:hanging="432"/>
        <w:spacing w:after="0" w:line="324" w:lineRule="auto"/>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140" w:hanging="479"/>
        <w:spacing w:after="0" w:line="324" w:lineRule="auto"/>
        <w:tabs>
          <w:tab w:leader="none" w:pos="7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right="120" w:hanging="479"/>
        <w:spacing w:after="0" w:line="293" w:lineRule="auto"/>
        <w:tabs>
          <w:tab w:leader="none" w:pos="7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680" w:val="left"/>
          <w:tab w:leader="none" w:pos="7860" w:val="left"/>
        </w:tabs>
        <w:rPr>
          <w:sz w:val="20"/>
          <w:szCs w:val="20"/>
          <w:color w:val="auto"/>
        </w:rPr>
      </w:pPr>
      <w:r>
        <w:rPr>
          <w:rFonts w:ascii="Arial" w:cs="Arial" w:eastAsia="Arial" w:hAnsi="Arial"/>
          <w:sz w:val="18"/>
          <w:szCs w:val="18"/>
          <w:color w:val="auto"/>
        </w:rPr>
        <w:t>Date: August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Dominic Piscitelli</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518795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In connection with the Quarterly Report of ORIC Pharmaceuticals, Inc. (the “Company”) on Form 10-Q for the period ended June 30, 2021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800" w:hanging="259"/>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800" w:hanging="259"/>
        <w:spacing w:after="0"/>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ind w:left="20"/>
        <w:spacing w:after="0"/>
        <w:tabs>
          <w:tab w:leader="none" w:pos="5680" w:val="left"/>
          <w:tab w:leader="none" w:pos="7880" w:val="left"/>
        </w:tabs>
        <w:rPr>
          <w:sz w:val="20"/>
          <w:szCs w:val="20"/>
          <w:color w:val="auto"/>
        </w:rPr>
      </w:pPr>
      <w:r>
        <w:rPr>
          <w:rFonts w:ascii="Arial" w:cs="Arial" w:eastAsia="Arial" w:hAnsi="Arial"/>
          <w:sz w:val="18"/>
          <w:szCs w:val="18"/>
          <w:color w:val="auto"/>
        </w:rPr>
        <w:t>Date: August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Jacob M. Chacko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Jacob M. Chacko, M.D.</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518795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In connection with the Quarterly Report of ORIC Pharmaceuticals, Inc. (the “Company”) on Form 10-Q for the period ended June 30, 2021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800" w:hanging="259"/>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800" w:hanging="259"/>
        <w:spacing w:after="0"/>
        <w:tabs>
          <w:tab w:leader="none" w:pos="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ind w:left="20"/>
        <w:spacing w:after="0"/>
        <w:tabs>
          <w:tab w:leader="none" w:pos="5680" w:val="left"/>
          <w:tab w:leader="none" w:pos="7860" w:val="left"/>
        </w:tabs>
        <w:rPr>
          <w:sz w:val="20"/>
          <w:szCs w:val="20"/>
          <w:color w:val="auto"/>
        </w:rPr>
      </w:pPr>
      <w:r>
        <w:rPr>
          <w:rFonts w:ascii="Arial" w:cs="Arial" w:eastAsia="Arial" w:hAnsi="Arial"/>
          <w:sz w:val="18"/>
          <w:szCs w:val="18"/>
          <w:color w:val="auto"/>
        </w:rPr>
        <w:t>Date: August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Dominic Piscitelli</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518795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2" w:name="page83"/>
    <w:bookmarkEnd w:id="8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3"/>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6"/>
    </w:lvl>
  </w:abstractNum>
  <w:abstractNum w:abstractNumId="8">
    <w:nsid w:val="109CF92E"/>
    <w:multiLevelType w:val="hybridMultilevel"/>
    <w:lvl w:ilvl="0">
      <w:lvlJc w:val="left"/>
      <w:lvlText w:val="%1."/>
      <w:numFmt w:val="decimal"/>
      <w:start w:val="7"/>
    </w:lvl>
  </w:abstractNum>
  <w:abstractNum w:abstractNumId="9">
    <w:nsid w:val="DED7263"/>
    <w:multiLevelType w:val="hybridMultilevel"/>
    <w:lvl w:ilvl="0">
      <w:lvlJc w:val="left"/>
      <w:lvlText w:val="%1."/>
      <w:numFmt w:val="decimal"/>
      <w:start w:val="8"/>
    </w:lvl>
  </w:abstractNum>
  <w:abstractNum w:abstractNumId="10">
    <w:nsid w:val="7FDCC233"/>
    <w:multiLevelType w:val="hybridMultilevel"/>
    <w:lvl w:ilvl="0">
      <w:lvlJc w:val="left"/>
      <w:lvlText w:val="%1."/>
      <w:numFmt w:val="decimal"/>
      <w:start w:val="9"/>
    </w:lvl>
  </w:abstractNum>
  <w:abstractNum w:abstractNumId="11">
    <w:nsid w:val="1BEFD79F"/>
    <w:multiLevelType w:val="hybridMultilevel"/>
    <w:lvl w:ilvl="0">
      <w:lvlJc w:val="left"/>
      <w:lvlText w:val="%1."/>
      <w:numFmt w:val="decimal"/>
      <w:start w:val="10"/>
    </w:lvl>
  </w:abstractNum>
  <w:abstractNum w:abstractNumId="12">
    <w:nsid w:val="41A7C4C9"/>
    <w:multiLevelType w:val="hybridMultilevel"/>
    <w:lvl w:ilvl="0">
      <w:lvlJc w:val="left"/>
      <w:lvlText w:val="(%1)"/>
      <w:numFmt w:val="decimal"/>
      <w:start w:val="3"/>
    </w:lvl>
  </w:abstractNum>
  <w:abstractNum w:abstractNumId="13">
    <w:nsid w:val="6B68079A"/>
    <w:multiLevelType w:val="hybridMultilevel"/>
    <w:lvl w:ilvl="0">
      <w:lvlJc w:val="left"/>
      <w:lvlText w:val="%1"/>
      <w:numFmt w:val="decimal"/>
      <w:start w:val="104"/>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2021-08-10T15:51:59Z</dcterms:created>
  <dcterms:modified xsi:type="dcterms:W3CDTF">2021-08-10T15:51:59Z</dcterms:modified>
</cp:coreProperties>
</file>