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91"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67" w:lineRule="exact"/>
        <w:rPr>
          <w:sz w:val="24"/>
          <w:szCs w:val="24"/>
          <w:color w:val="auto"/>
        </w:rPr>
      </w:pPr>
    </w:p>
    <w:p>
      <w:pPr>
        <w:ind w:left="3500" w:right="1600" w:hanging="3479"/>
        <w:spacing w:after="0" w:line="367"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ORIC PHARMACEUTICALS,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200" w:type="dxa"/>
        <w:tblCellMar>
          <w:top w:w="0" w:type="dxa"/>
          <w:left w:w="0" w:type="dxa"/>
          <w:bottom w:w="0" w:type="dxa"/>
          <w:right w:w="0" w:type="dxa"/>
        </w:tblCellMar>
      </w:tblPr>
      <w:tr>
        <w:trPr>
          <w:trHeight w:val="166"/>
        </w:trPr>
        <w:tc>
          <w:tcPr>
            <w:tcW w:w="4760" w:type="dxa"/>
            <w:vAlign w:val="bottom"/>
          </w:tcPr>
          <w:p>
            <w:pPr>
              <w:jc w:val="center"/>
              <w:ind w:right="147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47-1787157</w:t>
            </w:r>
          </w:p>
        </w:tc>
        <w:tc>
          <w:tcPr>
            <w:tcW w:w="0" w:type="dxa"/>
            <w:vAlign w:val="bottom"/>
          </w:tcPr>
          <w:p>
            <w:pPr>
              <w:spacing w:after="0"/>
              <w:rPr>
                <w:sz w:val="1"/>
                <w:szCs w:val="1"/>
                <w:color w:val="auto"/>
              </w:rPr>
            </w:pPr>
          </w:p>
        </w:tc>
      </w:tr>
      <w:tr>
        <w:trPr>
          <w:trHeight w:val="166"/>
        </w:trPr>
        <w:tc>
          <w:tcPr>
            <w:tcW w:w="4760" w:type="dxa"/>
            <w:vAlign w:val="bottom"/>
          </w:tcPr>
          <w:p>
            <w:pPr>
              <w:jc w:val="center"/>
              <w:ind w:right="1452"/>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440" w:type="dxa"/>
            <w:vAlign w:val="bottom"/>
          </w:tcPr>
          <w:p>
            <w:pPr>
              <w:jc w:val="center"/>
              <w:ind w:left="1433"/>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c>
          <w:tcPr>
            <w:tcW w:w="0" w:type="dxa"/>
            <w:vAlign w:val="bottom"/>
          </w:tcPr>
          <w:p>
            <w:pPr>
              <w:spacing w:after="0"/>
              <w:rPr>
                <w:sz w:val="1"/>
                <w:szCs w:val="1"/>
                <w:color w:val="auto"/>
              </w:rPr>
            </w:pPr>
          </w:p>
        </w:tc>
      </w:tr>
      <w:tr>
        <w:trPr>
          <w:trHeight w:val="207"/>
        </w:trPr>
        <w:tc>
          <w:tcPr>
            <w:tcW w:w="4760" w:type="dxa"/>
            <w:vAlign w:val="bottom"/>
          </w:tcPr>
          <w:p>
            <w:pPr>
              <w:jc w:val="center"/>
              <w:ind w:right="1512"/>
              <w:spacing w:after="0"/>
              <w:rPr>
                <w:sz w:val="20"/>
                <w:szCs w:val="20"/>
                <w:color w:val="auto"/>
              </w:rPr>
            </w:pPr>
            <w:r>
              <w:rPr>
                <w:rFonts w:ascii="Times New Roman" w:cs="Times New Roman" w:eastAsia="Times New Roman" w:hAnsi="Times New Roman"/>
                <w:sz w:val="14"/>
                <w:szCs w:val="14"/>
                <w:b w:val="1"/>
                <w:bCs w:val="1"/>
                <w:color w:val="auto"/>
              </w:rPr>
              <w:t>240 E. Grand Ave, 2</w:t>
            </w:r>
            <w:r>
              <w:rPr>
                <w:rFonts w:ascii="Times New Roman" w:cs="Times New Roman" w:eastAsia="Times New Roman" w:hAnsi="Times New Roman"/>
                <w:sz w:val="16"/>
                <w:szCs w:val="16"/>
                <w:b w:val="1"/>
                <w:bCs w:val="1"/>
                <w:color w:val="auto"/>
                <w:vertAlign w:val="superscript"/>
              </w:rPr>
              <w:t>nd</w:t>
            </w:r>
            <w:r>
              <w:rPr>
                <w:rFonts w:ascii="Times New Roman" w:cs="Times New Roman" w:eastAsia="Times New Roman" w:hAnsi="Times New Roman"/>
                <w:sz w:val="14"/>
                <w:szCs w:val="14"/>
                <w:b w:val="1"/>
                <w:bCs w:val="1"/>
                <w:color w:val="auto"/>
              </w:rPr>
              <w:t xml:space="preserve"> Floor</w:t>
            </w:r>
          </w:p>
        </w:tc>
        <w:tc>
          <w:tcPr>
            <w:tcW w:w="3440" w:type="dxa"/>
            <w:vAlign w:val="bottom"/>
            <w:vMerge w:val="restart"/>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66"/>
        </w:trPr>
        <w:tc>
          <w:tcPr>
            <w:tcW w:w="47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South San Francisco, CA</w:t>
            </w: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60" w:type="dxa"/>
            <w:vAlign w:val="bottom"/>
          </w:tcPr>
          <w:p>
            <w:pPr>
              <w:jc w:val="center"/>
              <w:ind w:right="145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40" w:type="dxa"/>
            <w:vAlign w:val="bottom"/>
          </w:tcPr>
          <w:p>
            <w:pPr>
              <w:jc w:val="center"/>
              <w:ind w:left="143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388-5600</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7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4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ORIC</w:t>
            </w:r>
          </w:p>
        </w:tc>
        <w:tc>
          <w:tcPr>
            <w:tcW w:w="12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50"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4, 2022, the registrant had 39,478,212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280" w:type="dxa"/>
            <w:vAlign w:val="bottom"/>
            <w:gridSpan w:val="18"/>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563C1"/>
              <w:bottom w:val="single" w:sz="8" w:color="0563C1"/>
            </w:tcBorders>
            <w:gridSpan w:val="9"/>
          </w:tcPr>
          <w:p>
            <w:pPr>
              <w:spacing w:after="0" w:line="182" w:lineRule="exact"/>
              <w:rPr>
                <w:sz w:val="20"/>
                <w:szCs w:val="20"/>
                <w:color w:val="auto"/>
              </w:rPr>
            </w:pPr>
            <w:r>
              <w:rPr>
                <w:rFonts w:ascii="Times New Roman" w:cs="Times New Roman" w:eastAsia="Times New Roman" w:hAnsi="Times New Roman"/>
                <w:sz w:val="18"/>
                <w:szCs w:val="18"/>
                <w:color w:val="0563C1"/>
                <w:w w:val="91"/>
              </w:rPr>
              <w:t>Financial Statements (Unaudited)</w:t>
            </w:r>
          </w:p>
        </w:tc>
        <w:tc>
          <w:tcPr>
            <w:tcW w:w="80" w:type="dxa"/>
            <w:vAlign w:val="bottom"/>
            <w:tcBorders>
              <w:bottom w:val="single" w:sz="8" w:color="0563C1"/>
            </w:tcBorders>
          </w:tcPr>
          <w:p>
            <w:pPr>
              <w:spacing w:after="0"/>
              <w:rPr>
                <w:sz w:val="15"/>
                <w:szCs w:val="15"/>
                <w:color w:val="auto"/>
              </w:rPr>
            </w:pPr>
          </w:p>
        </w:tc>
        <w:tc>
          <w:tcPr>
            <w:tcW w:w="100" w:type="dxa"/>
            <w:vAlign w:val="bottom"/>
            <w:tcBorders>
              <w:bottom w:val="single" w:sz="8" w:color="0563C1"/>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563C1"/>
              </w:rPr>
              <w:t>Balance Sheets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200" w:type="dxa"/>
            <w:vAlign w:val="bottom"/>
            <w:gridSpan w:val="15"/>
            <w:vMerge w:val="restart"/>
          </w:tcPr>
          <w:p>
            <w:pPr>
              <w:spacing w:after="0" w:line="202" w:lineRule="exact"/>
              <w:rPr>
                <w:sz w:val="20"/>
                <w:szCs w:val="20"/>
                <w:color w:val="auto"/>
              </w:rPr>
            </w:pPr>
            <w:r>
              <w:rPr>
                <w:rFonts w:ascii="Times New Roman" w:cs="Times New Roman" w:eastAsia="Times New Roman" w:hAnsi="Times New Roman"/>
                <w:sz w:val="18"/>
                <w:szCs w:val="18"/>
                <w:color w:val="0563C1"/>
              </w:rPr>
              <w:t>Operations and Comprehensive Loss</w:t>
            </w: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563C1"/>
              </w:rPr>
              <w:t>Statements of</w:t>
            </w:r>
          </w:p>
        </w:tc>
        <w:tc>
          <w:tcPr>
            <w:tcW w:w="8200" w:type="dxa"/>
            <w:vAlign w:val="bottom"/>
            <w:gridSpan w:val="15"/>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82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563C1"/>
              </w:rPr>
              <w:t>Statements of Stockholders’ Equity</w:t>
            </w:r>
          </w:p>
        </w:tc>
        <w:tc>
          <w:tcPr>
            <w:tcW w:w="6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82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563C1"/>
              </w:rPr>
              <w:t>Statements of Cash Flows</w:t>
            </w:r>
          </w:p>
        </w:tc>
        <w:tc>
          <w:tcPr>
            <w:tcW w:w="40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8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Notes to Unaudited Financial Statements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gridSpan w:val="3"/>
            <w:shd w:val="clear" w:color="auto" w:fill="0563C1"/>
          </w:tcPr>
          <w:p>
            <w:pPr>
              <w:spacing w:after="0" w:line="20" w:lineRule="exact"/>
              <w:rPr>
                <w:sz w:val="1"/>
                <w:szCs w:val="1"/>
                <w:color w:val="auto"/>
              </w:rPr>
            </w:pPr>
          </w:p>
        </w:tc>
        <w:tc>
          <w:tcPr>
            <w:tcW w:w="6340" w:type="dxa"/>
            <w:vAlign w:val="bottom"/>
            <w:gridSpan w:val="5"/>
            <w:vMerge w:val="restart"/>
          </w:tcPr>
          <w:p>
            <w:pPr>
              <w:spacing w:after="0" w:line="202" w:lineRule="exact"/>
              <w:rPr>
                <w:sz w:val="20"/>
                <w:szCs w:val="20"/>
                <w:color w:val="auto"/>
              </w:rPr>
            </w:pPr>
            <w:r>
              <w:rPr>
                <w:rFonts w:ascii="Times New Roman" w:cs="Times New Roman" w:eastAsia="Times New Roman" w:hAnsi="Times New Roman"/>
                <w:sz w:val="18"/>
                <w:szCs w:val="18"/>
                <w:color w:val="0563C1"/>
              </w:rPr>
              <w:t>of Financial Condition and Results of Operations</w:t>
            </w: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Management’s Discussion and Analysis</w:t>
            </w:r>
          </w:p>
        </w:tc>
        <w:tc>
          <w:tcPr>
            <w:tcW w:w="6340" w:type="dxa"/>
            <w:vAlign w:val="bottom"/>
            <w:gridSpan w:val="5"/>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shd w:val="clear" w:color="auto" w:fill="0563C1"/>
          </w:tcPr>
          <w:p>
            <w:pPr>
              <w:spacing w:after="0" w:line="20" w:lineRule="exact"/>
              <w:rPr>
                <w:sz w:val="1"/>
                <w:szCs w:val="1"/>
                <w:color w:val="auto"/>
              </w:rPr>
            </w:pPr>
          </w:p>
        </w:tc>
        <w:tc>
          <w:tcPr>
            <w:tcW w:w="2820" w:type="dxa"/>
            <w:vAlign w:val="bottom"/>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920" w:type="dxa"/>
            <w:vAlign w:val="bottom"/>
            <w:gridSpan w:val="2"/>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563C1"/>
              </w:rPr>
              <w:t>Controls and Procedures</w:t>
            </w:r>
          </w:p>
        </w:tc>
        <w:tc>
          <w:tcPr>
            <w:tcW w:w="49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40" w:type="dxa"/>
            <w:vAlign w:val="bottom"/>
            <w:gridSpan w:val="3"/>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563C1"/>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0" w:type="dxa"/>
            <w:vAlign w:val="bottom"/>
            <w:gridSpan w:val="5"/>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40" w:type="dxa"/>
            <w:vAlign w:val="bottom"/>
            <w:gridSpan w:val="3"/>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563C1"/>
              </w:rPr>
              <w:t>Risk Factors</w:t>
            </w:r>
          </w:p>
        </w:tc>
        <w:tc>
          <w:tcPr>
            <w:tcW w:w="1000" w:type="dxa"/>
            <w:vAlign w:val="bottom"/>
            <w:gridSpan w:val="5"/>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380" w:type="dxa"/>
            <w:vAlign w:val="bottom"/>
            <w:gridSpan w:val="16"/>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0563C1"/>
              </w:rPr>
              <w:t>Sales of Equity Securities and Use of Proceeds</w:t>
            </w: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4"/>
              </w:rPr>
              <w:t>Unregistered</w:t>
            </w:r>
          </w:p>
        </w:tc>
        <w:tc>
          <w:tcPr>
            <w:tcW w:w="8380" w:type="dxa"/>
            <w:vAlign w:val="bottom"/>
            <w:gridSpan w:val="16"/>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1020" w:type="dxa"/>
            <w:vAlign w:val="bottom"/>
            <w:gridSpan w:val="6"/>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40" w:type="dxa"/>
            <w:vAlign w:val="bottom"/>
            <w:gridSpan w:val="3"/>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494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1020" w:type="dxa"/>
            <w:vAlign w:val="bottom"/>
            <w:gridSpan w:val="6"/>
            <w:shd w:val="clear" w:color="auto" w:fill="0563C1"/>
          </w:tcPr>
          <w:p>
            <w:pPr>
              <w:spacing w:after="0" w:line="20" w:lineRule="exact"/>
              <w:rPr>
                <w:sz w:val="1"/>
                <w:szCs w:val="1"/>
                <w:color w:val="auto"/>
              </w:rPr>
            </w:pPr>
          </w:p>
        </w:tc>
        <w:tc>
          <w:tcPr>
            <w:tcW w:w="6960" w:type="dxa"/>
            <w:vAlign w:val="bottom"/>
            <w:gridSpan w:val="8"/>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563C1"/>
              </w:rPr>
              <w:t>Mine Safety Disclosures</w:t>
            </w:r>
          </w:p>
        </w:tc>
        <w:tc>
          <w:tcPr>
            <w:tcW w:w="6960" w:type="dxa"/>
            <w:vAlign w:val="bottom"/>
            <w:gridSpan w:val="8"/>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7520" w:type="dxa"/>
            <w:vAlign w:val="bottom"/>
            <w:gridSpan w:val="12"/>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563C1"/>
              </w:rPr>
              <w:t>Other Information</w:t>
            </w:r>
          </w:p>
        </w:tc>
        <w:tc>
          <w:tcPr>
            <w:tcW w:w="7520" w:type="dxa"/>
            <w:vAlign w:val="bottom"/>
            <w:gridSpan w:val="1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7980" w:type="dxa"/>
            <w:vAlign w:val="bottom"/>
            <w:gridSpan w:val="14"/>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4"/>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8"/>
              </w:rPr>
              <w:t>SIGNATURES</w:t>
            </w:r>
          </w:p>
        </w:tc>
        <w:tc>
          <w:tcPr>
            <w:tcW w:w="60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73" w:lineRule="exact"/>
        <w:rPr>
          <w:sz w:val="20"/>
          <w:szCs w:val="20"/>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03" w:lineRule="exact"/>
        <w:rPr>
          <w:rFonts w:ascii="Times New Roman" w:cs="Times New Roman" w:eastAsia="Times New Roman" w:hAnsi="Times New Roman"/>
          <w:sz w:val="18"/>
          <w:szCs w:val="18"/>
          <w:color w:val="auto"/>
        </w:rPr>
      </w:pPr>
    </w:p>
    <w:p>
      <w:pPr>
        <w:ind w:left="1260" w:hanging="503"/>
        <w:spacing w:after="0" w:line="25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ORIC-533, ORIC-114,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61" w:lineRule="exact"/>
        <w:rPr>
          <w:rFonts w:ascii="Times New Roman" w:cs="Times New Roman" w:eastAsia="Times New Roman" w:hAnsi="Times New Roman"/>
          <w:sz w:val="18"/>
          <w:szCs w:val="18"/>
          <w:color w:val="auto"/>
        </w:rPr>
      </w:pPr>
    </w:p>
    <w:p>
      <w:pPr>
        <w:ind w:left="1260" w:right="120" w:hanging="503"/>
        <w:spacing w:after="0" w:line="25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ORIC-533, ORIC-114, ORIC-944 and any other future product candidates;</w:t>
      </w:r>
    </w:p>
    <w:p>
      <w:pPr>
        <w:spacing w:after="0" w:line="6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foreign regulatory filings and approvals;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studies;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sales strategy;</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on our business;</w:t>
      </w:r>
    </w:p>
    <w:p>
      <w:pPr>
        <w:spacing w:after="0" w:line="103" w:lineRule="exact"/>
        <w:rPr>
          <w:rFonts w:ascii="Times New Roman" w:cs="Times New Roman" w:eastAsia="Times New Roman" w:hAnsi="Times New Roman"/>
          <w:sz w:val="18"/>
          <w:szCs w:val="18"/>
          <w:color w:val="auto"/>
        </w:rPr>
      </w:pPr>
    </w:p>
    <w:p>
      <w:pPr>
        <w:ind w:left="1260" w:right="480" w:hanging="503"/>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approval and use of our product candidates in combination with other drugs;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we may pursue;</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Europe and other jurisdictions;</w:t>
      </w:r>
    </w:p>
    <w:p>
      <w:pPr>
        <w:spacing w:after="0" w:line="117" w:lineRule="exact"/>
        <w:rPr>
          <w:rFonts w:ascii="Times New Roman" w:cs="Times New Roman" w:eastAsia="Times New Roman" w:hAnsi="Times New Roman"/>
          <w:sz w:val="18"/>
          <w:szCs w:val="18"/>
          <w:color w:val="auto"/>
        </w:rPr>
      </w:pPr>
    </w:p>
    <w:p>
      <w:pPr>
        <w:ind w:left="1260" w:right="220" w:hanging="503"/>
        <w:spacing w:after="0" w:line="250"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ORIC-533, ORIC-114,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69" w:lineRule="exact"/>
        <w:rPr>
          <w:rFonts w:ascii="Times New Roman" w:cs="Times New Roman" w:eastAsia="Times New Roman" w:hAnsi="Times New Roman"/>
          <w:sz w:val="18"/>
          <w:szCs w:val="18"/>
          <w:color w:val="auto"/>
        </w:rPr>
      </w:pPr>
    </w:p>
    <w:p>
      <w:pPr>
        <w:ind w:left="1260" w:right="500" w:hanging="503"/>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260" w:right="580" w:hanging="503"/>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ORIC-533, ORIC-114, ORIC-944 and other product candidates we may develop, if approved;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ind w:left="1260" w:right="260" w:hanging="503"/>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ORIC-533, ORIC-114, ORIC-944 and other product candidates we may develop;</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260" w:right="440" w:hanging="503"/>
        <w:spacing w:after="0" w:line="266"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will be sufficient to fund our future operating expenses and capital expenditure requirements;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104"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(unaudited)</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FF0FC"/>
          </w:tcPr>
          <w:p>
            <w:pPr>
              <w:ind w:left="5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112,644</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239,085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investments</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275,062</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298,642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43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Preferred stock, $0.0001 par value; 200,000,000 shares authorized; no shares issued and</w:t>
            </w:r>
          </w:p>
        </w:tc>
        <w:tc>
          <w:tcPr>
            <w:tcW w:w="320" w:type="dxa"/>
            <w:vAlign w:val="bottom"/>
            <w:shd w:val="clear" w:color="auto" w:fill="CFF0FC"/>
          </w:tcPr>
          <w:p>
            <w:pPr>
              <w:spacing w:after="0"/>
              <w:rPr>
                <w:sz w:val="12"/>
                <w:szCs w:val="12"/>
                <w:color w:val="auto"/>
              </w:rPr>
            </w:pPr>
          </w:p>
        </w:tc>
        <w:tc>
          <w:tcPr>
            <w:tcW w:w="2120" w:type="dxa"/>
            <w:vAlign w:val="bottom"/>
            <w:gridSpan w:val="2"/>
            <w:vMerge w:val="restart"/>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2"/>
                <w:szCs w:val="12"/>
                <w:color w:val="auto"/>
              </w:rPr>
            </w:pPr>
          </w:p>
        </w:tc>
        <w:tc>
          <w:tcPr>
            <w:tcW w:w="1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outstanding at March 31, 2022 and December 31, 2021</w:t>
            </w:r>
          </w:p>
        </w:tc>
        <w:tc>
          <w:tcPr>
            <w:tcW w:w="320" w:type="dxa"/>
            <w:vAlign w:val="bottom"/>
            <w:shd w:val="clear" w:color="auto" w:fill="CFF0FC"/>
          </w:tcPr>
          <w:p>
            <w:pPr>
              <w:spacing w:after="0"/>
              <w:rPr>
                <w:sz w:val="18"/>
                <w:szCs w:val="18"/>
                <w:color w:val="auto"/>
              </w:rPr>
            </w:pPr>
          </w:p>
        </w:tc>
        <w:tc>
          <w:tcPr>
            <w:tcW w:w="21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Common stock, $0.0001 par value; 1,000,000,000 shares authorized; 39,438,602 and</w:t>
            </w:r>
          </w:p>
        </w:tc>
        <w:tc>
          <w:tcPr>
            <w:tcW w:w="3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39,430,120 shares issued and outstanding at March 31, 2022 and December 31, 2021, respectively</w:t>
            </w:r>
          </w:p>
        </w:tc>
        <w:tc>
          <w:tcPr>
            <w:tcW w:w="3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522,144</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8"/>
                <w:szCs w:val="18"/>
                <w:color w:val="auto"/>
              </w:rPr>
            </w:pPr>
          </w:p>
        </w:tc>
        <w:tc>
          <w:tcPr>
            <w:tcW w:w="2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(268,267 )</w:t>
            </w:r>
          </w:p>
        </w:tc>
        <w:tc>
          <w:tcPr>
            <w:tcW w:w="2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(245,108 )</w:t>
            </w: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(802 )</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10"/>
        </w:trPr>
        <w:tc>
          <w:tcPr>
            <w:tcW w:w="68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253,079</w:t>
            </w:r>
          </w:p>
        </w:tc>
        <w:tc>
          <w:tcPr>
            <w:tcW w:w="4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272,976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275,062</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298,642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-3788410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-3788410</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-2956560</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-2939415</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-2956560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-2939415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-2142490</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-2142490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-316865</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200"/>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9"/>
        </w:trPr>
        <w:tc>
          <w:tcPr>
            <w:tcW w:w="74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7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34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8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80" w:type="dxa"/>
            <w:vAlign w:val="bottom"/>
          </w:tcPr>
          <w:p>
            <w:pPr>
              <w:spacing w:after="0"/>
              <w:rPr>
                <w:sz w:val="18"/>
                <w:szCs w:val="18"/>
                <w:color w:val="auto"/>
              </w:rPr>
            </w:pPr>
          </w:p>
        </w:tc>
      </w:tr>
      <w:tr>
        <w:trPr>
          <w:trHeight w:val="20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34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4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FF0FC"/>
            </w:tcBorders>
          </w:tcPr>
          <w:p>
            <w:pPr>
              <w:spacing w:after="0"/>
              <w:rPr>
                <w:sz w:val="18"/>
                <w:szCs w:val="18"/>
                <w:color w:val="auto"/>
              </w:rPr>
            </w:pPr>
          </w:p>
        </w:tc>
      </w:tr>
      <w:tr>
        <w:trPr>
          <w:trHeight w:val="209"/>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(23,159 )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(16,509 )</w:t>
            </w:r>
          </w:p>
        </w:tc>
      </w:tr>
      <w:tr>
        <w:trPr>
          <w:trHeight w:val="20"/>
        </w:trPr>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420" w:type="dxa"/>
            <w:vAlign w:val="bottom"/>
          </w:tcPr>
          <w:p>
            <w:pPr>
              <w:spacing w:after="0"/>
              <w:rPr>
                <w:sz w:val="18"/>
                <w:szCs w:val="18"/>
                <w:color w:val="auto"/>
              </w:rPr>
            </w:pP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(699 )</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50"/>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340" w:type="dxa"/>
            <w:vAlign w:val="bottom"/>
            <w:tcBorders>
              <w:bottom w:val="single" w:sz="8" w:color="CFF0FC"/>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4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(0.59 )</w:t>
            </w:r>
          </w:p>
        </w:tc>
        <w:tc>
          <w:tcPr>
            <w:tcW w:w="56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(0.45 )</w:t>
            </w:r>
          </w:p>
        </w:tc>
      </w:tr>
      <w:tr>
        <w:trPr>
          <w:trHeight w:val="20"/>
        </w:trPr>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4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4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39,431,722</w:t>
            </w:r>
          </w:p>
        </w:tc>
        <w:tc>
          <w:tcPr>
            <w:tcW w:w="3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36,679,684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-1791335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-1791335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-1100455</wp:posOffset>
            </wp:positionV>
            <wp:extent cx="7683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-1100455</wp:posOffset>
            </wp:positionV>
            <wp:extent cx="7683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-334010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-350520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-334010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200"/>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jc w:val="center"/>
        <w:ind w:right="6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40" w:type="dxa"/>
            <w:vAlign w:val="bottom"/>
          </w:tcPr>
          <w:p>
            <w:pPr>
              <w:spacing w:after="0"/>
              <w:rPr>
                <w:sz w:val="13"/>
                <w:szCs w:val="13"/>
                <w:color w:val="auto"/>
              </w:rPr>
            </w:pPr>
          </w:p>
        </w:tc>
        <w:tc>
          <w:tcPr>
            <w:tcW w:w="242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300" w:type="dxa"/>
            <w:vAlign w:val="bottom"/>
            <w:gridSpan w:val="2"/>
          </w:tcPr>
          <w:p>
            <w:pPr>
              <w:jc w:val="center"/>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3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39,430,120</w:t>
            </w:r>
          </w:p>
        </w:tc>
        <w:tc>
          <w:tcPr>
            <w:tcW w:w="240" w:type="dxa"/>
            <w:vAlign w:val="bottom"/>
            <w:tcBorders>
              <w:lef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518,183</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(245,108</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272,976</w:t>
            </w:r>
          </w:p>
        </w:tc>
        <w:tc>
          <w:tcPr>
            <w:tcW w:w="6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lef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60" w:type="dxa"/>
            <w:vAlign w:val="bottom"/>
            <w:tcBorders>
              <w:left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(699 )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176"/>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(23,159 )</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(23,159 )</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vMerge w:val="continue"/>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39,438,602</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4"/>
                <w:szCs w:val="14"/>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522,144</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(268,267 )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(802 )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42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3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3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8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36,672,415</w:t>
            </w:r>
          </w:p>
        </w:tc>
        <w:tc>
          <w:tcPr>
            <w:tcW w:w="240" w:type="dxa"/>
            <w:vAlign w:val="bottom"/>
            <w:tcBorders>
              <w:lef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456,196</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(166,393</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289,776</w:t>
            </w:r>
          </w:p>
        </w:tc>
        <w:tc>
          <w:tcPr>
            <w:tcW w:w="6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lef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60" w:type="dxa"/>
            <w:vAlign w:val="bottom"/>
            <w:tcBorders>
              <w:left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FF0FC"/>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(16,509 )</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(16,509 )</w:t>
            </w:r>
          </w:p>
        </w:tc>
        <w:tc>
          <w:tcPr>
            <w:tcW w:w="60" w:type="dxa"/>
            <w:vAlign w:val="bottom"/>
            <w:tcBorders>
              <w:left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980" w:type="dxa"/>
            <w:vAlign w:val="bottom"/>
            <w:tcBorders>
              <w:left w:val="single" w:sz="8" w:color="CFF0FC"/>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36,690,826</w:t>
            </w: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458,956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(182,902 )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-144780</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-144780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-144780</wp:posOffset>
            </wp:positionV>
            <wp:extent cx="26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-144780</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unaudited financial statements.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(23,159 )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(16,509 )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premium on investments, net</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(536 )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other liabilities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(3,261 )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(3,238 )</w:t>
            </w: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(22,718 )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(14,901 )</w:t>
            </w:r>
          </w:p>
        </w:tc>
      </w:tr>
      <w:tr>
        <w:trPr>
          <w:trHeight w:val="209"/>
        </w:trPr>
        <w:tc>
          <w:tcPr>
            <w:tcW w:w="77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(723 )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(99,937 )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(25,171 )</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80" w:type="dxa"/>
            <w:vAlign w:val="bottom"/>
            <w:shd w:val="clear" w:color="auto" w:fill="CFF0FC"/>
          </w:tcPr>
          <w:p>
            <w:pPr>
              <w:spacing w:after="0"/>
              <w:rPr>
                <w:sz w:val="18"/>
                <w:szCs w:val="18"/>
                <w:color w:val="auto"/>
              </w:rPr>
            </w:pPr>
          </w:p>
        </w:tc>
      </w:tr>
      <w:tr>
        <w:trPr>
          <w:trHeight w:val="209"/>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8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09"/>
        </w:trPr>
        <w:tc>
          <w:tcPr>
            <w:tcW w:w="7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5"/>
              </w:rPr>
              <w:t>(113,362 )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8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78,446</w:t>
            </w:r>
          </w:p>
        </w:tc>
        <w:tc>
          <w:tcPr>
            <w:tcW w:w="8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113,112</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-2279650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-2279650</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-1452245</wp:posOffset>
            </wp:positionV>
            <wp:extent cx="7683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-1452245</wp:posOffset>
            </wp:positionV>
            <wp:extent cx="7683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-873760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-873760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within the balance sheets to the amounts shown in the statements of cash flows above, in thousands:</w:t>
      </w:r>
    </w:p>
    <w:tbl>
      <w:tblPr>
        <w:tblLayout w:type="fixed"/>
        <w:tblInd w:w="0" w:type="dxa"/>
        <w:tblCellMar>
          <w:top w:w="0" w:type="dxa"/>
          <w:left w:w="0" w:type="dxa"/>
          <w:bottom w:w="0" w:type="dxa"/>
          <w:right w:w="0" w:type="dxa"/>
        </w:tblCellMar>
      </w:tblPr>
      <w:tr>
        <w:trPr>
          <w:trHeight w:val="196"/>
        </w:trPr>
        <w:tc>
          <w:tcPr>
            <w:tcW w:w="77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7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112,644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104,208</w:t>
            </w:r>
          </w:p>
        </w:tc>
        <w:tc>
          <w:tcPr>
            <w:tcW w:w="6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113,112</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104,208</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FINANCIAL STATEMENTS</w:t>
      </w:r>
    </w:p>
    <w:p>
      <w:pPr>
        <w:spacing w:after="0" w:line="8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Description of the Business</w:t>
      </w:r>
    </w:p>
    <w:p>
      <w:pPr>
        <w:spacing w:after="0" w:line="108" w:lineRule="exact"/>
        <w:rPr>
          <w:sz w:val="20"/>
          <w:szCs w:val="20"/>
          <w:color w:val="auto"/>
        </w:rPr>
      </w:pPr>
    </w:p>
    <w:p>
      <w:pPr>
        <w:jc w:val="both"/>
        <w:ind w:right="2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ORIC Pharmaceuticals, Inc. (ORIC or the Company) is a clinical-stage biopharmaceutical company dedicated to improving patients’ lives by </w:t>
      </w:r>
      <w:r>
        <w:rPr>
          <w:rFonts w:ascii="Times New Roman" w:cs="Times New Roman" w:eastAsia="Times New Roman" w:hAnsi="Times New Roman"/>
          <w:sz w:val="18"/>
          <w:szCs w:val="18"/>
          <w:i w:val="1"/>
          <w:iCs w:val="1"/>
          <w:u w:val="single" w:color="auto"/>
          <w:color w:val="auto"/>
        </w:rPr>
        <w:t>O</w:t>
      </w:r>
      <w:r>
        <w:rPr>
          <w:rFonts w:ascii="Times New Roman" w:cs="Times New Roman" w:eastAsia="Times New Roman" w:hAnsi="Times New Roman"/>
          <w:sz w:val="18"/>
          <w:szCs w:val="18"/>
          <w:i w:val="1"/>
          <w:iCs w:val="1"/>
          <w:color w:val="auto"/>
        </w:rPr>
        <w:t xml:space="preserve">vercoming </w:t>
      </w:r>
      <w:r>
        <w:rPr>
          <w:rFonts w:ascii="Times New Roman" w:cs="Times New Roman" w:eastAsia="Times New Roman" w:hAnsi="Times New Roman"/>
          <w:sz w:val="18"/>
          <w:szCs w:val="18"/>
          <w:i w:val="1"/>
          <w:iCs w:val="1"/>
          <w:u w:val="single" w:color="auto"/>
          <w:color w:val="auto"/>
        </w:rPr>
        <w:t>R</w:t>
      </w:r>
      <w:r>
        <w:rPr>
          <w:rFonts w:ascii="Times New Roman" w:cs="Times New Roman" w:eastAsia="Times New Roman" w:hAnsi="Times New Roman"/>
          <w:sz w:val="18"/>
          <w:szCs w:val="18"/>
          <w:i w:val="1"/>
          <w:iCs w:val="1"/>
          <w:color w:val="auto"/>
        </w:rPr>
        <w:t xml:space="preserve">esistance </w:t>
      </w:r>
      <w:r>
        <w:rPr>
          <w:rFonts w:ascii="Times New Roman" w:cs="Times New Roman" w:eastAsia="Times New Roman" w:hAnsi="Times New Roman"/>
          <w:sz w:val="18"/>
          <w:szCs w:val="18"/>
          <w:i w:val="1"/>
          <w:iCs w:val="1"/>
          <w:u w:val="single" w:color="auto"/>
          <w:color w:val="auto"/>
        </w:rPr>
        <w:t>I</w:t>
      </w:r>
      <w:r>
        <w:rPr>
          <w:rFonts w:ascii="Times New Roman" w:cs="Times New Roman" w:eastAsia="Times New Roman" w:hAnsi="Times New Roman"/>
          <w:sz w:val="18"/>
          <w:szCs w:val="18"/>
          <w:i w:val="1"/>
          <w:iCs w:val="1"/>
          <w:color w:val="auto"/>
        </w:rPr>
        <w:t xml:space="preserve">n </w:t>
      </w:r>
      <w:r>
        <w:rPr>
          <w:rFonts w:ascii="Times New Roman" w:cs="Times New Roman" w:eastAsia="Times New Roman" w:hAnsi="Times New Roman"/>
          <w:sz w:val="18"/>
          <w:szCs w:val="18"/>
          <w:i w:val="1"/>
          <w:iCs w:val="1"/>
          <w:u w:val="single" w:color="auto"/>
          <w:color w:val="auto"/>
        </w:rPr>
        <w:t>C</w:t>
      </w:r>
      <w:r>
        <w:rPr>
          <w:rFonts w:ascii="Times New Roman" w:cs="Times New Roman" w:eastAsia="Times New Roman" w:hAnsi="Times New Roman"/>
          <w:sz w:val="18"/>
          <w:szCs w:val="18"/>
          <w:i w:val="1"/>
          <w:iCs w:val="1"/>
          <w:color w:val="auto"/>
        </w:rPr>
        <w:t>ancer</w:t>
      </w:r>
      <w:r>
        <w:rPr>
          <w:rFonts w:ascii="Times New Roman" w:cs="Times New Roman" w:eastAsia="Times New Roman" w:hAnsi="Times New Roman"/>
          <w:sz w:val="18"/>
          <w:szCs w:val="18"/>
          <w:color w:val="auto"/>
        </w:rPr>
        <w:t>. The Company was incorporated in Delaware in August 2014 and has offices in South San Francisco and San Diego,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The Company’s principal operations are in the United States and the Company operates in one segment.</w:t>
      </w:r>
    </w:p>
    <w:p>
      <w:pPr>
        <w:spacing w:after="0" w:line="61"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72"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an accumulated deficit of $268.3 million. Through March 31, 2022, all of the Company’s financial support has been provided by proceeds from the issuance of common stock and convertible preferred stock.</w:t>
      </w:r>
    </w:p>
    <w:p>
      <w:pPr>
        <w:spacing w:after="0" w:line="68"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 and Offering</w:t>
      </w:r>
    </w:p>
    <w:p>
      <w:pPr>
        <w:spacing w:after="0" w:line="108"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18"/>
          <w:szCs w:val="18"/>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Secondary Public Offering</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On November 17, 2020, the Company completed a secondary public offering selling 5,796,000 shares of common stock, which includes the full exercise by the underwriters of their option to purchase up to 756,000 additional shares, at a price of $23.00 per share, resulting in gross proceeds of $133.3 million. After deducting underwriting discounts and commissions and other offering expenses related to the secondary public offering of approximately $8.5 million, the net proceeds to the Company from the transaction were $124.8 million.</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Related Transaction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April 28, 2020, the Company completed an initial public offering (IPO) selling 8,625,000 shares of common stock, which included the full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by the underwriters of their option to purchase up to 1,125,000 additional shares, at a price of $16.00 per share resulting in gross proceeds of</w:t>
      </w:r>
    </w:p>
    <w:p>
      <w:pPr>
        <w:spacing w:after="0"/>
        <w:rPr>
          <w:sz w:val="20"/>
          <w:szCs w:val="20"/>
          <w:color w:val="auto"/>
        </w:rPr>
      </w:pPr>
      <w:r>
        <w:rPr>
          <w:rFonts w:ascii="Times New Roman" w:cs="Times New Roman" w:eastAsia="Times New Roman" w:hAnsi="Times New Roman"/>
          <w:sz w:val="18"/>
          <w:szCs w:val="18"/>
          <w:color w:val="auto"/>
        </w:rPr>
        <w:t>$138.0 million. After deducting underwriting discounts and commissions and other offering expenses related to the IPO of $12.8 million, the net proceeds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 from the transaction were $125.2 million. In connection with the IPO, all shares of convertible preferred stock outstanding at the time of</w:t>
      </w:r>
    </w:p>
    <w:p>
      <w:pPr>
        <w:spacing w:after="0"/>
        <w:rPr>
          <w:sz w:val="20"/>
          <w:szCs w:val="20"/>
          <w:color w:val="auto"/>
        </w:rPr>
      </w:pPr>
      <w:r>
        <w:rPr>
          <w:rFonts w:ascii="Times New Roman" w:cs="Times New Roman" w:eastAsia="Times New Roman" w:hAnsi="Times New Roman"/>
          <w:sz w:val="18"/>
          <w:szCs w:val="18"/>
          <w:color w:val="auto"/>
        </w:rPr>
        <w:t>the IPO converted into 19,278,606 shares of common stock.</w:t>
      </w:r>
    </w:p>
    <w:p>
      <w:pPr>
        <w:spacing w:after="0" w:line="80"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 and Summary of Significant Accounting Policies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primarily of normal recurring accruals and estimates that impact the carrying value of assets and liabilities. Operating results for the interim period are not necessarily indicative of future results.</w:t>
      </w:r>
    </w:p>
    <w:p>
      <w:pPr>
        <w:spacing w:after="0" w:line="40"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disease, or COVID-19, outbreak a global pandemic. Governments have taken various actions in response to the COVID-19 pandemic, including the issuance of stay-at-home orders and physical distancing guidelines. Accordingly, businesses have adjusted, reduced or suspended certain operating activities. Disruptions caused by the COVID-19 pandemic have impacted the Company, including the temporary suspension or delayed enrollment of patients in the Company’s clinical trials. The future impacts of the COVID-19 pandemic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7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accompanying unaudited financial statements should be read in conjunction with the audited financial statements and the related notes thereto for the year ended December 31, 2021, which are included in the Company’s Annual Report on Form 10-K filed with the SEC. Furthermore, the Company’s significant accounting policies are disclosed in the audited financial statements for the periods ended December 31, 2021 and 2020, included in the Company’s Annual Report on Form 10-K. Since the date of those financial statements, there have been no changes to its significant accounting policies, except as noted below.</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employee, officer, director and non-employee stock option and restricted stock unit grants, estimated in accordance with the applicable accounting guidance and recognized over the vesting period, which approximates the requisite service period of the awards. The Company recognizes forfeitures as they occur.</w:t>
      </w:r>
    </w:p>
    <w:p>
      <w:pPr>
        <w:spacing w:after="0" w:line="61"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Black-Scholes-Merton valuation model on the date of grant. This method requires certain assumptions be used as inputs, such as a risk-free interest rate, expected volatility of the Company’s common stock and expected term of the option before exercise. The risk-free interest rate is based on U.S. Treasury instruments with maturities similar to the expected term. The expected volatility is computed using historical volatility for a period equal to the expected term. Given the limited period of time the Company's stock has been traded, expected volatility is based on the Company's historical volatility and the historical volatility of a group of similar companies that are publicly traded. The expected term represents the length of time the stock options are expected to be outstanding. Because the Company does not have sufficient exercise behavior, it determines the expected term assumption using the simplified method, which is an average of the contractual term of the option and its vesting period. Options granted have a maximum contractual term of ten years and generally vest over a four year period.</w:t>
      </w:r>
    </w:p>
    <w:p>
      <w:pPr>
        <w:spacing w:after="0" w:line="78"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is equal to the closing price of the Company's stock on the date of grant. Restricted stock units generally vest over a three year period.</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8" w:lineRule="exact"/>
        <w:rPr>
          <w:sz w:val="20"/>
          <w:szCs w:val="20"/>
          <w:color w:val="auto"/>
        </w:rPr>
      </w:pPr>
    </w:p>
    <w:p>
      <w:pPr>
        <w:ind w:right="820" w:firstLine="749"/>
        <w:spacing w:after="0" w:line="285" w:lineRule="auto"/>
        <w:rPr>
          <w:sz w:val="20"/>
          <w:szCs w:val="20"/>
          <w:color w:val="auto"/>
        </w:rPr>
      </w:pPr>
      <w:r>
        <w:rPr>
          <w:rFonts w:ascii="Times New Roman" w:cs="Times New Roman" w:eastAsia="Times New Roman" w:hAnsi="Times New Roman"/>
          <w:sz w:val="18"/>
          <w:szCs w:val="18"/>
          <w:color w:val="auto"/>
        </w:rPr>
        <w:t>There are no recently issued accounting pronouncements that would materially impact the Company’s financial statements and related disclosures</w:t>
      </w:r>
      <w:r>
        <w:rPr>
          <w:rFonts w:ascii="Arial" w:cs="Arial" w:eastAsia="Arial" w:hAnsi="Arial"/>
          <w:sz w:val="18"/>
          <w:szCs w:val="18"/>
          <w:color w:val="auto"/>
        </w:rPr>
        <w:t>.</w:t>
      </w:r>
    </w:p>
    <w:p>
      <w:pPr>
        <w:spacing w:after="0" w:line="30"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License Agreements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Voronoi License Agreement</w:t>
      </w:r>
    </w:p>
    <w:p>
      <w:pPr>
        <w:spacing w:after="0" w:line="121"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18"/>
          <w:szCs w:val="18"/>
          <w:color w:val="auto"/>
        </w:rPr>
        <w:t>On October 19, 2020, the Company entered into a license and collaboration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has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9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ind w:right="540"/>
        <w:spacing w:after="0" w:line="282" w:lineRule="auto"/>
        <w:rPr>
          <w:sz w:val="20"/>
          <w:szCs w:val="20"/>
          <w:color w:val="auto"/>
        </w:rPr>
      </w:pPr>
      <w:r>
        <w:rPr>
          <w:rFonts w:ascii="Times New Roman" w:cs="Times New Roman" w:eastAsia="Times New Roman" w:hAnsi="Times New Roman"/>
          <w:sz w:val="18"/>
          <w:szCs w:val="18"/>
          <w:color w:val="auto"/>
        </w:rPr>
        <w:t>weighted average trading price of the Company’s common stock. The shares were issued in a private placement in reliance on Section 4(a)(2) of the Securities Act of 1933, as amended, for transactions by an issuer not involving any public offering.</w:t>
      </w:r>
    </w:p>
    <w:p>
      <w:pPr>
        <w:spacing w:after="0" w:line="40"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Under the Voronoi License Agreement, Voronoi will be responsible for certain research and development costs up to a predetermined threshold. Upon achievement of the predetermined threshold, Voronoi has the option to opt-out of participation in and funding of future development activities. If Voronoi decides not to exercise the opt-out provision, the parties will share certain future research and development costs equally in the Republic of Korea.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w:t>
      </w:r>
    </w:p>
    <w:p>
      <w:pPr>
        <w:spacing w:after="0" w:line="78"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7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Mirati License Agreement</w:t>
      </w:r>
    </w:p>
    <w:p>
      <w:pPr>
        <w:spacing w:after="0" w:line="121"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74"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87"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1" w:name="page12"/>
    <w:bookmarkEnd w:id="11"/>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5,466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(5,229 )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(4,989 )</w:t>
            </w:r>
          </w:p>
        </w:tc>
      </w:tr>
      <w:tr>
        <w:trPr>
          <w:trHeight w:val="249"/>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r>
      <w:tr>
        <w:trPr>
          <w:trHeight w:val="480"/>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56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3"/>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and manufacturing costs</w:t>
            </w: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5,678</w:t>
            </w:r>
          </w:p>
        </w:tc>
        <w:tc>
          <w:tcPr>
            <w:tcW w:w="60" w:type="dxa"/>
            <w:vAlign w:val="bottom"/>
            <w:shd w:val="clear" w:color="auto" w:fill="CFF0F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4,798</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 short-term</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1,926</w:t>
            </w:r>
          </w:p>
        </w:tc>
        <w:tc>
          <w:tcPr>
            <w:tcW w:w="60" w:type="dxa"/>
            <w:vAlign w:val="bottom"/>
            <w:shd w:val="clear" w:color="auto" w:fill="CFF0F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w:t>
            </w:r>
          </w:p>
        </w:tc>
        <w:tc>
          <w:tcPr>
            <w:tcW w:w="60" w:type="dxa"/>
            <w:vAlign w:val="bottom"/>
            <w:tcBorders>
              <w:bottom w:val="single" w:sz="8" w:color="CFF0FC"/>
            </w:tcBorders>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13,265</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-1645285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-1628140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-1645285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-1628140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43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68"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available-for-sale investments consisted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Pr>
          <w:p>
            <w:pPr>
              <w:spacing w:after="0"/>
              <w:rPr>
                <w:sz w:val="13"/>
                <w:szCs w:val="13"/>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35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41"/>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3"/>
                <w:szCs w:val="13"/>
                <w:color w:val="auto"/>
              </w:rPr>
            </w:pPr>
          </w:p>
        </w:tc>
        <w:tc>
          <w:tcPr>
            <w:tcW w:w="106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4"/>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Short-term</w:t>
            </w: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120,548</w:t>
            </w:r>
          </w:p>
        </w:tc>
        <w:tc>
          <w:tcPr>
            <w:tcW w:w="0" w:type="dxa"/>
            <w:vAlign w:val="bottom"/>
          </w:tcPr>
          <w:p>
            <w:pPr>
              <w:spacing w:after="0"/>
              <w:rPr>
                <w:sz w:val="1"/>
                <w:szCs w:val="1"/>
                <w:color w:val="auto"/>
              </w:rPr>
            </w:pPr>
          </w:p>
        </w:tc>
      </w:tr>
      <w:tr>
        <w:trPr>
          <w:trHeight w:val="216"/>
        </w:trPr>
        <w:tc>
          <w:tcPr>
            <w:tcW w:w="3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7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(431 )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21,097</w:t>
            </w:r>
          </w:p>
        </w:tc>
        <w:tc>
          <w:tcPr>
            <w:tcW w:w="0" w:type="dxa"/>
            <w:vAlign w:val="bottom"/>
          </w:tcPr>
          <w:p>
            <w:pPr>
              <w:spacing w:after="0"/>
              <w:rPr>
                <w:sz w:val="1"/>
                <w:szCs w:val="1"/>
                <w:color w:val="auto"/>
              </w:rPr>
            </w:pPr>
          </w:p>
        </w:tc>
      </w:tr>
      <w:tr>
        <w:trPr>
          <w:trHeight w:val="216"/>
        </w:trPr>
        <w:tc>
          <w:tcPr>
            <w:tcW w:w="3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FF0FC"/>
            </w:tcBorders>
            <w:gridSpan w:val="4"/>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0" w:type="dxa"/>
            <w:vAlign w:val="bottom"/>
          </w:tcPr>
          <w:p>
            <w:pPr>
              <w:spacing w:after="0"/>
              <w:rPr>
                <w:sz w:val="1"/>
                <w:szCs w:val="1"/>
                <w:color w:val="auto"/>
              </w:rPr>
            </w:pPr>
          </w:p>
        </w:tc>
      </w:tr>
      <w:tr>
        <w:trPr>
          <w:trHeight w:val="372"/>
        </w:trPr>
        <w:tc>
          <w:tcPr>
            <w:tcW w:w="3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Short-term</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216"/>
        </w:trPr>
        <w:tc>
          <w:tcPr>
            <w:tcW w:w="3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0"/>
        </w:trPr>
        <w:tc>
          <w:tcPr>
            <w:tcW w:w="7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42,419</w:t>
            </w:r>
          </w:p>
        </w:tc>
        <w:tc>
          <w:tcPr>
            <w:tcW w:w="0" w:type="dxa"/>
            <w:vAlign w:val="bottom"/>
          </w:tcPr>
          <w:p>
            <w:pPr>
              <w:spacing w:after="0"/>
              <w:rPr>
                <w:sz w:val="1"/>
                <w:szCs w:val="1"/>
                <w:color w:val="auto"/>
              </w:rPr>
            </w:pPr>
          </w:p>
        </w:tc>
      </w:tr>
      <w:tr>
        <w:trPr>
          <w:trHeight w:val="216"/>
        </w:trPr>
        <w:tc>
          <w:tcPr>
            <w:tcW w:w="3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FF0FC"/>
            </w:tcBorders>
            <w:gridSpan w:val="4"/>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-2468245</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-2468245</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-2468245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-2468245</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-1602740</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-1585595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-1602740</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-1585595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-1602740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-1585595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-1602740</wp:posOffset>
            </wp:positionV>
            <wp:extent cx="34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-1585595</wp:posOffset>
            </wp:positionV>
            <wp:extent cx="34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-890905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-890905</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-890905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-890905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were no material declines in fair value of its investments due to credit-related factors as of March 31, 2022 and December 31, 2021. Credit loss is limited due to the nature of the investments.</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428" w:right="619" w:bottom="1440" w:gutter="0" w:footer="0" w:header="0"/>
        </w:sectPr>
      </w:pPr>
    </w:p>
    <w:bookmarkStart w:id="12" w:name="page13"/>
    <w:bookmarkEnd w:id="12"/>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 and</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04"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major categories of assets measured at fair value on a recurring basis (in thousands):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90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112,644</w:t>
            </w:r>
          </w:p>
        </w:tc>
        <w:tc>
          <w:tcPr>
            <w:tcW w:w="90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141,645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141,645</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141,645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0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256,199</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256,199</w:t>
            </w: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256,199</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10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3"/>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90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280,365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280,365</w:t>
            </w:r>
          </w:p>
        </w:tc>
        <w:tc>
          <w:tcPr>
            <w:tcW w:w="90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-745490</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-727710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-745490</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-727710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-745490</wp:posOffset>
            </wp:positionV>
            <wp:extent cx="342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-727710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-745490</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-727710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-745490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-727710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-170815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-170815</wp:posOffset>
            </wp:positionV>
            <wp:extent cx="431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-170815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-1242060</wp:posOffset>
            </wp:positionV>
            <wp:extent cx="28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-522605</wp:posOffset>
            </wp:positionV>
            <wp:extent cx="28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(1) Included in cash and cash equivalents in accompanying balance sheets.</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transfers between levels occurred during either of the reporting periods presented.</w:t>
      </w:r>
    </w:p>
    <w:p>
      <w:pPr>
        <w:spacing w:after="0" w:line="100"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Incentive Plans and Stock-Based Compensation</w:t>
      </w:r>
    </w:p>
    <w:p>
      <w:pPr>
        <w:spacing w:after="0" w:line="121"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As of March 31, 2022, there were 2,421,252 shares available for future issuance under the 2020 Equity Incentive Plan and 500,000 shares available for future issuance under the 2022 Inducement Equity Incentive Plan, which was adopted on March 1, 2022.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spacing w:after="0" w:line="7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stock-based compensation expense included in the Company’s statements of operations and comprehensive loss for the periods presented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2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7"/>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75"/>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-504825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-488315</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-504825</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-488315</wp:posOffset>
            </wp:positionV>
            <wp:extent cx="34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2022:</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51"/>
        </w:trPr>
        <w:tc>
          <w:tcPr>
            <w:tcW w:w="3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left="344"/>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7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87"/>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80" w:type="dxa"/>
            <w:vAlign w:val="bottom"/>
            <w:gridSpan w:val="2"/>
            <w:vMerge w:val="continue"/>
          </w:tcPr>
          <w:p>
            <w:pPr>
              <w:spacing w:after="0"/>
              <w:rPr>
                <w:sz w:val="16"/>
                <w:szCs w:val="16"/>
                <w:color w:val="auto"/>
              </w:rPr>
            </w:pPr>
          </w:p>
        </w:tc>
        <w:tc>
          <w:tcPr>
            <w:tcW w:w="108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91"/>
        </w:trPr>
        <w:tc>
          <w:tcPr>
            <w:tcW w:w="3240" w:type="dxa"/>
            <w:vAlign w:val="bottom"/>
            <w:vMerge w:val="continue"/>
          </w:tcPr>
          <w:p>
            <w:pPr>
              <w:spacing w:after="0"/>
              <w:rPr>
                <w:sz w:val="16"/>
                <w:szCs w:val="16"/>
                <w:color w:val="auto"/>
              </w:rPr>
            </w:pPr>
          </w:p>
        </w:tc>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5,268,320</w:t>
            </w:r>
          </w:p>
        </w:tc>
        <w:tc>
          <w:tcPr>
            <w:tcW w:w="260" w:type="dxa"/>
            <w:vAlign w:val="bottom"/>
          </w:tcPr>
          <w:p>
            <w:pPr>
              <w:spacing w:after="0"/>
              <w:rPr>
                <w:sz w:val="16"/>
                <w:szCs w:val="16"/>
                <w:color w:val="auto"/>
              </w:rPr>
            </w:pPr>
          </w:p>
        </w:tc>
        <w:tc>
          <w:tcPr>
            <w:tcW w:w="1080" w:type="dxa"/>
            <w:vAlign w:val="bottom"/>
            <w:tcBorders>
              <w:top w:val="single" w:sz="8" w:color="auto"/>
            </w:tcBorders>
          </w:tcPr>
          <w:p>
            <w:pPr>
              <w:jc w:val="right"/>
              <w:ind w:right="904"/>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14.16</w:t>
            </w:r>
          </w:p>
        </w:tc>
        <w:tc>
          <w:tcPr>
            <w:tcW w:w="2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1,333,234</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(8,482 )</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(168,748 )</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17.87</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-548005</wp:posOffset>
            </wp:positionV>
            <wp:extent cx="64122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Intrinsic</w:t>
      </w:r>
    </w:p>
    <w:p>
      <w:pPr>
        <w:jc w:val="center"/>
        <w:ind w:right="940"/>
        <w:spacing w:after="0" w:line="222" w:lineRule="auto"/>
        <w:rPr>
          <w:sz w:val="20"/>
          <w:szCs w:val="20"/>
          <w:color w:val="auto"/>
        </w:rPr>
      </w:pPr>
      <w:r>
        <w:rPr>
          <w:rFonts w:ascii="Times New Roman" w:cs="Times New Roman" w:eastAsia="Times New Roman" w:hAnsi="Times New Roman"/>
          <w:sz w:val="14"/>
          <w:szCs w:val="14"/>
          <w:b w:val="1"/>
          <w:bCs w:val="1"/>
          <w:color w:val="auto"/>
        </w:rPr>
        <w:t>Value</w:t>
      </w:r>
    </w:p>
    <w:p>
      <w:pPr>
        <w:spacing w:after="0" w:line="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5080</wp:posOffset>
            </wp:positionV>
            <wp:extent cx="9512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886" w:lineRule="exact"/>
        <w:rPr>
          <w:sz w:val="20"/>
          <w:szCs w:val="20"/>
          <w:color w:val="auto"/>
        </w:rPr>
      </w:pPr>
    </w:p>
    <w:p>
      <w:pPr>
        <w:sectPr>
          <w:pgSz w:w="11900" w:h="16838" w:orient="portrait"/>
          <w:cols w:equalWidth="0" w:num="2">
            <w:col w:w="8860" w:space="540"/>
            <w:col w:w="1800"/>
          </w:cols>
          <w:pgMar w:left="320" w:top="428" w:right="379" w:bottom="1440" w:gutter="0" w:footer="0" w:header="0"/>
        </w:sectPr>
      </w:pPr>
    </w:p>
    <w:tbl>
      <w:tblPr>
        <w:tblLayout w:type="fixed"/>
        <w:tblInd w:w="580" w:type="dxa"/>
        <w:tblCellMar>
          <w:top w:w="0" w:type="dxa"/>
          <w:left w:w="0" w:type="dxa"/>
          <w:bottom w:w="0" w:type="dxa"/>
          <w:right w:w="0" w:type="dxa"/>
        </w:tblCellMar>
      </w:tblPr>
      <w:tr>
        <w:trPr>
          <w:trHeight w:val="210"/>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6,424,324</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2,812,462</w:t>
            </w:r>
          </w:p>
        </w:tc>
        <w:tc>
          <w:tcPr>
            <w:tcW w:w="26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-153670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-153670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-153670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fair value of stock option awards to employees, executives, directors, and other service providers was estimated at the date of grant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Black-Scholes-Merton option pricing model with the following assumptions: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gridSpan w:val="3"/>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Pr>
          <w:p>
            <w:pPr>
              <w:spacing w:after="0"/>
              <w:rPr>
                <w:sz w:val="13"/>
                <w:szCs w:val="13"/>
                <w:color w:val="auto"/>
              </w:rPr>
            </w:pPr>
          </w:p>
        </w:tc>
      </w:tr>
      <w:tr>
        <w:trPr>
          <w:trHeight w:val="207"/>
        </w:trPr>
        <w:tc>
          <w:tcPr>
            <w:tcW w:w="41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0" w:type="dxa"/>
            <w:vAlign w:val="bottom"/>
            <w:tcBorders>
              <w:bottom w:val="single" w:sz="8" w:color="auto"/>
            </w:tcBorders>
          </w:tcPr>
          <w:p>
            <w:pPr>
              <w:spacing w:after="0"/>
              <w:rPr>
                <w:sz w:val="18"/>
                <w:szCs w:val="18"/>
                <w:color w:val="auto"/>
              </w:rPr>
            </w:pPr>
          </w:p>
        </w:tc>
      </w:tr>
      <w:tr>
        <w:trPr>
          <w:trHeight w:val="176"/>
        </w:trPr>
        <w:tc>
          <w:tcPr>
            <w:tcW w:w="4180" w:type="dxa"/>
            <w:vAlign w:val="bottom"/>
          </w:tcPr>
          <w:p>
            <w:pPr>
              <w:spacing w:after="0"/>
              <w:rPr>
                <w:sz w:val="15"/>
                <w:szCs w:val="15"/>
                <w:color w:val="auto"/>
              </w:rPr>
            </w:pPr>
          </w:p>
        </w:tc>
        <w:tc>
          <w:tcPr>
            <w:tcW w:w="2200" w:type="dxa"/>
            <w:vAlign w:val="bottom"/>
            <w:gridSpan w:val="2"/>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720" w:type="dxa"/>
            <w:vAlign w:val="bottom"/>
            <w:gridSpan w:val="4"/>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7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- 1.70%</w:t>
            </w: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- 83.59%</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- 88.43%</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0" w:type="dxa"/>
            <w:vAlign w:val="bottom"/>
            <w:gridSpan w:val="2"/>
            <w:shd w:val="clear" w:color="auto" w:fill="CFF0FC"/>
          </w:tcPr>
          <w:p>
            <w:pPr>
              <w:jc w:val="center"/>
              <w:ind w:left="674"/>
              <w:spacing w:after="0"/>
              <w:rPr>
                <w:sz w:val="20"/>
                <w:szCs w:val="20"/>
                <w:color w:val="auto"/>
              </w:rPr>
            </w:pPr>
            <w:r>
              <w:rPr>
                <w:rFonts w:ascii="Times New Roman" w:cs="Times New Roman" w:eastAsia="Times New Roman" w:hAnsi="Times New Roman"/>
                <w:sz w:val="18"/>
                <w:szCs w:val="18"/>
                <w:color w:val="auto"/>
              </w:rPr>
              <w:t>6.08</w:t>
            </w:r>
          </w:p>
        </w:tc>
        <w:tc>
          <w:tcPr>
            <w:tcW w:w="3720" w:type="dxa"/>
            <w:vAlign w:val="bottom"/>
            <w:gridSpan w:val="4"/>
            <w:shd w:val="clear" w:color="auto" w:fill="CFF0FC"/>
          </w:tcPr>
          <w:p>
            <w:pPr>
              <w:jc w:val="center"/>
              <w:ind w:left="919"/>
              <w:spacing w:after="0"/>
              <w:rPr>
                <w:sz w:val="20"/>
                <w:szCs w:val="20"/>
                <w:color w:val="auto"/>
              </w:rPr>
            </w:pPr>
            <w:r>
              <w:rPr>
                <w:rFonts w:ascii="Times New Roman" w:cs="Times New Roman" w:eastAsia="Times New Roman" w:hAnsi="Times New Roman"/>
                <w:sz w:val="18"/>
                <w:szCs w:val="18"/>
                <w:color w:val="auto"/>
              </w:rPr>
              <w:t>6.08</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0" w:type="dxa"/>
            <w:vAlign w:val="bottom"/>
            <w:gridSpan w:val="2"/>
          </w:tcPr>
          <w:p>
            <w:pPr>
              <w:jc w:val="center"/>
              <w:ind w:left="674"/>
              <w:spacing w:after="0"/>
              <w:rPr>
                <w:sz w:val="20"/>
                <w:szCs w:val="20"/>
                <w:color w:val="auto"/>
              </w:rPr>
            </w:pPr>
            <w:r>
              <w:rPr>
                <w:rFonts w:ascii="Times New Roman" w:cs="Times New Roman" w:eastAsia="Times New Roman" w:hAnsi="Times New Roman"/>
                <w:sz w:val="18"/>
                <w:szCs w:val="18"/>
                <w:color w:val="auto"/>
                <w:w w:val="99"/>
              </w:rPr>
              <w:t>0%</w:t>
            </w:r>
          </w:p>
        </w:tc>
        <w:tc>
          <w:tcPr>
            <w:tcW w:w="3720" w:type="dxa"/>
            <w:vAlign w:val="bottom"/>
            <w:gridSpan w:val="4"/>
          </w:tcPr>
          <w:p>
            <w:pPr>
              <w:jc w:val="center"/>
              <w:ind w:left="919"/>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8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vesting of stock options of $3.7 million and $2.7 million during the three months ended March 31, 2022 and 2021, respectively. The total unrecognized compensation expense related to outstanding unvested stock-option awards as of March 31, 2022, was $39.8 million, which is expected to be recognized over a weighted-average remaining service period of 2.9 years.</w:t>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three months ended March 31, 2022:</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tcPr>
          <w:p>
            <w:pPr>
              <w:jc w:val="center"/>
              <w:ind w:right="3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tcPr>
          <w:p>
            <w:pPr>
              <w:jc w:val="center"/>
              <w:ind w:right="41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221,078</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(3,348 )</w:t>
            </w:r>
          </w:p>
        </w:tc>
        <w:tc>
          <w:tcPr>
            <w:tcW w:w="46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7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217,730</w:t>
            </w:r>
          </w:p>
        </w:tc>
        <w:tc>
          <w:tcPr>
            <w:tcW w:w="32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-153670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-153670</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ind w:right="220" w:firstLine="749"/>
        <w:spacing w:after="0" w:line="280" w:lineRule="auto"/>
        <w:rPr>
          <w:sz w:val="20"/>
          <w:szCs w:val="20"/>
          <w:color w:val="auto"/>
        </w:rPr>
      </w:pPr>
      <w:r>
        <w:rPr>
          <w:rFonts w:ascii="Times New Roman" w:cs="Times New Roman" w:eastAsia="Times New Roman" w:hAnsi="Times New Roman"/>
          <w:sz w:val="17"/>
          <w:szCs w:val="17"/>
          <w:color w:val="auto"/>
        </w:rPr>
        <w:t>The Company recognized stock-based compensation expense related to the vesting of restricted stock units of $0.1 million during the three months ended March 31, 2022. The Company did not grant restricted stock units in 2021. Total unrecognized compensation expense related to restricted stock units as of March 31, 2022, was $1.9 million, which is expected to be recognized over a weighted-average remaining service period of 2.7 years.</w:t>
      </w:r>
    </w:p>
    <w:p>
      <w:pPr>
        <w:spacing w:after="0" w:line="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$0.1 million related to the Employee Stock Purchase Plan (ESPP) for the three months ended March 31, 2022. There was no ESPP expense for the three months ended March 31, 2021.</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type w:val="continuous"/>
        </w:sectPr>
      </w:pPr>
    </w:p>
    <w:bookmarkStart w:id="14" w:name="page15"/>
    <w:bookmarkEnd w:id="1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6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76"/>
        </w:trPr>
        <w:tc>
          <w:tcPr>
            <w:tcW w:w="5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6020" w:type="dxa"/>
            <w:vAlign w:val="bottom"/>
            <w:shd w:val="clear" w:color="auto" w:fill="CFF0FC"/>
          </w:tcPr>
          <w:p>
            <w:pPr>
              <w:jc w:val="right"/>
              <w:ind w:right="3390"/>
              <w:spacing w:after="0"/>
              <w:rPr>
                <w:sz w:val="20"/>
                <w:szCs w:val="20"/>
                <w:color w:val="auto"/>
              </w:rPr>
            </w:pPr>
            <w:r>
              <w:rPr>
                <w:rFonts w:ascii="Times New Roman" w:cs="Times New Roman" w:eastAsia="Times New Roman" w:hAnsi="Times New Roman"/>
                <w:sz w:val="18"/>
                <w:szCs w:val="18"/>
                <w:color w:val="auto"/>
                <w:w w:val="99"/>
              </w:rPr>
              <w:t>Options to purchase common stock</w:t>
            </w:r>
          </w:p>
        </w:tc>
        <w:tc>
          <w:tcPr>
            <w:tcW w:w="1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6,424,324</w:t>
            </w:r>
          </w:p>
        </w:tc>
        <w:tc>
          <w:tcPr>
            <w:tcW w:w="2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5,067,230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200" w:type="dxa"/>
            <w:vAlign w:val="bottom"/>
            <w:gridSpan w:val="2"/>
          </w:tcPr>
          <w:p>
            <w:pPr>
              <w:jc w:val="right"/>
              <w:ind w:right="4708"/>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217,730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6020" w:type="dxa"/>
            <w:vAlign w:val="bottom"/>
            <w:tcBorders>
              <w:bottom w:val="single" w:sz="8" w:color="CFF0FC"/>
            </w:tcBorders>
            <w:shd w:val="clear" w:color="auto" w:fill="CFF0FC"/>
          </w:tcPr>
          <w:p>
            <w:pPr>
              <w:jc w:val="right"/>
              <w:ind w:right="537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6,642,054</w:t>
            </w:r>
          </w:p>
        </w:tc>
        <w:tc>
          <w:tcPr>
            <w:tcW w:w="2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5,067,230</w:t>
            </w: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60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60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-505460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-488315</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-505460</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-488315</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2021 and the related Management’s Discussion and Analysis of Financial Condition and Results of Operations, both of which are contained in our Annual Report on Form 10-K for the fiscal year ended December 31, 2021, filed with the Securities and Exchange Commission on March 21, 2022.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ORIC Pharmaceuticals is a clinical-stage biopharmaceutical company dedicated to improving patients’ lives by </w:t>
      </w:r>
      <w:r>
        <w:rPr>
          <w:rFonts w:ascii="Times New Roman" w:cs="Times New Roman" w:eastAsia="Times New Roman" w:hAnsi="Times New Roman"/>
          <w:sz w:val="18"/>
          <w:szCs w:val="18"/>
          <w:i w:val="1"/>
          <w:iCs w:val="1"/>
          <w:u w:val="single" w:color="auto"/>
          <w:color w:val="auto"/>
        </w:rPr>
        <w:t>O</w:t>
      </w:r>
      <w:r>
        <w:rPr>
          <w:rFonts w:ascii="Times New Roman" w:cs="Times New Roman" w:eastAsia="Times New Roman" w:hAnsi="Times New Roman"/>
          <w:sz w:val="18"/>
          <w:szCs w:val="18"/>
          <w:i w:val="1"/>
          <w:iCs w:val="1"/>
          <w:color w:val="auto"/>
        </w:rPr>
        <w:t>vercoming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R</w:t>
      </w:r>
      <w:r>
        <w:rPr>
          <w:rFonts w:ascii="Times New Roman" w:cs="Times New Roman" w:eastAsia="Times New Roman" w:hAnsi="Times New Roman"/>
          <w:sz w:val="18"/>
          <w:szCs w:val="18"/>
          <w:i w:val="1"/>
          <w:iCs w:val="1"/>
          <w:color w:val="auto"/>
        </w:rPr>
        <w:t>esistance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w:t>
      </w:r>
      <w:r>
        <w:rPr>
          <w:rFonts w:ascii="Times New Roman" w:cs="Times New Roman" w:eastAsia="Times New Roman" w:hAnsi="Times New Roman"/>
          <w:sz w:val="18"/>
          <w:szCs w:val="18"/>
          <w:i w:val="1"/>
          <w:iCs w:val="1"/>
          <w:color w:val="auto"/>
        </w:rPr>
        <w:t>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w:t>
      </w:r>
      <w:r>
        <w:rPr>
          <w:rFonts w:ascii="Times New Roman" w:cs="Times New Roman" w:eastAsia="Times New Roman" w:hAnsi="Times New Roman"/>
          <w:sz w:val="18"/>
          <w:szCs w:val="18"/>
          <w:i w:val="1"/>
          <w:iCs w:val="1"/>
          <w:color w:val="auto"/>
        </w:rPr>
        <w:t>ancer.</w:t>
      </w:r>
    </w:p>
    <w:p>
      <w:pPr>
        <w:spacing w:after="0" w:line="205" w:lineRule="exact"/>
        <w:rPr>
          <w:sz w:val="20"/>
          <w:szCs w:val="20"/>
          <w:color w:val="auto"/>
        </w:rPr>
      </w:pPr>
    </w:p>
    <w:p>
      <w:pPr>
        <w:jc w:val="both"/>
        <w:ind w:right="640" w:firstLine="749"/>
        <w:spacing w:after="0" w:line="250" w:lineRule="auto"/>
        <w:rPr>
          <w:sz w:val="20"/>
          <w:szCs w:val="20"/>
          <w:color w:val="auto"/>
        </w:rPr>
      </w:pPr>
      <w:r>
        <w:rPr>
          <w:rFonts w:ascii="Times New Roman" w:cs="Times New Roman" w:eastAsia="Times New Roman" w:hAnsi="Times New Roman"/>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104" w:lineRule="exact"/>
        <w:rPr>
          <w:sz w:val="20"/>
          <w:szCs w:val="20"/>
          <w:color w:val="auto"/>
        </w:rPr>
      </w:pPr>
    </w:p>
    <w:p>
      <w:pPr>
        <w:ind w:left="1260" w:right="20" w:hanging="503"/>
        <w:spacing w:after="0" w:line="250"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we are enrolling patients in a Phase 1b trial as a single-agent in multiple myeloma and expect to report initial data in the first half of 2023.</w:t>
      </w:r>
    </w:p>
    <w:p>
      <w:pPr>
        <w:spacing w:after="0" w:line="69" w:lineRule="exact"/>
        <w:rPr>
          <w:rFonts w:ascii="Times New Roman" w:cs="Times New Roman" w:eastAsia="Times New Roman" w:hAnsi="Times New Roman"/>
          <w:sz w:val="18"/>
          <w:szCs w:val="18"/>
          <w:color w:val="auto"/>
        </w:rPr>
      </w:pPr>
    </w:p>
    <w:p>
      <w:pPr>
        <w:ind w:left="1260" w:right="20" w:hanging="503"/>
        <w:spacing w:after="0" w:line="245"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Clinical Trial Application (CTA) in South Korea for ORIC-114, which was cleared in the first quarter of 2022. We are pursuing a Phase 1b single agent trial which is enrolling patients with advanced solid tumors with EGFR and HER2 exon 20 alterations or HER2 amplifications and allows patients with CNS metastases that are either treated or untreated but asymptomatic. We expect to report initial Phase 1b data from this trial in the first half of 2023.</w:t>
      </w:r>
    </w:p>
    <w:p>
      <w:pPr>
        <w:spacing w:after="0" w:line="73" w:lineRule="exact"/>
        <w:rPr>
          <w:rFonts w:ascii="Times New Roman" w:cs="Times New Roman" w:eastAsia="Times New Roman" w:hAnsi="Times New Roman"/>
          <w:sz w:val="18"/>
          <w:szCs w:val="18"/>
          <w:color w:val="auto"/>
        </w:rPr>
      </w:pPr>
    </w:p>
    <w:p>
      <w:pPr>
        <w:ind w:left="1260" w:right="20" w:hanging="503"/>
        <w:spacing w:after="0" w:line="250"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and we are enrolling patients in a Phase 1b trial as a single-agent in prostate cancer and expect to report initial data in the first half of 2023.</w:t>
      </w:r>
    </w:p>
    <w:p>
      <w:pPr>
        <w:spacing w:after="0" w:line="19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Beyond these clinical stage product candidates, we are developing multiple discovery stage precision medicines targeting other hallmark cancer resistance mechanisms.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for the three months ended March 31, 2022 was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$23.2 million and we had an accumulated deficit of $268.3 million as of March 31, 2022. Our losses and accumulated deficit have resulted primarily from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in connection with research and development activities including in-licensing and to a lesser extent from general and administrative costs</w:t>
      </w:r>
    </w:p>
    <w:p>
      <w:pPr>
        <w:spacing w:after="0" w:line="234" w:lineRule="auto"/>
        <w:rPr>
          <w:sz w:val="20"/>
          <w:szCs w:val="20"/>
          <w:color w:val="auto"/>
        </w:rPr>
      </w:pPr>
      <w:r>
        <w:rPr>
          <w:rFonts w:ascii="Times New Roman" w:cs="Times New Roman" w:eastAsia="Times New Roman" w:hAnsi="Times New Roman"/>
          <w:sz w:val="18"/>
          <w:szCs w:val="18"/>
          <w:color w:val="auto"/>
        </w:rPr>
        <w:t>associated with our operations. We expect to incur significant losses for the foreseeable future, and we anticipate these losses will increase significantly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our development of ORIC-533, ORIC-114, ORIC-944 and any future product candidates from discovery through preclinical development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clinical trials as we seek regulatory approval for these product candidates. Our net losses may fluctuate significantly from period to period, depending</w:t>
      </w:r>
    </w:p>
    <w:p>
      <w:pPr>
        <w:spacing w:after="0"/>
        <w:rPr>
          <w:sz w:val="20"/>
          <w:szCs w:val="20"/>
          <w:color w:val="auto"/>
        </w:rPr>
      </w:pPr>
      <w:r>
        <w:rPr>
          <w:rFonts w:ascii="Times New Roman" w:cs="Times New Roman" w:eastAsia="Times New Roman" w:hAnsi="Times New Roman"/>
          <w:sz w:val="18"/>
          <w:szCs w:val="18"/>
          <w:color w:val="auto"/>
        </w:rPr>
        <w:t>on the timing of and expenditures on our planned research and development activities.</w:t>
      </w:r>
    </w:p>
    <w:p>
      <w:pPr>
        <w:spacing w:after="0" w:line="84"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disease, or COVID-19, outbreak a global pandemic. Governments have taken various actions in response to the COVID-19 pandemic, including the issuance of stay-at-home orders and physical distancing guidelines. Accordingly, businesses have adjusted, reduced or suspended certain operating activities. Disruptions caused by the COVID-19 pandemic have impacted the Company, including the temporary suspension or delayed enrollment of patients in the Company’s clinical trials. The future impacts of the COVID-19 pandemic depend, in part, on the length and severity of the restrictions and other limitations on our ability to conduct business in the ordinary course. As a result, research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ind w:right="340"/>
        <w:spacing w:after="0" w:line="282" w:lineRule="auto"/>
        <w:rPr>
          <w:sz w:val="20"/>
          <w:szCs w:val="20"/>
          <w:color w:val="auto"/>
        </w:rPr>
      </w:pPr>
      <w:r>
        <w:rPr>
          <w:rFonts w:ascii="Times New Roman" w:cs="Times New Roman" w:eastAsia="Times New Roman" w:hAnsi="Times New Roman"/>
          <w:sz w:val="18"/>
          <w:szCs w:val="18"/>
          <w:color w:val="auto"/>
        </w:rPr>
        <w:t>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40"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7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the third and fourth quarter of 2020, we entered into license agreements with Mirati and Voronoi, respectively. As consideration for the license granted under the Mirati License Agreement, we issued to Mirati 588,235 shares of our common stock in August 2020. As consideration for the license granted under the Voronoi License Agreement, we made a one-time $5.0 million cash payment in November 2020 and issued 283,259 shares of our common stock to Voronoi in October 2020.</w:t>
      </w:r>
    </w:p>
    <w:p>
      <w:pPr>
        <w:spacing w:after="0" w:line="69"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18"/>
          <w:szCs w:val="18"/>
          <w:color w:val="auto"/>
        </w:rPr>
        <w:t>On November 17, 2020, we completed a public offering of our common stock. In connection with this offering, we issued and sold 5,796,000 shares of our common stock, including 756,000 associated with the full exercise of the underwriters’ option to purchase additional shares, at a price to the public of $23.00 per share resulting in gross proceeds of $133.3 million before deducting underwriting discounts and commissions and estimated offering expenses. After deducting underwriting discounts and commissions and other offering expenses of $8.5 million, the net proceeds we received from the transaction were approximately $124.8 million.</w:t>
      </w:r>
    </w:p>
    <w:p>
      <w:pPr>
        <w:spacing w:after="0" w:line="8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On April 28, 2020, we completed our IPO of our common stock. In connection with our IPO, we issued and sold 8,625,000 shares of our common stock, including 1,125,000 shares associated with the full exercise of the underwriters’ option to purchase additional shares, at a price to the public of $16.00 per share resulting in gross proceeds of $138.0 million. After deducting underwriting discounts and commissions and other offering expenses of $12.8 million, the net proceeds we received from our IPO were approximately $125.2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04" w:lineRule="exact"/>
        <w:rPr>
          <w:sz w:val="20"/>
          <w:szCs w:val="20"/>
          <w:color w:val="auto"/>
        </w:rPr>
      </w:pPr>
    </w:p>
    <w:p>
      <w:pPr>
        <w:ind w:left="1260" w:right="60" w:hanging="503"/>
        <w:spacing w:after="0" w:line="282"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(CROs) and consultants;</w:t>
      </w:r>
    </w:p>
    <w:p>
      <w:pPr>
        <w:spacing w:after="0" w:line="40" w:lineRule="exact"/>
        <w:rPr>
          <w:rFonts w:ascii="Times New Roman" w:cs="Times New Roman" w:eastAsia="Times New Roman" w:hAnsi="Times New Roman"/>
          <w:sz w:val="18"/>
          <w:szCs w:val="18"/>
          <w:color w:val="auto"/>
        </w:rPr>
      </w:pPr>
    </w:p>
    <w:p>
      <w:pPr>
        <w:ind w:left="1260" w:right="420" w:hanging="503"/>
        <w:spacing w:after="0" w:line="26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contract manufacturing organizations (CMOs) and consultants;</w:t>
      </w:r>
    </w:p>
    <w:p>
      <w:pPr>
        <w:spacing w:after="0" w:line="67" w:lineRule="exact"/>
        <w:rPr>
          <w:rFonts w:ascii="Times New Roman" w:cs="Times New Roman" w:eastAsia="Times New Roman" w:hAnsi="Times New Roman"/>
          <w:sz w:val="18"/>
          <w:szCs w:val="18"/>
          <w:color w:val="auto"/>
        </w:rPr>
      </w:pPr>
    </w:p>
    <w:p>
      <w:pPr>
        <w:ind w:left="1260" w:right="360" w:hanging="503"/>
        <w:spacing w:after="0" w:line="26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expenses, which include direct or allocated expenses for IT, rent and maintenance of facilities.</w:t>
      </w:r>
    </w:p>
    <w:p>
      <w:pPr>
        <w:spacing w:after="0" w:line="104"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69"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such as salaries, related benefits and non-cash stock-based compensation expense for employees engaged in research and development functions.</w:t>
      </w:r>
    </w:p>
    <w:p>
      <w:pPr>
        <w:spacing w:after="0" w:line="40"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83"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86" w:lineRule="exact"/>
        <w:rPr>
          <w:sz w:val="20"/>
          <w:szCs w:val="20"/>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licensing or collaboration arrangements;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retaining research and development personnel;</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03" w:lineRule="exact"/>
        <w:rPr>
          <w:rFonts w:ascii="Times New Roman" w:cs="Times New Roman" w:eastAsia="Times New Roman" w:hAnsi="Times New Roman"/>
          <w:sz w:val="18"/>
          <w:szCs w:val="18"/>
          <w:color w:val="auto"/>
        </w:rPr>
      </w:pPr>
    </w:p>
    <w:p>
      <w:pPr>
        <w:ind w:left="1260" w:right="660" w:hanging="503"/>
        <w:spacing w:after="0" w:line="26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product formulations that can be used in our planned clinical trials and for commercial launch;</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11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Any changes in the outcome of any of these factors could significantly impact the costs, timing and viability associated with the development of our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10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Interest income, net primarily consists of interest income generated from our interest-bearing money market accounts and available-for-sale investments.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2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7"/>
        </w:trPr>
        <w:tc>
          <w:tcPr>
            <w:tcW w:w="5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5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32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2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80" w:type="dxa"/>
            <w:vAlign w:val="bottom"/>
          </w:tcPr>
          <w:p>
            <w:pPr>
              <w:spacing w:after="0"/>
              <w:rPr>
                <w:sz w:val="18"/>
                <w:szCs w:val="18"/>
                <w:color w:val="auto"/>
              </w:rPr>
            </w:pPr>
          </w:p>
        </w:tc>
      </w:tr>
      <w:tr>
        <w:trPr>
          <w:trHeight w:val="21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(23,159 )</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(16,509 )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-873760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-873760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-873760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-307975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-307975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-307975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$16.8 million for the three months ended March 31, 2022, compared to $11.7 million for the same period in 2021, an increase of $5.1 million. The increase was primarily driven by an increase in external expenses related to the advancement of ORIC 533, ORIC-114, ORIC-944 and our other product candidates of $4.6 million, offset by a decrease in ORIC-101 costs of $0.7 million due to the discontinuation of the program in the first quarter of 2022. Higher internal expenses related to higher personnel costs, including additional non-cash stock-based compensation of $0.5 million, also contributed to the increase in research and development expenses.</w:t>
      </w:r>
    </w:p>
    <w:p>
      <w:pPr>
        <w:spacing w:after="0" w:line="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three months ended March 31, 2022 and 2021 (in thousands):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36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7"/>
        </w:trPr>
        <w:tc>
          <w:tcPr>
            <w:tcW w:w="6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6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External costs:</w:t>
            </w:r>
          </w:p>
        </w:tc>
        <w:tc>
          <w:tcPr>
            <w:tcW w:w="8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ORIC-533</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8"/>
                <w:szCs w:val="18"/>
                <w:color w:val="auto"/>
              </w:rPr>
            </w:pPr>
          </w:p>
        </w:tc>
      </w:tr>
      <w:tr>
        <w:trPr>
          <w:trHeight w:val="216"/>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ORIC-114</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8"/>
                <w:szCs w:val="18"/>
                <w:color w:val="auto"/>
              </w:rPr>
            </w:pPr>
          </w:p>
        </w:tc>
      </w:tr>
      <w:tr>
        <w:trPr>
          <w:trHeight w:val="216"/>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ORIC-944</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r>
      <w:tr>
        <w:trPr>
          <w:trHeight w:val="216"/>
        </w:trPr>
        <w:tc>
          <w:tcPr>
            <w:tcW w:w="6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ORIC-101 (discontinued)</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(660 )</w:t>
            </w:r>
          </w:p>
        </w:tc>
      </w:tr>
      <w:tr>
        <w:trPr>
          <w:trHeight w:val="216"/>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80" w:type="dxa"/>
            <w:vAlign w:val="bottom"/>
          </w:tcPr>
          <w:p>
            <w:pPr>
              <w:spacing w:after="0"/>
              <w:rPr>
                <w:sz w:val="18"/>
                <w:szCs w:val="18"/>
                <w:color w:val="auto"/>
              </w:rPr>
            </w:pPr>
          </w:p>
        </w:tc>
      </w:tr>
      <w:tr>
        <w:trPr>
          <w:trHeight w:val="210"/>
        </w:trPr>
        <w:tc>
          <w:tcPr>
            <w:tcW w:w="6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external costs</w:t>
            </w: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costs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18"/>
                <w:szCs w:val="18"/>
                <w:color w:val="auto"/>
              </w:rPr>
            </w:pPr>
          </w:p>
        </w:tc>
      </w:tr>
      <w:tr>
        <w:trPr>
          <w:trHeight w:val="249"/>
        </w:trPr>
        <w:tc>
          <w:tcPr>
            <w:tcW w:w="6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-316865</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-316865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34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-25400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-8255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$6.4 million for the three months ended March 31, 2022, compared to $4.9 million for the same period in 2021, an increase of $1.6 million. The increase was primarily due to higher personnel costs, including additional non-cash stock-based compensation of $0.7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healthcare specialist fund. We sold such shares at a purchase price per share of $19.25, a premium to the market price at the time of sale.</w:t>
      </w:r>
    </w:p>
    <w:p>
      <w:pPr>
        <w:spacing w:after="0" w:line="117"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On November 17, 2020, we completed our follow-on offering of our common stock. In connection with our follow-on offering, we issued and sold 5,796,000 shares of our common stock at a price to the public of $23.00 per share, resulting in gross proceeds of $133.3 million before deducting underwriting discounts and commissions and other offering expenses.</w:t>
      </w:r>
    </w:p>
    <w:p>
      <w:pPr>
        <w:spacing w:after="0" w:line="82" w:lineRule="exact"/>
        <w:rPr>
          <w:sz w:val="20"/>
          <w:szCs w:val="20"/>
          <w:color w:val="auto"/>
        </w:rPr>
      </w:pPr>
    </w:p>
    <w:p>
      <w:pPr>
        <w:jc w:val="both"/>
        <w:ind w:right="200" w:firstLine="749"/>
        <w:spacing w:after="0" w:line="250" w:lineRule="auto"/>
        <w:rPr>
          <w:sz w:val="20"/>
          <w:szCs w:val="20"/>
          <w:color w:val="auto"/>
        </w:rPr>
      </w:pPr>
      <w:r>
        <w:rPr>
          <w:rFonts w:ascii="Times New Roman" w:cs="Times New Roman" w:eastAsia="Times New Roman" w:hAnsi="Times New Roman"/>
          <w:sz w:val="18"/>
          <w:szCs w:val="18"/>
          <w:color w:val="auto"/>
        </w:rPr>
        <w:t>On April 28, 2020, we completed our IPO. In connection with our IPO, we issued and sold 8,625,000 shares of our common stock at a price to the public of $16.00 per share resulting in gross proceeds of $138.0 million before deducting underwriting discounts and commissions and other offering expenses.</w:t>
      </w:r>
    </w:p>
    <w:p>
      <w:pPr>
        <w:spacing w:after="0" w:line="8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Prior to our IPO, we funded our operations primarily with proceeds from the sale of convertible preferred stock resulting in total net proceeds of approximately $178.1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08"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72" w:lineRule="exact"/>
        <w:rPr>
          <w:sz w:val="20"/>
          <w:szCs w:val="20"/>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03" w:lineRule="exact"/>
        <w:rPr>
          <w:rFonts w:ascii="Times New Roman" w:cs="Times New Roman" w:eastAsia="Times New Roman" w:hAnsi="Times New Roman"/>
          <w:sz w:val="18"/>
          <w:szCs w:val="18"/>
          <w:color w:val="auto"/>
        </w:rPr>
      </w:pPr>
    </w:p>
    <w:p>
      <w:pPr>
        <w:ind w:left="1260" w:right="28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40" w:lineRule="exact"/>
        <w:rPr>
          <w:rFonts w:ascii="Times New Roman" w:cs="Times New Roman" w:eastAsia="Times New Roman" w:hAnsi="Times New Roman"/>
          <w:sz w:val="18"/>
          <w:szCs w:val="18"/>
          <w:color w:val="auto"/>
        </w:rPr>
      </w:pPr>
    </w:p>
    <w:p>
      <w:pPr>
        <w:ind w:left="1260" w:right="420" w:hanging="503"/>
        <w:spacing w:after="0" w:line="266"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04"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7"/>
          <w:szCs w:val="17"/>
          <w:color w:val="auto"/>
        </w:rPr>
        <w:t>We expect our current cash, cash equivalents and investments will be sufficient to fund our current operating plan into the second half of 2024.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73"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0" w:name="page21"/>
    <w:bookmarkEnd w:id="20"/>
    <w:p>
      <w:pPr>
        <w:ind w:right="620"/>
        <w:spacing w:after="0" w:line="282" w:lineRule="auto"/>
        <w:rPr>
          <w:sz w:val="20"/>
          <w:szCs w:val="20"/>
          <w:color w:val="auto"/>
        </w:rPr>
      </w:pPr>
      <w:r>
        <w:rPr>
          <w:rFonts w:ascii="Times New Roman" w:cs="Times New Roman" w:eastAsia="Times New Roman" w:hAnsi="Times New Roman"/>
          <w:sz w:val="18"/>
          <w:szCs w:val="18"/>
          <w:color w:val="auto"/>
        </w:rPr>
        <w:t>unable to estimate the exact amount and timing of our working capital requirements. Our future funding requirements will depend on many factors, including:</w:t>
      </w:r>
    </w:p>
    <w:p>
      <w:pPr>
        <w:spacing w:after="0" w:line="54" w:lineRule="exact"/>
        <w:rPr>
          <w:sz w:val="20"/>
          <w:szCs w:val="20"/>
          <w:color w:val="auto"/>
        </w:rPr>
      </w:pPr>
    </w:p>
    <w:p>
      <w:pPr>
        <w:ind w:left="126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studies and clinical trials;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03" w:lineRule="exact"/>
        <w:rPr>
          <w:rFonts w:ascii="Times New Roman" w:cs="Times New Roman" w:eastAsia="Times New Roman" w:hAnsi="Times New Roman"/>
          <w:sz w:val="18"/>
          <w:szCs w:val="18"/>
          <w:color w:val="auto"/>
        </w:rPr>
      </w:pPr>
    </w:p>
    <w:p>
      <w:pPr>
        <w:ind w:left="1260" w:right="24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products and sufficient inventory to support commercial launch;</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260" w:right="6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w:t>
      </w:r>
    </w:p>
    <w:p>
      <w:pPr>
        <w:spacing w:after="0" w:line="103" w:lineRule="exact"/>
        <w:rPr>
          <w:rFonts w:ascii="Times New Roman" w:cs="Times New Roman" w:eastAsia="Times New Roman" w:hAnsi="Times New Roman"/>
          <w:sz w:val="18"/>
          <w:szCs w:val="18"/>
          <w:color w:val="auto"/>
        </w:rPr>
      </w:pPr>
    </w:p>
    <w:p>
      <w:pPr>
        <w:ind w:left="1260" w:right="32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milestone payments related to or royalties on, our current or future product candidates, if any.</w:t>
      </w:r>
    </w:p>
    <w:p>
      <w:pPr>
        <w:spacing w:after="0" w:line="81"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sources and uses of our cash (in thousands):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6"/>
        </w:trPr>
        <w:tc>
          <w:tcPr>
            <w:tcW w:w="59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(90,660 )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(113,362 )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ind w:right="300" w:firstLine="7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2022, of $22.7 million was attributable to our net loss of $23.2 million and a $3.8 million net decrease in working capital primarily related to a decrease in accrued compensation, offset by non-cash expenses of $4.2 million, which were primarily driven by stock-based compensation.</w:t>
      </w:r>
    </w:p>
    <w:p>
      <w:pPr>
        <w:spacing w:after="0" w:line="6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2021, of $14.9 million was attributable to our net loss of $16.5 million and a net decrease of working capital of $1.8 million primarily related to a decrease in accrued compensation, offset by non-cash expenses of $3.4 million, which were primarily driven by stock based-compensation.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of $90.7 million was primarily attributable to the purchases of investments, net of sales and maturities.</w:t>
      </w:r>
    </w:p>
    <w:p>
      <w:pPr>
        <w:spacing w:after="0" w:line="5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Net provided by investing activities during the three months ended March 31, 2021, of $40.6 million was primarily attributable to the sales and maturities of investments of $40.8 million, net of purchases.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2022 and the three months ended March 31, 2021, was less than $0.1 million and consisted of net proceeds received from stock option exercises.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Judgements and Estimates</w:t>
      </w:r>
    </w:p>
    <w:p>
      <w:pPr>
        <w:spacing w:after="0" w:line="121"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08"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6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March 31, 2022, we had cash equivalents and investments of $256.2 million, consisting of interest-bearing money market funds, certificates of deposit and securities issued by the U.S. Treasury. Due to the nature of our cash equivalents and investments, an immediate 100 basis point change in interest rates would not have a material effect on their fair market value.</w:t>
      </w:r>
    </w:p>
    <w:p>
      <w:pPr>
        <w:spacing w:after="0" w:line="7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March 31, 2022,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March 31, 2022.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During the first quarter of 2022, we implemented a new Enterprise Resource Planning (ERP) system. The ERP system replaced or enhanced certain internal financial, operating and other systems that are critical to our business operations. As a result of this implementation, we modified certain existing internal controls to ensure the controls were appropriate with the new ERP system. Except with respect to the ERP implementation, there were no changes in our internal control over financial reporting identified in connection with the evaluation required by Rule 13a-15(d) and 15d-15(d) of the Securities Exchange Act of 1934 that occurred during the quarter ended March 31, 2022 that have materially affected, or are reasonably likely to materially affect, our internal control over financial reporting.</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6"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3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anticipated future net losses;</w:t>
      </w:r>
    </w:p>
    <w:p>
      <w:pPr>
        <w:spacing w:after="0" w:line="22"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generate revenue and achieve profitability; and</w:t>
      </w:r>
    </w:p>
    <w:p>
      <w:pPr>
        <w:spacing w:after="0" w:line="22"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substantial additional capital to finance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 of our product candidates</w:t>
      </w:r>
    </w:p>
    <w:p>
      <w:pPr>
        <w:spacing w:after="0" w:line="15" w:lineRule="exact"/>
        <w:rPr>
          <w:sz w:val="20"/>
          <w:szCs w:val="20"/>
          <w:color w:val="auto"/>
        </w:rPr>
      </w:pP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dependence on our product candidates;</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challenges in discovering, developing and commercializing additional product candidates;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regulatory approval processes and product candidate approvals;</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that may fail to satisfactorily demonstrate safety and efficacy;</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that may cause significant adverse events, toxicities or other undesirable side effects;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clinical trial results and challenges related to FDA, EMA and other regulatory requirements;</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audits and verification procedures of our clinical trial data;</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due to third parties investigating the same product candidates as us in different territories;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difficulties in enrollment and/or maintenance of patients in clinical trials;</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effective companion diagnostic tests for our product candidates;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difficulties in developing our potential programs;</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challenges related to our focus on developing our product candidates for particular indications;</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the markets in which we operate;</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encountered by our third-party manufacturers;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methods of product candidate manufacturing or formulation;</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unacceptance of our product candidates in the medical community;</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 opportunities for our product candidates;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augment our product pipeline through acquisitions and in-licenses;</w:t>
      </w:r>
    </w:p>
    <w:p>
      <w:pPr>
        <w:ind w:left="1260" w:hanging="503"/>
        <w:spacing w:after="0" w:line="234" w:lineRule="auto"/>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unfavorable third-party coverage and reimbursement practices of our product candidates; and</w:t>
      </w:r>
    </w:p>
    <w:p>
      <w:pPr>
        <w:ind w:left="1260" w:hanging="503"/>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product liability and insurance coverage.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legal and other compliance matters</w:t>
      </w:r>
    </w:p>
    <w:p>
      <w:pPr>
        <w:spacing w:after="0" w:line="15" w:lineRule="exact"/>
        <w:rPr>
          <w:sz w:val="20"/>
          <w:szCs w:val="20"/>
          <w:color w:val="auto"/>
        </w:rPr>
      </w:pPr>
    </w:p>
    <w:p>
      <w:pPr>
        <w:ind w:left="1260" w:hanging="50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ability to obtain regulatory approval of our product candidates;</w:t>
      </w:r>
    </w:p>
    <w:p>
      <w:pPr>
        <w:ind w:left="1260" w:hanging="50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EMA and other regulatory authorities’ unacceptance of data from trials conducted outside their jurisdiction;</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regulatory approval of our product candidates in various jurisdictions;</w:t>
      </w:r>
    </w:p>
    <w:p>
      <w:pPr>
        <w:ind w:left="1260" w:hanging="503"/>
        <w:spacing w:after="0" w:line="234"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related to post-marketing regulatory requirements and oversight of our product candidates;</w:t>
      </w:r>
    </w:p>
    <w:p>
      <w:pPr>
        <w:ind w:left="1260" w:hanging="503"/>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regulatory authorities’ enforcement of laws and regulations prohibiting promotion of off-label uses;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FDA approval of required companion diagnostic tests;</w:t>
      </w:r>
    </w:p>
    <w:p>
      <w:pPr>
        <w:spacing w:after="0" w:line="2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our ability to obtain Fast Track designation from the FDA for our product candidates;</w:t>
      </w:r>
    </w:p>
    <w:p>
      <w:pPr>
        <w:ind w:left="1260" w:hanging="503"/>
        <w:spacing w:after="0" w:line="234"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to our ability to obtain orphan drug designation or maintain orphan drug exclusivity for our product candidates;</w:t>
      </w:r>
    </w:p>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barriers to secure approval for accelerated registration pathways;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current regulations and future legislation that impact us adversely;</w:t>
      </w:r>
    </w:p>
    <w:p>
      <w:pPr>
        <w:ind w:left="1260" w:hanging="503"/>
        <w:spacing w:after="0" w:line="234"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of regulatory agencies that may hinder timely product development or commercialization;</w:t>
      </w:r>
    </w:p>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misconduct or noncompliance with regulatory standards by our employees and certain third parties;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U.S. healthcare laws and requirements;</w:t>
      </w:r>
    </w:p>
    <w:p>
      <w:pPr>
        <w:ind w:left="1260" w:hanging="503"/>
        <w:spacing w:after="0" w:line="234"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environmental, health and safety laws and regulations;</w:t>
      </w:r>
    </w:p>
    <w:p>
      <w:pPr>
        <w:ind w:left="1260" w:hanging="503"/>
        <w:spacing w:after="0" w:line="234"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anti-bribery, anti-corruption, export, trade sanctions and import laws or regulations; and</w:t>
      </w:r>
    </w:p>
    <w:p>
      <w:pPr>
        <w:ind w:left="1260" w:hanging="503"/>
        <w:spacing w:after="0" w:line="258"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California laws or The Nasdaq Global Select Market (Nasdaq) rules governing diversity of our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management of our growth</w:t>
      </w:r>
    </w:p>
    <w:p>
      <w:pPr>
        <w:spacing w:after="0" w:line="29" w:lineRule="exact"/>
        <w:rPr>
          <w:sz w:val="20"/>
          <w:szCs w:val="20"/>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ability to attract and retain highly skilled executive officers and employees;</w:t>
      </w:r>
    </w:p>
    <w:p>
      <w:pPr>
        <w:ind w:left="1260" w:hanging="503"/>
        <w:spacing w:after="0" w:line="234"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ability to sell or market our product candidates;</w:t>
      </w: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grow and manage growth of our organization;</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incidents impacting our internal systems or those of commercial third parties;</w:t>
      </w:r>
    </w:p>
    <w:p>
      <w:pPr>
        <w:ind w:left="1260" w:hanging="503"/>
        <w:spacing w:after="0" w:line="234"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catastrophic events that may cause damage or disruption;</w:t>
      </w:r>
    </w:p>
    <w:p>
      <w:pPr>
        <w:ind w:left="1260" w:hanging="503"/>
        <w:spacing w:after="0" w:line="234"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Exchange Commission civil enforcement action against one of our officers;</w:t>
      </w: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use our net operating losses and tax credits to offset future taxable income;</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reform and additional effort and expenses incurred as a result;</w:t>
      </w:r>
    </w:p>
    <w:p>
      <w:pPr>
        <w:ind w:left="1260" w:hanging="503"/>
        <w:spacing w:after="0" w:line="234"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related to international marketing of our product candidates;</w:t>
      </w: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conflict in Ukraine, and any resulting trade war, could result in increased manufacturing costs; and</w:t>
      </w:r>
    </w:p>
    <w:p>
      <w:pPr>
        <w:spacing w:after="0" w:line="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us by increasing our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9" w:lineRule="exact"/>
        <w:rPr>
          <w:sz w:val="20"/>
          <w:szCs w:val="20"/>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ability to protect our intellectual property and proprietary technologies;</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narrow scope of patent protection we receive;</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threats to our competitive advantage;</w:t>
      </w: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intellectual property rights and claims of infringement by third parties;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obtain or maintain rights to our product candidates through acquisitions and in-licenses;</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protecting or enforcing our patents and our licensors’ patents;</w:t>
      </w: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that may lead to unfavorable publicity;</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outcomes from necessary derivation proceedings;</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reform legislation and related uncertainties and costs;</w:t>
      </w: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intellectual property laws and related challenges;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challenging ownership of our intellectual property, including internationally;</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and access to extensions that may not adequately protect our competitive position;</w:t>
      </w: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and dependence on compliance with various regulations;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limited name recognition in our markets that depend on protection of our trademarks and trade names;</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confidentiality of our trade secrets;</w:t>
      </w: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wrongful disclosure of our confidential information or trade secrets;</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wrongful hiring or disclosure or use of competitors’ confidential information or trade secrets;</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development and commercialization rights that are subject to unfavorable terms and conditions of licensors;</w:t>
      </w:r>
    </w:p>
    <w:p>
      <w:pPr>
        <w:ind w:left="1260" w:hanging="503"/>
        <w:spacing w:after="0" w:line="23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relationship disruptions due to failure to comply with license agreement obligations;</w:t>
      </w: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and prosecution that may be dependent on third parties; and</w:t>
      </w:r>
    </w:p>
    <w:p>
      <w:pPr>
        <w:spacing w:after="0" w:line="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discovered through government funding and potential limits on our exclusive rights.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29" w:lineRule="exact"/>
        <w:rPr>
          <w:sz w:val="20"/>
          <w:szCs w:val="20"/>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production, preclinical studies and clinical trials of our product candidates;</w:t>
      </w:r>
    </w:p>
    <w:p>
      <w:pPr>
        <w:ind w:left="1260" w:hanging="503"/>
        <w:spacing w:after="0" w:line="234"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partnerships that may increase capital requirements, dilution and debt;</w:t>
      </w: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commercially reasonable collaborations; and</w:t>
      </w:r>
    </w:p>
    <w:p>
      <w:pPr>
        <w:spacing w:after="0" w:line="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collaborations for development and commercialization of product candidates.</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29" w:lineRule="exact"/>
        <w:rPr>
          <w:sz w:val="20"/>
          <w:szCs w:val="20"/>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price that may limit your ability to sell our common stock;</w:t>
      </w:r>
    </w:p>
    <w:p>
      <w:pPr>
        <w:ind w:left="1260" w:hanging="503"/>
        <w:spacing w:after="0" w:line="234"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misleading industry analyst publications regarding our business or market;</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our operating results;</w:t>
      </w:r>
    </w:p>
    <w:p>
      <w:pPr>
        <w:ind w:left="1260" w:hanging="503"/>
        <w:spacing w:after="0" w:line="234"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stockholders and management that may exert significant control over stockholder approval matters;</w:t>
      </w: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stock that could cause our stock price to fall;</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related to our status as an emerging growth company and our transition after such status;</w:t>
      </w:r>
    </w:p>
    <w:p>
      <w:pPr>
        <w:ind w:left="1260" w:hanging="503"/>
        <w:spacing w:after="0" w:line="234"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internal controls that could impair our ability to produce accurate financial statements;</w:t>
      </w:r>
    </w:p>
    <w:p>
      <w:pPr>
        <w:ind w:left="1260" w:hanging="503"/>
        <w:spacing w:after="0" w:line="234"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disclosure controls and procedures;</w:t>
      </w: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related to securities litigation;</w:t>
      </w:r>
    </w:p>
    <w:p>
      <w:pPr>
        <w:spacing w:after="0" w:line="7" w:lineRule="exact"/>
        <w:rPr>
          <w:rFonts w:ascii="Times New Roman" w:cs="Times New Roman" w:eastAsia="Times New Roman" w:hAnsi="Times New Roman"/>
          <w:sz w:val="18"/>
          <w:szCs w:val="18"/>
          <w:color w:val="auto"/>
        </w:rPr>
      </w:pPr>
    </w:p>
    <w:p>
      <w:pPr>
        <w:ind w:left="1260" w:hanging="503"/>
        <w:spacing w:after="0" w:line="236"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not to pay dividends;</w:t>
      </w:r>
    </w:p>
    <w:p>
      <w:pPr>
        <w:ind w:left="1260" w:hanging="503"/>
        <w:spacing w:after="0" w:line="234"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certificate of incorporation and bylaws that may prevent or delay a change in control; and</w:t>
      </w: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forum provisions in our bylaws that may limit stockholder ability to obtain a favorable judicial forum.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0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37"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ORIC-533, ORIC-114, ORIC-944, ORIC-101 (now discontinued) and our other product candidates, in-licensing of external programs, business planning, establishing and maintaining our intellectual property portfolio, hiring personnel, raising capital and providing general and administrative support for these operations.</w:t>
      </w:r>
    </w:p>
    <w:p>
      <w:pPr>
        <w:spacing w:after="0" w:line="73"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69"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we expect to continue to incur significant net losses for the foreseeable future.</w:t>
      </w:r>
    </w:p>
    <w:p>
      <w:pPr>
        <w:spacing w:after="0" w:line="108"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$23.2 million for the three months ended March 31, 2022, and as of March 31, 2022, we had an accumulated deficit of $268.3 million. In the second quarter of 2021, the U.S. Food and Drug Administration (FDA) cleared an Investigational New Drug Application (IND) for ORIC-533. In the fourth quarter of 2021, we filed a Clinical Trial Application (CTA) in South Korea for ORIC-114, which was cleared in the first quarter of 2022. We also filed and cleared an IND with the FDA for ORIC-944 in the fourth quarter of 2021.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6" w:name="page27"/>
    <w:bookmarkEnd w:id="26"/>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37"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7"/>
          <w:szCs w:val="17"/>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31" w:lineRule="exact"/>
        <w:rPr>
          <w:sz w:val="20"/>
          <w:szCs w:val="20"/>
          <w:color w:val="auto"/>
        </w:rPr>
      </w:pPr>
    </w:p>
    <w:p>
      <w:pPr>
        <w:ind w:left="1260" w:right="540" w:hanging="503"/>
        <w:spacing w:after="0" w:line="266"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ORIC-533, ORIC-114, ORIC-944 and our other future product candidates;</w:t>
      </w:r>
    </w:p>
    <w:p>
      <w:pPr>
        <w:spacing w:after="0" w:line="40" w:lineRule="exact"/>
        <w:rPr>
          <w:rFonts w:ascii="Times New Roman" w:cs="Times New Roman" w:eastAsia="Times New Roman" w:hAnsi="Times New Roman"/>
          <w:sz w:val="18"/>
          <w:szCs w:val="18"/>
          <w:color w:val="auto"/>
        </w:rPr>
      </w:pPr>
    </w:p>
    <w:p>
      <w:pPr>
        <w:ind w:left="1260" w:right="180" w:hanging="503"/>
        <w:spacing w:after="0" w:line="266"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ORIC-533, ORIC-114, ORIC-944 and our other future product candidates;</w:t>
      </w:r>
    </w:p>
    <w:p>
      <w:pPr>
        <w:spacing w:after="0" w:line="54" w:lineRule="exact"/>
        <w:rPr>
          <w:rFonts w:ascii="Times New Roman" w:cs="Times New Roman" w:eastAsia="Times New Roman" w:hAnsi="Times New Roman"/>
          <w:sz w:val="18"/>
          <w:szCs w:val="18"/>
          <w:color w:val="auto"/>
        </w:rPr>
      </w:pPr>
    </w:p>
    <w:p>
      <w:pPr>
        <w:ind w:left="1260" w:right="620" w:hanging="503"/>
        <w:spacing w:after="0" w:line="250"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68" w:lineRule="exact"/>
        <w:rPr>
          <w:rFonts w:ascii="Times New Roman" w:cs="Times New Roman" w:eastAsia="Times New Roman" w:hAnsi="Times New Roman"/>
          <w:sz w:val="18"/>
          <w:szCs w:val="18"/>
          <w:color w:val="auto"/>
        </w:rPr>
      </w:pPr>
    </w:p>
    <w:p>
      <w:pPr>
        <w:ind w:left="1260" w:right="400" w:hanging="503"/>
        <w:spacing w:after="0" w:line="266"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our product candidates, including obtaining finished products that are appropriately packaged for sale;</w:t>
      </w:r>
    </w:p>
    <w:p>
      <w:pPr>
        <w:spacing w:after="0" w:line="40" w:lineRule="exact"/>
        <w:rPr>
          <w:rFonts w:ascii="Times New Roman" w:cs="Times New Roman" w:eastAsia="Times New Roman" w:hAnsi="Times New Roman"/>
          <w:sz w:val="18"/>
          <w:szCs w:val="18"/>
          <w:color w:val="auto"/>
        </w:rPr>
      </w:pPr>
    </w:p>
    <w:p>
      <w:pPr>
        <w:ind w:left="1260" w:right="20" w:hanging="503"/>
        <w:spacing w:after="0" w:line="250"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55" w:lineRule="exact"/>
        <w:rPr>
          <w:rFonts w:ascii="Times New Roman" w:cs="Times New Roman" w:eastAsia="Times New Roman" w:hAnsi="Times New Roman"/>
          <w:sz w:val="18"/>
          <w:szCs w:val="18"/>
          <w:color w:val="auto"/>
        </w:rPr>
      </w:pPr>
    </w:p>
    <w:p>
      <w:pPr>
        <w:ind w:left="1260" w:right="160" w:hanging="503"/>
        <w:spacing w:after="0" w:line="266"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 of our product candidates;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our product candidates by patients, the medical community and third-party payors;</w:t>
      </w:r>
    </w:p>
    <w:p>
      <w:pPr>
        <w:spacing w:after="0" w:line="9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any required post-marketing approval commitments to applicable regulatory authorities;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103" w:lineRule="exact"/>
        <w:rPr>
          <w:rFonts w:ascii="Times New Roman" w:cs="Times New Roman" w:eastAsia="Times New Roman" w:hAnsi="Times New Roman"/>
          <w:sz w:val="18"/>
          <w:szCs w:val="18"/>
          <w:color w:val="auto"/>
        </w:rPr>
      </w:pPr>
    </w:p>
    <w:p>
      <w:pPr>
        <w:ind w:left="1260" w:right="220" w:hanging="503"/>
        <w:spacing w:after="0" w:line="250"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68"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90" w:lineRule="exact"/>
        <w:rPr>
          <w:rFonts w:ascii="Times New Roman" w:cs="Times New Roman" w:eastAsia="Times New Roman" w:hAnsi="Times New Roman"/>
          <w:sz w:val="18"/>
          <w:szCs w:val="18"/>
          <w:color w:val="auto"/>
        </w:rPr>
      </w:pPr>
    </w:p>
    <w:p>
      <w:pPr>
        <w:ind w:left="1260" w:right="560" w:hanging="503"/>
        <w:spacing w:after="0" w:line="266"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our product candidates;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9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04" w:lineRule="exact"/>
        <w:rPr>
          <w:sz w:val="20"/>
          <w:szCs w:val="20"/>
          <w:color w:val="auto"/>
        </w:rPr>
      </w:pPr>
    </w:p>
    <w:p>
      <w:pPr>
        <w:ind w:right="180" w:firstLine="749"/>
        <w:spacing w:after="0"/>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8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0"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ORIC-533, ORIC-114 and ORIC-944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7" w:name="page28"/>
    <w:bookmarkEnd w:id="27"/>
    <w:p>
      <w:pPr>
        <w:ind w:right="180"/>
        <w:spacing w:after="0" w:line="250" w:lineRule="auto"/>
        <w:rPr>
          <w:sz w:val="20"/>
          <w:szCs w:val="20"/>
          <w:color w:val="auto"/>
        </w:rPr>
      </w:pPr>
      <w:r>
        <w:rPr>
          <w:rFonts w:ascii="Times New Roman" w:cs="Times New Roman" w:eastAsia="Times New Roman" w:hAnsi="Times New Roman"/>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our product candidates before we receive marketing approval from the FDA. Accordingly, we will need to obtain substantial additional funding in order to continue our operations.</w:t>
      </w:r>
    </w:p>
    <w:p>
      <w:pPr>
        <w:spacing w:after="0" w:line="83"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As of March 31, 2022, we had $256.2 million in cash, cash equivalents and investments. Based on our current operating plan, we believe that our existing cash, cash equivalents and investments will be sufficient to fund our operations into the second half of 2024. Our estimate as to how long we expect our existing cash, cash equivalents, and available-for-sale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4"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7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ORIC-533, ORIC-114 and ORIC-944. If we are unable to complete development of, obtain approval for and commercialize our product candidates for one or more indications in a timely manner, our business will be harmed.</w:t>
      </w:r>
    </w:p>
    <w:p>
      <w:pPr>
        <w:spacing w:after="0" w:line="6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allocate the majority of our efforts and financial resources to the development of ORIC-533, ORIC-114 and ORIC-944. Our future success is dependent on our ability to timely and successfully complete clinical trials, obtain marketing approval for and successfully commercialize ORIC-533, ORIC-114 and ORIC-944.</w:t>
      </w:r>
    </w:p>
    <w:p>
      <w:pPr>
        <w:spacing w:after="0" w:line="6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we have initiated a Phase 1b trial as a single agent in multiple myeloma. 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are pursuing a Phase 1b single agent trial which will enroll patients with advanced solid tumors with EGFR or HER2 exon 20 alterations or HER2 amplifications and will allow patients with CNS metastases that are either treated or untreated but asymptomatic.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pursuing a single agent clinical development plan in prostate cancer. 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ORIC-533, ORIC-114, ORIC-944, or any other product candidate, before we receive marketing approval from the FDA and comparable foreign regulatory authorities, and we may never receive such marketing approvals.</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our ongoing clinical trials of our product candidates;</w:t>
      </w:r>
    </w:p>
    <w:p>
      <w:pPr>
        <w:spacing w:after="0" w:line="103" w:lineRule="exact"/>
        <w:rPr>
          <w:rFonts w:ascii="Times New Roman" w:cs="Times New Roman" w:eastAsia="Times New Roman" w:hAnsi="Times New Roman"/>
          <w:sz w:val="18"/>
          <w:szCs w:val="18"/>
          <w:color w:val="auto"/>
        </w:rPr>
      </w:pPr>
    </w:p>
    <w:p>
      <w:pPr>
        <w:ind w:left="1260" w:right="700" w:hanging="503"/>
        <w:spacing w:after="0" w:line="266"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and completion of additional clinical trials of our product candidates on a timely basis;</w:t>
      </w:r>
    </w:p>
    <w:p>
      <w:pPr>
        <w:spacing w:after="0" w:line="103" w:lineRule="exact"/>
        <w:rPr>
          <w:rFonts w:ascii="Times New Roman" w:cs="Times New Roman" w:eastAsia="Times New Roman" w:hAnsi="Times New Roman"/>
          <w:sz w:val="18"/>
          <w:szCs w:val="18"/>
          <w:color w:val="auto"/>
        </w:rPr>
      </w:pPr>
    </w:p>
    <w:p>
      <w:pPr>
        <w:ind w:left="1260" w:right="80" w:hanging="503"/>
        <w:spacing w:after="0" w:line="266"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the clinical development of our product candidates both in the United States and internationally;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clinical trials;</w:t>
      </w:r>
    </w:p>
    <w:p>
      <w:pPr>
        <w:spacing w:after="0" w:line="117" w:lineRule="exact"/>
        <w:rPr>
          <w:rFonts w:ascii="Times New Roman" w:cs="Times New Roman" w:eastAsia="Times New Roman" w:hAnsi="Times New Roman"/>
          <w:sz w:val="18"/>
          <w:szCs w:val="18"/>
          <w:color w:val="auto"/>
        </w:rPr>
      </w:pPr>
    </w:p>
    <w:p>
      <w:pPr>
        <w:ind w:left="1260" w:right="560" w:hanging="503"/>
        <w:spacing w:after="0" w:line="266"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efficacy, safety and tolerability profiles that are satisfactory to the FDA, EMA or any comparable foreign regulatory authority for marketing approval;</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for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identification, development and approval of companion diagnostic tests, if required;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03" w:lineRule="exact"/>
        <w:rPr>
          <w:rFonts w:ascii="Times New Roman" w:cs="Times New Roman" w:eastAsia="Times New Roman" w:hAnsi="Times New Roman"/>
          <w:sz w:val="18"/>
          <w:szCs w:val="18"/>
          <w:color w:val="auto"/>
        </w:rPr>
      </w:pPr>
    </w:p>
    <w:p>
      <w:pPr>
        <w:ind w:left="1260" w:right="200" w:hanging="503"/>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spacing w:after="0" w:line="40" w:lineRule="exact"/>
        <w:rPr>
          <w:rFonts w:ascii="Times New Roman" w:cs="Times New Roman" w:eastAsia="Times New Roman" w:hAnsi="Times New Roman"/>
          <w:sz w:val="18"/>
          <w:szCs w:val="18"/>
          <w:color w:val="auto"/>
        </w:rPr>
      </w:pPr>
    </w:p>
    <w:p>
      <w:pPr>
        <w:ind w:left="1260" w:right="1060" w:hanging="503"/>
        <w:spacing w:after="0" w:line="266"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04"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addition to ORIC-533, ORIC-114 and ORIC-944, our prospects depend in part upon discovering, developing and commercializing additional product candidates, which may fail in development or suffer delays that adversely affect their commercial viability.</w:t>
      </w:r>
    </w:p>
    <w:p>
      <w:pPr>
        <w:spacing w:after="0" w:line="50"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Our future operating results are dependent on our ability to successfully discover, develop, obtain regulatory approval for and commercialize product candidates. All of our current programs other than ORIC-533, ORIC-114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success of other product candidates we may develop will depend on many factors, including the following:</w:t>
      </w:r>
    </w:p>
    <w:p>
      <w:pPr>
        <w:spacing w:after="0" w:line="104" w:lineRule="exact"/>
        <w:rPr>
          <w:sz w:val="20"/>
          <w:szCs w:val="20"/>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research programs resulting from factors related to the COVID-19 pandemic;</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a product candidate for use in clinical trials;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clinical trials.</w:t>
      </w:r>
    </w:p>
    <w:p>
      <w:pPr>
        <w:spacing w:after="0" w:line="104"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jc w:val="both"/>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0"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260" w:right="60" w:hanging="503"/>
        <w:spacing w:after="0" w:line="26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the design, implementation or results of our clinical trials;</w:t>
      </w:r>
    </w:p>
    <w:p>
      <w:pPr>
        <w:spacing w:after="0" w:line="67" w:lineRule="exact"/>
        <w:rPr>
          <w:rFonts w:ascii="Times New Roman" w:cs="Times New Roman" w:eastAsia="Times New Roman" w:hAnsi="Times New Roman"/>
          <w:sz w:val="18"/>
          <w:szCs w:val="18"/>
          <w:color w:val="auto"/>
        </w:rPr>
      </w:pPr>
    </w:p>
    <w:p>
      <w:pPr>
        <w:ind w:left="1260" w:right="80" w:hanging="503"/>
        <w:spacing w:after="0" w:line="250"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2" w:lineRule="exact"/>
        <w:rPr>
          <w:rFonts w:ascii="Times New Roman" w:cs="Times New Roman" w:eastAsia="Times New Roman" w:hAnsi="Times New Roman"/>
          <w:sz w:val="18"/>
          <w:szCs w:val="18"/>
          <w:color w:val="auto"/>
        </w:rPr>
      </w:pPr>
    </w:p>
    <w:p>
      <w:pPr>
        <w:ind w:left="1260" w:right="760" w:hanging="503"/>
        <w:spacing w:after="0" w:line="26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our interpretation of data from preclinical studies or clinical trials;</w:t>
      </w:r>
    </w:p>
    <w:p>
      <w:pPr>
        <w:spacing w:after="0" w:line="40" w:lineRule="exact"/>
        <w:rPr>
          <w:rFonts w:ascii="Times New Roman" w:cs="Times New Roman" w:eastAsia="Times New Roman" w:hAnsi="Times New Roman"/>
          <w:sz w:val="18"/>
          <w:szCs w:val="18"/>
          <w:color w:val="auto"/>
        </w:rPr>
      </w:pPr>
    </w:p>
    <w:p>
      <w:pPr>
        <w:ind w:left="1260" w:right="120" w:hanging="503"/>
        <w:spacing w:after="0" w:line="26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other comparable foreign regulatory authorities that our product candidate’s risk-benefit ratio for its proposed indication is acceptable;</w:t>
      </w:r>
    </w:p>
    <w:p>
      <w:pPr>
        <w:spacing w:after="0" w:line="54" w:lineRule="exact"/>
        <w:rPr>
          <w:rFonts w:ascii="Times New Roman" w:cs="Times New Roman" w:eastAsia="Times New Roman" w:hAnsi="Times New Roman"/>
          <w:sz w:val="18"/>
          <w:szCs w:val="18"/>
          <w:color w:val="auto"/>
        </w:rPr>
      </w:pPr>
    </w:p>
    <w:p>
      <w:pPr>
        <w:ind w:left="1260" w:right="18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40" w:lineRule="exact"/>
        <w:rPr>
          <w:rFonts w:ascii="Times New Roman" w:cs="Times New Roman" w:eastAsia="Times New Roman" w:hAnsi="Times New Roman"/>
          <w:sz w:val="18"/>
          <w:szCs w:val="18"/>
          <w:color w:val="auto"/>
        </w:rPr>
      </w:pPr>
    </w:p>
    <w:p>
      <w:pPr>
        <w:ind w:left="1260" w:right="560" w:hanging="503"/>
        <w:spacing w:after="0" w:line="26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regulatory authorities may fail to approve companion diagnostic tests that are required for our product candidates; and</w:t>
      </w:r>
    </w:p>
    <w:p>
      <w:pPr>
        <w:spacing w:after="0" w:line="67" w:lineRule="exact"/>
        <w:rPr>
          <w:rFonts w:ascii="Times New Roman" w:cs="Times New Roman" w:eastAsia="Times New Roman" w:hAnsi="Times New Roman"/>
          <w:sz w:val="18"/>
          <w:szCs w:val="18"/>
          <w:color w:val="auto"/>
        </w:rPr>
      </w:pPr>
    </w:p>
    <w:p>
      <w:pPr>
        <w:ind w:left="1260" w:right="260" w:hanging="503"/>
        <w:spacing w:after="0" w:line="26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3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63"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0" w:name="page31"/>
    <w:bookmarkEnd w:id="30"/>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27" w:lineRule="exact"/>
        <w:rPr>
          <w:sz w:val="20"/>
          <w:szCs w:val="20"/>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90" w:lineRule="exact"/>
        <w:rPr>
          <w:rFonts w:ascii="Times New Roman" w:cs="Times New Roman" w:eastAsia="Times New Roman" w:hAnsi="Times New Roman"/>
          <w:sz w:val="18"/>
          <w:szCs w:val="18"/>
          <w:color w:val="auto"/>
        </w:rPr>
      </w:pPr>
    </w:p>
    <w:p>
      <w:pPr>
        <w:ind w:left="1260" w:right="80" w:hanging="503"/>
        <w:spacing w:after="0" w:line="25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drug development programs;</w:t>
      </w:r>
    </w:p>
    <w:p>
      <w:pPr>
        <w:spacing w:after="0" w:line="41" w:lineRule="exact"/>
        <w:rPr>
          <w:rFonts w:ascii="Times New Roman" w:cs="Times New Roman" w:eastAsia="Times New Roman" w:hAnsi="Times New Roman"/>
          <w:sz w:val="18"/>
          <w:szCs w:val="18"/>
          <w:color w:val="auto"/>
        </w:rPr>
      </w:pPr>
    </w:p>
    <w:p>
      <w:pPr>
        <w:ind w:left="1260" w:right="620" w:hanging="503"/>
        <w:spacing w:after="0" w:line="25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4" w:lineRule="exact"/>
        <w:rPr>
          <w:rFonts w:ascii="Times New Roman" w:cs="Times New Roman" w:eastAsia="Times New Roman" w:hAnsi="Times New Roman"/>
          <w:sz w:val="18"/>
          <w:szCs w:val="18"/>
          <w:color w:val="auto"/>
        </w:rPr>
      </w:pPr>
    </w:p>
    <w:p>
      <w:pPr>
        <w:ind w:left="1260" w:right="100" w:hanging="503"/>
        <w:spacing w:after="0" w:line="25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41" w:lineRule="exact"/>
        <w:rPr>
          <w:rFonts w:ascii="Times New Roman" w:cs="Times New Roman" w:eastAsia="Times New Roman" w:hAnsi="Times New Roman"/>
          <w:sz w:val="18"/>
          <w:szCs w:val="18"/>
          <w:color w:val="auto"/>
        </w:rPr>
      </w:pPr>
    </w:p>
    <w:p>
      <w:pPr>
        <w:ind w:left="1260" w:right="540" w:hanging="503"/>
        <w:spacing w:after="0" w:line="25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90" w:lineRule="exact"/>
        <w:rPr>
          <w:rFonts w:ascii="Times New Roman" w:cs="Times New Roman" w:eastAsia="Times New Roman" w:hAnsi="Times New Roman"/>
          <w:sz w:val="18"/>
          <w:szCs w:val="18"/>
          <w:color w:val="auto"/>
        </w:rPr>
      </w:pPr>
    </w:p>
    <w:p>
      <w:pPr>
        <w:ind w:left="1260" w:right="460" w:hanging="503"/>
        <w:spacing w:after="0" w:line="25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 and</w:t>
      </w:r>
    </w:p>
    <w:p>
      <w:pPr>
        <w:spacing w:after="0" w:line="4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w:t>
      </w:r>
    </w:p>
    <w:p>
      <w:pPr>
        <w:spacing w:after="0" w:line="10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1"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74"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87" w:lineRule="exact"/>
        <w:rPr>
          <w:sz w:val="20"/>
          <w:szCs w:val="20"/>
          <w:color w:val="auto"/>
        </w:rPr>
      </w:pPr>
    </w:p>
    <w:p>
      <w:pPr>
        <w:ind w:right="100" w:firstLine="749"/>
        <w:spacing w:after="0" w:line="242"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ind w:right="280"/>
        <w:spacing w:after="0" w:line="282" w:lineRule="auto"/>
        <w:rPr>
          <w:sz w:val="20"/>
          <w:szCs w:val="20"/>
          <w:color w:val="auto"/>
        </w:rPr>
      </w:pPr>
      <w:r>
        <w:rPr>
          <w:rFonts w:ascii="Times New Roman" w:cs="Times New Roman" w:eastAsia="Times New Roman" w:hAnsi="Times New Roman"/>
          <w:sz w:val="18"/>
          <w:szCs w:val="18"/>
          <w:color w:val="auto"/>
        </w:rPr>
        <w:t>whether our product candidates will cause toxicities in humans that would preclude or lead to the revocation of regulatory approval based on preclinical studies or early stage clinical trials.</w:t>
      </w:r>
    </w:p>
    <w:p>
      <w:pPr>
        <w:spacing w:after="0" w:line="3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63"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ORIC-533, ORIC-114,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8"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7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3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3"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4"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6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63"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2" w:name="page33"/>
    <w:bookmarkEnd w:id="32"/>
    <w:p>
      <w:pPr>
        <w:ind w:right="60"/>
        <w:spacing w:after="0" w:line="250" w:lineRule="auto"/>
        <w:rPr>
          <w:sz w:val="20"/>
          <w:szCs w:val="20"/>
          <w:color w:val="auto"/>
        </w:rPr>
      </w:pPr>
      <w:r>
        <w:rPr>
          <w:rFonts w:ascii="Times New Roman" w:cs="Times New Roman" w:eastAsia="Times New Roman" w:hAnsi="Times New Roman"/>
          <w:sz w:val="18"/>
          <w:szCs w:val="18"/>
          <w:color w:val="auto"/>
        </w:rPr>
        <w:t>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79"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50"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spacing w:after="0" w:line="72"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7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1" w:lineRule="exact"/>
        <w:rPr>
          <w:sz w:val="20"/>
          <w:szCs w:val="20"/>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03" w:lineRule="exact"/>
        <w:rPr>
          <w:rFonts w:ascii="Times New Roman" w:cs="Times New Roman" w:eastAsia="Times New Roman" w:hAnsi="Times New Roman"/>
          <w:sz w:val="18"/>
          <w:szCs w:val="18"/>
          <w:color w:val="auto"/>
        </w:rPr>
      </w:pPr>
    </w:p>
    <w:p>
      <w:pPr>
        <w:jc w:val="both"/>
        <w:ind w:left="1260" w:right="320" w:hanging="503"/>
        <w:spacing w:after="0" w:line="258"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1" w:lineRule="exact"/>
        <w:rPr>
          <w:rFonts w:ascii="Times New Roman" w:cs="Times New Roman" w:eastAsia="Times New Roman" w:hAnsi="Times New Roman"/>
          <w:sz w:val="18"/>
          <w:szCs w:val="18"/>
          <w:color w:val="auto"/>
        </w:rPr>
      </w:pPr>
    </w:p>
    <w:p>
      <w:pPr>
        <w:ind w:left="1260" w:right="400" w:hanging="503"/>
        <w:spacing w:after="0" w:line="282"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03" w:lineRule="exact"/>
        <w:rPr>
          <w:rFonts w:ascii="Times New Roman" w:cs="Times New Roman" w:eastAsia="Times New Roman" w:hAnsi="Times New Roman"/>
          <w:sz w:val="18"/>
          <w:szCs w:val="18"/>
          <w:color w:val="auto"/>
        </w:rPr>
      </w:pPr>
    </w:p>
    <w:p>
      <w:pPr>
        <w:ind w:left="1260" w:right="480" w:hanging="503"/>
        <w:spacing w:after="0" w:line="266"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68"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financial results could be adversely impacted by the COVID-19 pandemic in the United States and the rest of the world.</w:t>
      </w:r>
    </w:p>
    <w:p>
      <w:pPr>
        <w:spacing w:after="0" w:line="10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3" w:name="page34"/>
    <w:bookmarkEnd w:id="33"/>
    <w:p>
      <w:pPr>
        <w:ind w:right="40"/>
        <w:spacing w:after="0" w:line="258" w:lineRule="auto"/>
        <w:rPr>
          <w:sz w:val="20"/>
          <w:szCs w:val="20"/>
          <w:color w:val="auto"/>
        </w:rPr>
      </w:pPr>
      <w:r>
        <w:rPr>
          <w:rFonts w:ascii="Times New Roman" w:cs="Times New Roman" w:eastAsia="Times New Roman" w:hAnsi="Times New Roman"/>
          <w:sz w:val="18"/>
          <w:szCs w:val="18"/>
          <w:color w:val="auto"/>
        </w:rPr>
        <w:t>governments in affected regions, many commercial activities, businesses and schools were suspended as part of quarantines and other measures intended to contain this pandemic. Due to the continued COVID-19 pandemic, including the spread of variants, we may experience disruptions that could severely impact our business and clinical trials, including:</w:t>
      </w:r>
    </w:p>
    <w:p>
      <w:pPr>
        <w:spacing w:after="0" w:line="61" w:lineRule="exact"/>
        <w:rPr>
          <w:sz w:val="20"/>
          <w:szCs w:val="20"/>
          <w:color w:val="auto"/>
        </w:rPr>
      </w:pPr>
    </w:p>
    <w:p>
      <w:pPr>
        <w:ind w:left="1260" w:right="260" w:hanging="503"/>
        <w:spacing w:after="0" w:line="282"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40" w:lineRule="exact"/>
        <w:rPr>
          <w:rFonts w:ascii="Times New Roman" w:cs="Times New Roman" w:eastAsia="Times New Roman" w:hAnsi="Times New Roman"/>
          <w:sz w:val="18"/>
          <w:szCs w:val="18"/>
          <w:color w:val="auto"/>
        </w:rPr>
      </w:pPr>
    </w:p>
    <w:p>
      <w:pPr>
        <w:ind w:left="1260" w:right="340" w:hanging="503"/>
        <w:spacing w:after="0" w:line="266"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ongoing and increased operational expenses related to the COVID-19 pandemic;</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03" w:lineRule="exact"/>
        <w:rPr>
          <w:rFonts w:ascii="Times New Roman" w:cs="Times New Roman" w:eastAsia="Times New Roman" w:hAnsi="Times New Roman"/>
          <w:sz w:val="18"/>
          <w:szCs w:val="18"/>
          <w:color w:val="auto"/>
        </w:rPr>
      </w:pPr>
    </w:p>
    <w:p>
      <w:pPr>
        <w:ind w:left="1260" w:right="140" w:hanging="503"/>
        <w:spacing w:after="0" w:line="266"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7" w:lineRule="exact"/>
        <w:rPr>
          <w:rFonts w:ascii="Times New Roman" w:cs="Times New Roman" w:eastAsia="Times New Roman" w:hAnsi="Times New Roman"/>
          <w:sz w:val="18"/>
          <w:szCs w:val="18"/>
          <w:color w:val="auto"/>
        </w:rPr>
      </w:pPr>
    </w:p>
    <w:p>
      <w:pPr>
        <w:ind w:left="1260" w:right="180" w:hanging="503"/>
        <w:spacing w:after="0" w:line="266"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4" w:lineRule="exact"/>
        <w:rPr>
          <w:rFonts w:ascii="Times New Roman" w:cs="Times New Roman" w:eastAsia="Times New Roman" w:hAnsi="Times New Roman"/>
          <w:sz w:val="18"/>
          <w:szCs w:val="18"/>
          <w:color w:val="auto"/>
        </w:rPr>
      </w:pPr>
    </w:p>
    <w:p>
      <w:pPr>
        <w:ind w:left="1260" w:hanging="503"/>
        <w:spacing w:after="0" w:line="258"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6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03" w:lineRule="exact"/>
        <w:rPr>
          <w:rFonts w:ascii="Times New Roman" w:cs="Times New Roman" w:eastAsia="Times New Roman" w:hAnsi="Times New Roman"/>
          <w:sz w:val="18"/>
          <w:szCs w:val="18"/>
          <w:color w:val="auto"/>
        </w:rPr>
      </w:pPr>
    </w:p>
    <w:p>
      <w:pPr>
        <w:ind w:left="1260" w:right="360" w:hanging="503"/>
        <w:spacing w:after="0" w:line="266"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that may affect the transport of clinical trial materials, such as investigational drug product used in our clinical trials;</w:t>
      </w:r>
    </w:p>
    <w:p>
      <w:pPr>
        <w:spacing w:after="0" w:line="67" w:lineRule="exact"/>
        <w:rPr>
          <w:rFonts w:ascii="Times New Roman" w:cs="Times New Roman" w:eastAsia="Times New Roman" w:hAnsi="Times New Roman"/>
          <w:sz w:val="18"/>
          <w:szCs w:val="18"/>
          <w:color w:val="auto"/>
        </w:rPr>
      </w:pPr>
    </w:p>
    <w:p>
      <w:pPr>
        <w:ind w:left="1260" w:right="260" w:hanging="503"/>
        <w:spacing w:after="0" w:line="266"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54" w:lineRule="exact"/>
        <w:rPr>
          <w:rFonts w:ascii="Times New Roman" w:cs="Times New Roman" w:eastAsia="Times New Roman" w:hAnsi="Times New Roman"/>
          <w:sz w:val="18"/>
          <w:szCs w:val="18"/>
          <w:color w:val="auto"/>
        </w:rPr>
      </w:pPr>
    </w:p>
    <w:p>
      <w:pPr>
        <w:ind w:left="1260" w:right="420" w:hanging="503"/>
        <w:spacing w:after="0" w:line="282"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10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61"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Our primary operations are located in South San Francisco and San Diego. As a result of county and California stay-at-home orders being lifted, the portion of our employees that were telecommuting are in the process of returning to our physical locations at both sites. As our employees begin to return to work in our physical locations, our employees may be exposed to COVID-19 (including variants),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spacing w:after="0" w:line="8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7"/>
          <w:szCs w:val="17"/>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ongoing COVID-19 pandemic, there could be delays in the manufacturing supply chain, which could delay or otherwise impact procurement of materials for certain of our ongoing or planned studies of ORIC-533, ORIC-114 or ORIC-944. Specifically, we have recently experienced increased difficulty shipping materials to and from China, which has delayed the receipt and delivery of such materials and resulted in increased shipping costs.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spacing w:after="0" w:line="243" w:lineRule="auto"/>
        <w:rPr>
          <w:sz w:val="20"/>
          <w:szCs w:val="20"/>
          <w:color w:val="auto"/>
        </w:rPr>
      </w:pPr>
      <w:r>
        <w:rPr>
          <w:rFonts w:ascii="Times New Roman" w:cs="Times New Roman" w:eastAsia="Times New Roman" w:hAnsi="Times New Roman"/>
          <w:sz w:val="18"/>
          <w:szCs w:val="18"/>
          <w:color w:val="auto"/>
        </w:rPr>
        <w:t>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7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6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3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60"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are exploring predictive biomarkers to determine patient selection for our clinical trials and to evaluate whether a companion diagnostic test will be required for any of our product candidates.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78"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our programs in combination with other therapies, which exposes us to additional risks.</w:t>
      </w:r>
    </w:p>
    <w:p>
      <w:pPr>
        <w:spacing w:after="0" w:line="108"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78"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6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5" w:name="page36"/>
    <w:bookmarkEnd w:id="35"/>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resources and are focusing our efforts on developing ORIC-533, ORIC-114 and ORIC-944, and advancing our preclinical programs.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we may fail to capitalize on other indications or product candidates that may ultimately have proven to be more profitable.</w:t>
      </w:r>
    </w:p>
    <w:p>
      <w:pPr>
        <w:spacing w:after="0" w:line="84"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We focus our resources and efforts on developing ORIC-533, ORIC-114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ORIC-533, ORIC-114, ORIC-944 and other preclinical programs, may not yield any commercially viable drugs. If we do not accurately evaluate the commercial potential or target markets for ORIC-533, ORIC-114,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7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4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7"/>
          <w:szCs w:val="17"/>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ORIC-533,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clincial trials against this target. To our knowledge, only Antengene has an orally available, small molecule CD73 inhibitor in an active clinical trial for patients with cancer. For ORIC-944, we are aware of several companies developing inhibitors against PRC2 via EZH2 inhibition that are currently in clinical trials, including Epizyme, Morphosys, Daiichi Sankyo, Pfizer, Shanghai HaiHe Pharmaceutical and Jiangsu Hengrui Medicine Co. To our knowledge, only Novartis has an allosteric PRC2 inhibitor in a clinical trial for patients with cancer. For ORIC-114, we are aware of two companies with an FDA approved product for patients with EGFR exon 20 insertion mutations, including Takeda and The Janssen Pharmaceutical Companies of Johnson</w:t>
      </w:r>
    </w:p>
    <w:p>
      <w:pPr>
        <w:spacing w:after="0" w:line="1" w:lineRule="exact"/>
        <w:rPr>
          <w:sz w:val="20"/>
          <w:szCs w:val="20"/>
          <w:color w:val="auto"/>
        </w:rPr>
      </w:pPr>
    </w:p>
    <w:p>
      <w:pPr>
        <w:ind w:right="20" w:firstLine="8"/>
        <w:spacing w:after="0" w:line="241" w:lineRule="auto"/>
        <w:tabs>
          <w:tab w:leader="none" w:pos="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We are also aware of several companies developing inhibitors against EGFR or HER2 exon 20 insertion mutations that are currently in clinical trials, including Spectrum Pharmaceuticals, Jiangsu Hengrui Medicine Co., Daiichi Sankyo, Dizal Pharmaceuticals, Cullinan Oncology, Bayer, Allist Pharmaceuticals and Blueprint Medicines. Additionally, Seattle Genetics has an FDA approved product for the treatment of patients with HER2-positive breast cancer, including patients with brain metastases. We are also aware that Dizal Pharmaceuticals is developing a brain penetrant inhibitor currently in a clinical trial for patients with HER2-positive breast cancer.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right="300"/>
        <w:spacing w:after="0" w:line="258" w:lineRule="auto"/>
        <w:rPr>
          <w:sz w:val="20"/>
          <w:szCs w:val="20"/>
          <w:color w:val="auto"/>
        </w:rPr>
      </w:pPr>
      <w:r>
        <w:rPr>
          <w:rFonts w:ascii="Times New Roman" w:cs="Times New Roman" w:eastAsia="Times New Roman" w:hAnsi="Times New Roman"/>
          <w:sz w:val="18"/>
          <w:szCs w:val="18"/>
          <w:color w:val="auto"/>
        </w:rPr>
        <w:t>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6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8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81"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08"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6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3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61" w:lineRule="exact"/>
        <w:rPr>
          <w:sz w:val="20"/>
          <w:szCs w:val="20"/>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260" w:right="100" w:hanging="503"/>
        <w:spacing w:after="0" w:line="250"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2"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7" w:name="page38"/>
    <w:bookmarkEnd w:id="37"/>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260" w:right="380" w:hanging="503"/>
        <w:spacing w:after="0" w:line="266"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0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we develop, if approved, may be limited to certain smaller patient subsets.</w:t>
      </w:r>
    </w:p>
    <w:p>
      <w:pPr>
        <w:spacing w:after="0" w:line="108"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87"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spacing w:after="0" w:line="69" w:lineRule="exact"/>
        <w:rPr>
          <w:sz w:val="20"/>
          <w:szCs w:val="20"/>
          <w:color w:val="auto"/>
        </w:rPr>
      </w:pPr>
    </w:p>
    <w:p>
      <w:pPr>
        <w:ind w:right="700" w:firstLine="749"/>
        <w:spacing w:after="0" w:line="266" w:lineRule="auto"/>
        <w:rPr>
          <w:sz w:val="20"/>
          <w:szCs w:val="20"/>
          <w:color w:val="auto"/>
        </w:rPr>
      </w:pPr>
      <w:r>
        <w:rPr>
          <w:rFonts w:ascii="Times New Roman" w:cs="Times New Roman" w:eastAsia="Times New Roman" w:hAnsi="Times New Roman"/>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augmenting our product pipeline through acquisitions and in-licenses.</w:t>
      </w:r>
    </w:p>
    <w:p>
      <w:pPr>
        <w:spacing w:after="0" w:line="108"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4"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ind w:firstLine="749"/>
        <w:spacing w:after="0" w:line="246"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1"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78"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69"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7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3"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0" w:lineRule="exact"/>
        <w:rPr>
          <w:sz w:val="20"/>
          <w:szCs w:val="20"/>
          <w:color w:val="auto"/>
        </w:rPr>
      </w:pPr>
    </w:p>
    <w:p>
      <w:pPr>
        <w:ind w:right="140" w:firstLine="749"/>
        <w:spacing w:after="0" w:line="242"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may be unable to commercialize our product candidates.</w:t>
      </w:r>
    </w:p>
    <w:p>
      <w:pPr>
        <w:spacing w:after="0" w:line="108"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72"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73"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92" w:lineRule="exact"/>
        <w:rPr>
          <w:sz w:val="20"/>
          <w:szCs w:val="20"/>
          <w:color w:val="auto"/>
        </w:rPr>
      </w:pPr>
    </w:p>
    <w:p>
      <w:pPr>
        <w:jc w:val="both"/>
        <w:ind w:right="20" w:firstLine="749"/>
        <w:spacing w:after="0" w:line="245"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82"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0"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0" w:name="page41"/>
    <w:bookmarkEnd w:id="40"/>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7"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8" w:lineRule="exact"/>
        <w:rPr>
          <w:sz w:val="20"/>
          <w:szCs w:val="20"/>
          <w:color w:val="auto"/>
        </w:rPr>
      </w:pPr>
    </w:p>
    <w:p>
      <w:pPr>
        <w:ind w:right="300" w:firstLine="749"/>
        <w:spacing w:after="0" w:line="250"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08"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95" w:lineRule="exact"/>
        <w:rPr>
          <w:sz w:val="20"/>
          <w:szCs w:val="20"/>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1" w:name="page42"/>
    <w:bookmarkEnd w:id="41"/>
    <w:p>
      <w:pPr>
        <w:ind w:firstLine="749"/>
        <w:spacing w:after="0" w:line="250"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83"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if approved, and generate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91"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81" w:lineRule="exact"/>
        <w:rPr>
          <w:sz w:val="20"/>
          <w:szCs w:val="20"/>
          <w:color w:val="auto"/>
        </w:rPr>
      </w:pPr>
    </w:p>
    <w:p>
      <w:pPr>
        <w:ind w:right="120" w:firstLine="749"/>
        <w:spacing w:after="0" w:line="242" w:lineRule="auto"/>
        <w:rPr>
          <w:sz w:val="20"/>
          <w:szCs w:val="20"/>
          <w:color w:val="auto"/>
        </w:rPr>
      </w:pPr>
      <w:r>
        <w:rPr>
          <w:rFonts w:ascii="Times New Roman" w:cs="Times New Roman" w:eastAsia="Times New Roman" w:hAnsi="Times New Roman"/>
          <w:sz w:val="18"/>
          <w:szCs w:val="18"/>
          <w:color w:val="auto"/>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80"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ind w:right="140"/>
        <w:spacing w:after="0" w:line="243" w:lineRule="auto"/>
        <w:rPr>
          <w:sz w:val="20"/>
          <w:szCs w:val="20"/>
          <w:color w:val="auto"/>
        </w:rPr>
      </w:pPr>
      <w:r>
        <w:rPr>
          <w:rFonts w:ascii="Times New Roman" w:cs="Times New Roman" w:eastAsia="Times New Roman" w:hAnsi="Times New Roman"/>
          <w:sz w:val="18"/>
          <w:szCs w:val="18"/>
          <w:color w:val="auto"/>
        </w:rPr>
        <w:t>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7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37"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5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64"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87"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87"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ind w:right="10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9"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81"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08"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of 2010, as amended by the Health Care and Education</w:t>
      </w:r>
    </w:p>
    <w:p>
      <w:pPr>
        <w:spacing w:after="0" w:line="1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In June 2021, the United States Supreme Court held that Texas and other challengers had no legal standing to challenge the ACA, dismissing the case without specifically ruling on the constitutionality of the ACA.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93"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4" w:name="page45"/>
    <w:bookmarkEnd w:id="44"/>
    <w:p>
      <w:pPr>
        <w:ind w:right="300"/>
        <w:spacing w:after="0" w:line="282" w:lineRule="auto"/>
        <w:rPr>
          <w:sz w:val="20"/>
          <w:szCs w:val="20"/>
          <w:color w:val="auto"/>
        </w:rPr>
      </w:pPr>
      <w:r>
        <w:rPr>
          <w:rFonts w:ascii="Times New Roman" w:cs="Times New Roman" w:eastAsia="Times New Roman" w:hAnsi="Times New Roman"/>
          <w:sz w:val="18"/>
          <w:szCs w:val="18"/>
          <w:color w:val="auto"/>
        </w:rPr>
        <w:t>new laws may result in additional reductions in Medicare and other healthcare funding, which could have a material adverse effect on customers for our drugs, if approved, and accordingly, our financial operations.</w:t>
      </w:r>
    </w:p>
    <w:p>
      <w:pPr>
        <w:spacing w:after="0" w:line="40"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87"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78"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9"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73"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w:t>
      </w:r>
    </w:p>
    <w:p>
      <w:pPr>
        <w:jc w:val="both"/>
        <w:ind w:right="100"/>
        <w:spacing w:after="0" w:line="228" w:lineRule="auto"/>
        <w:rPr>
          <w:sz w:val="20"/>
          <w:szCs w:val="20"/>
          <w:color w:val="auto"/>
        </w:rPr>
      </w:pPr>
      <w:r>
        <w:rPr>
          <w:rFonts w:ascii="Times New Roman" w:cs="Times New Roman" w:eastAsia="Times New Roman" w:hAnsi="Times New Roman"/>
          <w:sz w:val="18"/>
          <w:szCs w:val="18"/>
          <w:color w:val="auto"/>
        </w:rPr>
        <w:t>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65"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ind w:right="160"/>
        <w:spacing w:after="0" w:line="247" w:lineRule="auto"/>
        <w:rPr>
          <w:sz w:val="20"/>
          <w:szCs w:val="20"/>
          <w:color w:val="auto"/>
        </w:rPr>
      </w:pPr>
      <w:r>
        <w:rPr>
          <w:rFonts w:ascii="Times New Roman" w:cs="Times New Roman" w:eastAsia="Times New Roman" w:hAnsi="Times New Roman"/>
          <w:sz w:val="18"/>
          <w:szCs w:val="18"/>
          <w:color w:val="auto"/>
        </w:rPr>
        <w:t>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in 2020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72"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Further, the exit from the EU of the United Kingdom (UK),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require us to incur significant costs and expenses in an effort to comply with distinct privacy and data protection requirements in the EU and UK. More generally, we may incur liabilities, expenses, costs, and other operational losses under GDPR and the privacy and data protection laws of applicable EU member states and the United Kingdom in connection with any measures we take to comply with them.</w:t>
      </w:r>
    </w:p>
    <w:p>
      <w:pPr>
        <w:spacing w:after="0" w:line="73"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Additionally, the California Privacy Rights Act (CPRA) was approved by California voters in November 2020. The CPRA significantly modified the CCPA, which may require us to modify our practices and policies and may further increase our compliance costs and potential liability. Some observers note that the CCPA could mark the beginning of a trend toward more stringent privacy legislation in the U.S., which could increase our potential liability and adversely affect our business. In addition to the CCPA, numerous other states’ legislatures are considering similar laws that will require ongoing compliance efforts and investment. For example, in March 2021, Virginia enacted a Consumer Data Protection Act that will go into effect on January 1, 2023 and in June 2021, Colorado enacted a Colorado Privacy Act that will go into effect on July 1, 2023, both of which share similarities with the CCPA, CPRA, and legislation proposed in other states.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spacing w:after="0" w:line="7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69"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6" w:name="page47"/>
    <w:bookmarkEnd w:id="46"/>
    <w:p>
      <w:pPr>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penalties, contractual damages, exclusion from governmental healthcare programs, reputational harm, administrative burdens and diminished profits and future earnings.</w:t>
      </w:r>
    </w:p>
    <w:p>
      <w:pPr>
        <w:spacing w:after="0" w:line="76"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3" w:lineRule="exact"/>
        <w:rPr>
          <w:sz w:val="20"/>
          <w:szCs w:val="20"/>
          <w:color w:val="auto"/>
        </w:rPr>
      </w:pPr>
    </w:p>
    <w:p>
      <w:pPr>
        <w:ind w:left="1260" w:right="60" w:hanging="503"/>
        <w:spacing w:after="0" w:line="228"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63" w:lineRule="exact"/>
        <w:rPr>
          <w:rFonts w:ascii="Times New Roman" w:cs="Times New Roman" w:eastAsia="Times New Roman" w:hAnsi="Times New Roman"/>
          <w:sz w:val="18"/>
          <w:szCs w:val="18"/>
          <w:color w:val="auto"/>
        </w:rPr>
      </w:pPr>
    </w:p>
    <w:p>
      <w:pPr>
        <w:ind w:left="1260" w:right="120" w:hanging="503"/>
        <w:spacing w:after="0" w:line="228"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3" w:lineRule="exact"/>
        <w:rPr>
          <w:rFonts w:ascii="Times New Roman" w:cs="Times New Roman" w:eastAsia="Times New Roman" w:hAnsi="Times New Roman"/>
          <w:sz w:val="18"/>
          <w:szCs w:val="18"/>
          <w:color w:val="auto"/>
        </w:rPr>
      </w:pPr>
    </w:p>
    <w:p>
      <w:pPr>
        <w:ind w:left="1260" w:right="40" w:hanging="503"/>
        <w:spacing w:after="0" w:line="250"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prohibits, among other things, executing or attempting to execute a scheme to defraud any healthcare benefit program or making false statements relating to healthcare matters;</w:t>
      </w:r>
    </w:p>
    <w:p>
      <w:pPr>
        <w:spacing w:after="0" w:line="54" w:lineRule="exact"/>
        <w:rPr>
          <w:rFonts w:ascii="Times New Roman" w:cs="Times New Roman" w:eastAsia="Times New Roman" w:hAnsi="Times New Roman"/>
          <w:sz w:val="18"/>
          <w:szCs w:val="18"/>
          <w:color w:val="auto"/>
        </w:rPr>
      </w:pPr>
    </w:p>
    <w:p>
      <w:pPr>
        <w:ind w:left="1260" w:right="340" w:hanging="503"/>
        <w:spacing w:after="0" w:line="242" w:lineRule="auto"/>
        <w:tabs>
          <w:tab w:leader="none" w:pos="12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7"/>
          <w:szCs w:val="17"/>
          <w:color w:val="auto"/>
        </w:rPr>
      </w:pPr>
    </w:p>
    <w:p>
      <w:pPr>
        <w:ind w:left="1260" w:right="20" w:hanging="503"/>
        <w:spacing w:after="0" w:line="244"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87" w:lineRule="exact"/>
        <w:rPr>
          <w:rFonts w:ascii="Times New Roman" w:cs="Times New Roman" w:eastAsia="Times New Roman" w:hAnsi="Times New Roman"/>
          <w:sz w:val="18"/>
          <w:szCs w:val="18"/>
          <w:color w:val="auto"/>
        </w:rPr>
      </w:pPr>
    </w:p>
    <w:p>
      <w:pPr>
        <w:ind w:left="1260" w:right="20" w:hanging="503"/>
        <w:spacing w:after="0" w:line="243"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78"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7" w:name="page48"/>
    <w:bookmarkEnd w:id="47"/>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37"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78"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78"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73"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5"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73"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61"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48" w:name="page49"/>
    <w:bookmarkEnd w:id="48"/>
    <w:p>
      <w:pPr>
        <w:spacing w:after="0" w:line="250" w:lineRule="auto"/>
        <w:rPr>
          <w:sz w:val="20"/>
          <w:szCs w:val="20"/>
          <w:color w:val="auto"/>
        </w:rPr>
      </w:pPr>
      <w:r>
        <w:rPr>
          <w:rFonts w:ascii="Times New Roman" w:cs="Times New Roman" w:eastAsia="Times New Roman" w:hAnsi="Times New Roman"/>
          <w:sz w:val="18"/>
          <w:szCs w:val="18"/>
          <w:color w:val="auto"/>
        </w:rPr>
        <w:t>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83"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9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54"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17"/>
          <w:szCs w:val="17"/>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0"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spacing w:after="0" w:line="72"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87"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8"/>
          <w:szCs w:val="18"/>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78"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4"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7"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6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4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3"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81"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74" w:lineRule="exact"/>
        <w:rPr>
          <w:sz w:val="20"/>
          <w:szCs w:val="20"/>
          <w:color w:val="auto"/>
        </w:rPr>
      </w:pPr>
    </w:p>
    <w:p>
      <w:pPr>
        <w:ind w:right="240"/>
        <w:spacing w:after="0" w:line="270" w:lineRule="auto"/>
        <w:rPr>
          <w:sz w:val="20"/>
          <w:szCs w:val="20"/>
          <w:color w:val="auto"/>
        </w:rPr>
      </w:pPr>
      <w:r>
        <w:rPr>
          <w:rFonts w:ascii="Calibri" w:cs="Calibri" w:eastAsia="Calibri" w:hAnsi="Calibri"/>
          <w:sz w:val="18"/>
          <w:szCs w:val="18"/>
          <w:b w:val="1"/>
          <w:bCs w:val="1"/>
          <w:i w:val="1"/>
          <w:iCs w:val="1"/>
          <w:color w:val="auto"/>
        </w:rPr>
        <w:t>I</w:t>
      </w:r>
      <w:r>
        <w:rPr>
          <w:rFonts w:ascii="Times New Roman" w:cs="Times New Roman" w:eastAsia="Times New Roman" w:hAnsi="Times New Roman"/>
          <w:sz w:val="18"/>
          <w:szCs w:val="18"/>
          <w:b w:val="1"/>
          <w:bCs w:val="1"/>
          <w:i w:val="1"/>
          <w:iCs w:val="1"/>
          <w:color w:val="auto"/>
        </w:rPr>
        <w:t>f we fail to comply with California laws or Nasdaq rules governing the diversity of our board of directors, we could be exposed to financial penalties</w:t>
      </w:r>
      <w:r>
        <w:rPr>
          <w:rFonts w:ascii="Calibri" w:cs="Calibri" w:eastAsia="Calibri" w:hAnsi="Calibri"/>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rPr>
        <w:t>and suffer reputational harm.</w:t>
      </w:r>
    </w:p>
    <w:p>
      <w:pPr>
        <w:spacing w:after="0" w:line="50"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 executive office in California was required to have at least one female on its board of directors. By December 31, 2021, each public company with a principal executive office in California was required to have at least two females on its board of directors if such company has at least five directors, and at least three females on its board of directors if such company has at least six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0" w:name="page51"/>
    <w:bookmarkEnd w:id="50"/>
    <w:p>
      <w:pPr>
        <w:ind w:firstLine="794"/>
        <w:spacing w:after="0" w:line="250" w:lineRule="auto"/>
        <w:rPr>
          <w:sz w:val="20"/>
          <w:szCs w:val="20"/>
          <w:color w:val="auto"/>
        </w:rPr>
      </w:pPr>
      <w:r>
        <w:rPr>
          <w:rFonts w:ascii="Times New Roman" w:cs="Times New Roman" w:eastAsia="Times New Roman" w:hAnsi="Times New Roman"/>
          <w:sz w:val="18"/>
          <w:szCs w:val="18"/>
          <w:color w:val="auto"/>
        </w:rPr>
        <w:t>Additionally, in September 2020, Assembly Bill 979 was signed into law. Assembly Bill 979 generally required that a public company with a principal executive office in California have a minimum number of directors from underrepresented communities, with such minimum number dependent on the size of such board of directors. On April 1, 2022, the Los Angeles County Superior Court in California found that Assembly Bill 979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6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 for companies listed on the Nasdaq Global Select Market, this disclosure requirement would require one diverse director two years after rule adoption and two diverse directors four years after rule adoption.</w:t>
      </w:r>
    </w:p>
    <w:p>
      <w:pPr>
        <w:spacing w:after="0" w:line="78" w:lineRule="exact"/>
        <w:rPr>
          <w:sz w:val="20"/>
          <w:szCs w:val="20"/>
          <w:color w:val="auto"/>
        </w:rPr>
      </w:pPr>
    </w:p>
    <w:p>
      <w:pPr>
        <w:ind w:right="120" w:firstLine="749"/>
        <w:spacing w:after="0" w:line="245" w:lineRule="auto"/>
        <w:rPr>
          <w:sz w:val="20"/>
          <w:szCs w:val="20"/>
          <w:color w:val="auto"/>
        </w:rPr>
      </w:pPr>
      <w:r>
        <w:rPr>
          <w:rFonts w:ascii="Times New Roman" w:cs="Times New Roman" w:eastAsia="Times New Roman" w:hAnsi="Times New Roman"/>
          <w:sz w:val="18"/>
          <w:szCs w:val="18"/>
          <w:color w:val="auto"/>
        </w:rPr>
        <w:t>Our board of directors currently includes three female directors and two directors from an underrepresented community. Based on the current composition of our board of directors we are in compliance with Senate Bill 826. Failure to maintain the required composition of our board of directors may result in a violation of Senate Bill 826. An initial violation may result in a fine from the California Secretary of State in the amount of $100,000, with each subsequent violation resulting in a fine of $300,000.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or the Nasdaq rule, which may expose us to financial penalties and adversely affect our reputation.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08"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7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87"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6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50"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83"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1" w:name="page52"/>
    <w:bookmarkEnd w:id="51"/>
    <w:p>
      <w:pPr>
        <w:spacing w:after="0" w:line="244" w:lineRule="auto"/>
        <w:rPr>
          <w:sz w:val="20"/>
          <w:szCs w:val="20"/>
          <w:color w:val="auto"/>
        </w:rPr>
      </w:pPr>
      <w:r>
        <w:rPr>
          <w:rFonts w:ascii="Times New Roman" w:cs="Times New Roman" w:eastAsia="Times New Roman" w:hAnsi="Times New Roman"/>
          <w:sz w:val="18"/>
          <w:szCs w:val="18"/>
          <w:color w:val="auto"/>
        </w:rPr>
        <w:t>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7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jc w:val="both"/>
        <w:ind w:right="180" w:firstLine="749"/>
        <w:spacing w:after="0" w:line="250" w:lineRule="auto"/>
        <w:rPr>
          <w:sz w:val="20"/>
          <w:szCs w:val="20"/>
          <w:color w:val="auto"/>
        </w:rPr>
      </w:pPr>
      <w:r>
        <w:rPr>
          <w:rFonts w:ascii="Times New Roman" w:cs="Times New Roman" w:eastAsia="Times New Roman" w:hAnsi="Times New Roman"/>
          <w:sz w:val="18"/>
          <w:szCs w:val="18"/>
          <w:color w:val="auto"/>
        </w:rPr>
        <w:t>As of March 31, 2022, we had 79 full-time employees, including 57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82" w:lineRule="exact"/>
        <w:rPr>
          <w:sz w:val="20"/>
          <w:szCs w:val="20"/>
          <w:color w:val="auto"/>
        </w:rPr>
      </w:pPr>
    </w:p>
    <w:p>
      <w:pPr>
        <w:ind w:left="1260" w:hanging="50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03" w:lineRule="exact"/>
        <w:rPr>
          <w:rFonts w:ascii="Times New Roman" w:cs="Times New Roman" w:eastAsia="Times New Roman" w:hAnsi="Times New Roman"/>
          <w:sz w:val="18"/>
          <w:szCs w:val="18"/>
          <w:color w:val="auto"/>
        </w:rPr>
      </w:pPr>
    </w:p>
    <w:p>
      <w:pPr>
        <w:ind w:left="1260" w:right="420" w:hanging="503"/>
        <w:spacing w:after="0" w:line="258"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6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1"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7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5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80"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and otherwise processed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If any disruption or security breach or incident were to result in any loss, destruction, unavailability, alteration, disclosure, or dissemination of, or damage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2" w:name="page53"/>
    <w:bookmarkEnd w:id="52"/>
    <w:p>
      <w:pPr>
        <w:spacing w:after="0" w:line="241" w:lineRule="auto"/>
        <w:rPr>
          <w:sz w:val="20"/>
          <w:szCs w:val="20"/>
          <w:color w:val="auto"/>
        </w:rPr>
      </w:pPr>
      <w:r>
        <w:rPr>
          <w:rFonts w:ascii="Times New Roman" w:cs="Times New Roman" w:eastAsia="Times New Roman" w:hAnsi="Times New Roman"/>
          <w:sz w:val="18"/>
          <w:szCs w:val="18"/>
          <w:color w:val="auto"/>
        </w:rPr>
        <w:t>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98"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18"/>
          <w:szCs w:val="18"/>
          <w:color w:val="auto"/>
        </w:rPr>
        <w:t>Notifications and follow-up actions related to a security breach or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If any disruption or security incident were to result in any disruption of our operations or loss, destruction, or alteration of, or damage or unauthorized access to, our data or other information that is processed or maintained on our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95"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3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50"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10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Our net operating loss (NOL) carryforwards may be unavailable to offset future taxable income because of restrictions under U.S. tax law. Our NOLs generated in tax years beginning prior to January 1, 2018 are only permitted to be carried forward for 20</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taxable years under applicable U.S. federal tax law, and therefore could expire unused. Under tax legislation commonly referred to as the Tax Cuts and Jobs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(Tax Act) as amended by the Coronavirus Aid, Relief, and Economic Security Act (CARES Act), our federal NOLs generated in tax years beginning</w:t>
      </w:r>
    </w:p>
    <w:p>
      <w:pPr>
        <w:spacing w:after="0" w:line="234" w:lineRule="auto"/>
        <w:rPr>
          <w:sz w:val="20"/>
          <w:szCs w:val="20"/>
          <w:color w:val="auto"/>
        </w:rPr>
      </w:pPr>
      <w:r>
        <w:rPr>
          <w:rFonts w:ascii="Times New Roman" w:cs="Times New Roman" w:eastAsia="Times New Roman" w:hAnsi="Times New Roman"/>
          <w:sz w:val="18"/>
          <w:szCs w:val="18"/>
          <w:color w:val="auto"/>
        </w:rPr>
        <w:t>after December 31, 2017 may be carried forward indefinitely, but for taxable years beginning after December 31, 2020, the deductibility of federal NOLs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generated in tax years beginning after December 31, 2017 is limited to 80% of our current year taxable income. As of December 31, 2021, we had available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NOL carryforwards of $198.2 million, of which $156.6 million do not expire. We also had available California NOL carryforwards of approximately</w:t>
      </w:r>
    </w:p>
    <w:p>
      <w:pPr>
        <w:spacing w:after="0" w:line="234" w:lineRule="auto"/>
        <w:rPr>
          <w:sz w:val="20"/>
          <w:szCs w:val="20"/>
          <w:color w:val="auto"/>
        </w:rPr>
      </w:pPr>
      <w:r>
        <w:rPr>
          <w:rFonts w:ascii="Times New Roman" w:cs="Times New Roman" w:eastAsia="Times New Roman" w:hAnsi="Times New Roman"/>
          <w:sz w:val="18"/>
          <w:szCs w:val="18"/>
          <w:color w:val="auto"/>
        </w:rPr>
        <w:t>$197.3 million as of December 31, 2021, which begin to expire in 2034 and are subject to limitation on use. In addition, as of December 31, 2021, we had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California research and development credit carryforwards totaling $6.1 million and $3.9 million, respectively. The federal credits begin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in 2034 unless previously utilized, while the state credits do not expire.</w:t>
      </w:r>
    </w:p>
    <w:p>
      <w:pPr>
        <w:spacing w:after="0" w:line="85"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materially adversely affect our company.</w:t>
      </w:r>
    </w:p>
    <w:p>
      <w:pPr>
        <w:spacing w:after="0" w:line="121"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Recent legislation commonly known as the Tax Act, significantly revises the Code. The Tax Act, as amended by the CARES Act, among other things, reduces the corporate tax rate from a top marginal rate of 35% to a flat rate of 21%, limits the tax deduction for interest expense and modifies or repeals many business deductions and credits. Our financial statements included elsewhere in this periodic report reflect the effects of the Tax Act based on current guidance. However, there remain uncertainties and ambiguities in the application of certain provisions of the Tax Act and, as a result, we made certain judgments and assumptions in the interpretation thereof.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current administration in the United States and congressional decisions made in the near future may result in increased corporate tax. For example, the current administration has proposed increasing the corporate tax rate, among other changes. If enacted, such legislation may increase the amount of tax we may owe in future taxable years, which may adversely impact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materially adversely affect our business.</w:t>
      </w:r>
    </w:p>
    <w:p>
      <w:pPr>
        <w:spacing w:after="0" w:line="108"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8" w:lineRule="exact"/>
        <w:rPr>
          <w:sz w:val="20"/>
          <w:szCs w:val="20"/>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03"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03" w:lineRule="exact"/>
        <w:rPr>
          <w:rFonts w:ascii="Times New Roman" w:cs="Times New Roman" w:eastAsia="Times New Roman" w:hAnsi="Times New Roman"/>
          <w:sz w:val="18"/>
          <w:szCs w:val="18"/>
          <w:color w:val="auto"/>
        </w:rPr>
      </w:pPr>
    </w:p>
    <w:p>
      <w:pPr>
        <w:ind w:left="1260" w:right="160" w:hanging="503"/>
        <w:spacing w:after="0" w:line="266"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4" w:name="page55"/>
    <w:bookmarkEnd w:id="54"/>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Military conflict between Russia and Ukraine</w:t>
      </w:r>
    </w:p>
    <w:p>
      <w:pPr>
        <w:spacing w:after="0" w:line="108" w:lineRule="exact"/>
        <w:rPr>
          <w:sz w:val="20"/>
          <w:szCs w:val="20"/>
          <w:color w:val="auto"/>
        </w:rPr>
      </w:pPr>
    </w:p>
    <w:p>
      <w:pPr>
        <w:ind w:right="80" w:firstLine="675"/>
        <w:spacing w:after="0" w:line="243" w:lineRule="auto"/>
        <w:rPr>
          <w:sz w:val="20"/>
          <w:szCs w:val="20"/>
          <w:color w:val="auto"/>
        </w:rPr>
      </w:pPr>
      <w:r>
        <w:rPr>
          <w:rFonts w:ascii="Times New Roman" w:cs="Times New Roman" w:eastAsia="Times New Roman" w:hAnsi="Times New Roman"/>
          <w:sz w:val="18"/>
          <w:szCs w:val="18"/>
          <w:color w:val="auto"/>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product candidates in our discovery research programs.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us by increasing our costs.</w:t>
      </w:r>
    </w:p>
    <w:p>
      <w:pPr>
        <w:spacing w:after="0" w:line="108"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Inflation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environment, cost increases may outpace our expectations, causing us to use our cash and other liquid assets faster than forecasted. If this happens, we may need to raise additional capital to fund our operations sooner than expected.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108"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6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3"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69"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Although as of March 31, 2022, we owned three and licensed three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8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9" w:lineRule="exact"/>
        <w:rPr>
          <w:sz w:val="20"/>
          <w:szCs w:val="20"/>
          <w:color w:val="auto"/>
        </w:rPr>
      </w:pPr>
    </w:p>
    <w:p>
      <w:pPr>
        <w:ind w:left="1260" w:hanging="503"/>
        <w:spacing w:after="0" w:line="258"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260" w:right="260" w:hanging="503"/>
        <w:spacing w:after="0" w:line="266"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jc w:val="both"/>
        <w:ind w:left="1260" w:right="40" w:hanging="503"/>
        <w:spacing w:after="0" w:line="258"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1" w:lineRule="exact"/>
        <w:rPr>
          <w:rFonts w:ascii="Times New Roman" w:cs="Times New Roman" w:eastAsia="Times New Roman" w:hAnsi="Times New Roman"/>
          <w:sz w:val="18"/>
          <w:szCs w:val="18"/>
          <w:color w:val="auto"/>
        </w:rPr>
      </w:pPr>
    </w:p>
    <w:p>
      <w:pPr>
        <w:jc w:val="both"/>
        <w:ind w:left="1260" w:right="260" w:hanging="503"/>
        <w:spacing w:after="0" w:line="258"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1"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40"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6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5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69"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9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260" w:right="60" w:hanging="503"/>
        <w:spacing w:after="0" w:line="282"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own or license;</w:t>
      </w:r>
    </w:p>
    <w:p>
      <w:pPr>
        <w:spacing w:after="0" w:line="40" w:lineRule="exact"/>
        <w:rPr>
          <w:rFonts w:ascii="Times New Roman" w:cs="Times New Roman" w:eastAsia="Times New Roman" w:hAnsi="Times New Roman"/>
          <w:sz w:val="18"/>
          <w:szCs w:val="18"/>
          <w:color w:val="auto"/>
        </w:rPr>
      </w:pPr>
    </w:p>
    <w:p>
      <w:pPr>
        <w:ind w:left="1260" w:right="780" w:hanging="503"/>
        <w:spacing w:after="0" w:line="266"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03" w:lineRule="exact"/>
        <w:rPr>
          <w:rFonts w:ascii="Times New Roman" w:cs="Times New Roman" w:eastAsia="Times New Roman" w:hAnsi="Times New Roman"/>
          <w:sz w:val="18"/>
          <w:szCs w:val="18"/>
          <w:color w:val="auto"/>
        </w:rPr>
      </w:pPr>
    </w:p>
    <w:p>
      <w:pPr>
        <w:ind w:left="1260" w:right="700" w:hanging="503"/>
        <w:spacing w:after="0" w:line="266"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03" w:lineRule="exact"/>
        <w:rPr>
          <w:rFonts w:ascii="Times New Roman" w:cs="Times New Roman" w:eastAsia="Times New Roman" w:hAnsi="Times New Roman"/>
          <w:sz w:val="18"/>
          <w:szCs w:val="18"/>
          <w:color w:val="auto"/>
        </w:rPr>
      </w:pPr>
    </w:p>
    <w:p>
      <w:pPr>
        <w:ind w:left="1260" w:right="460" w:hanging="503"/>
        <w:spacing w:after="0" w:line="266"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03" w:lineRule="exact"/>
        <w:rPr>
          <w:rFonts w:ascii="Times New Roman" w:cs="Times New Roman" w:eastAsia="Times New Roman" w:hAnsi="Times New Roman"/>
          <w:sz w:val="18"/>
          <w:szCs w:val="18"/>
          <w:color w:val="auto"/>
        </w:rPr>
      </w:pPr>
    </w:p>
    <w:p>
      <w:pPr>
        <w:ind w:left="1260" w:right="40" w:hanging="503"/>
        <w:spacing w:after="0" w:line="282"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100"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0"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7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0" w:lineRule="exact"/>
        <w:rPr>
          <w:sz w:val="20"/>
          <w:szCs w:val="20"/>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57" w:name="page58"/>
    <w:bookmarkEnd w:id="57"/>
    <w:p>
      <w:pPr>
        <w:ind w:left="1260" w:hanging="503"/>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1260" w:right="40" w:hanging="503"/>
        <w:spacing w:after="0" w:line="266"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not infringed, or unenforceable in a court of law;</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03" w:lineRule="exact"/>
        <w:rPr>
          <w:rFonts w:ascii="Times New Roman" w:cs="Times New Roman" w:eastAsia="Times New Roman" w:hAnsi="Times New Roman"/>
          <w:sz w:val="18"/>
          <w:szCs w:val="18"/>
          <w:color w:val="auto"/>
        </w:rPr>
      </w:pPr>
    </w:p>
    <w:p>
      <w:pPr>
        <w:ind w:left="1260" w:right="80" w:hanging="503"/>
        <w:spacing w:after="0" w:line="266"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periodic report, others may hold proprietary rights that could prevent our product candidates from being marketed.</w:t>
      </w:r>
    </w:p>
    <w:p>
      <w:pPr>
        <w:spacing w:after="0" w:line="5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7"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73"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08"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7"/>
          <w:szCs w:val="17"/>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our licensors’ patents, which could be expensive, time consuming and unsuccessful.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our issued patents or our licensors’ patents could be found invalid or unenforceable if challenged in court.</w:t>
      </w:r>
    </w:p>
    <w:p>
      <w:pPr>
        <w:spacing w:after="0" w:line="84"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93"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93"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No earlier than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69" w:lineRule="exact"/>
        <w:rPr>
          <w:sz w:val="20"/>
          <w:szCs w:val="20"/>
          <w:color w:val="auto"/>
        </w:rPr>
      </w:pPr>
    </w:p>
    <w:p>
      <w:pPr>
        <w:jc w:val="both"/>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40"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9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8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0"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9" w:name="page60"/>
    <w:bookmarkEnd w:id="5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37"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69"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63" w:lineRule="exact"/>
        <w:rPr>
          <w:sz w:val="20"/>
          <w:szCs w:val="20"/>
          <w:color w:val="auto"/>
        </w:rPr>
      </w:pPr>
    </w:p>
    <w:p>
      <w:pPr>
        <w:ind w:right="120" w:firstLine="749"/>
        <w:spacing w:after="0" w:line="242" w:lineRule="auto"/>
        <w:rPr>
          <w:sz w:val="20"/>
          <w:szCs w:val="20"/>
          <w:color w:val="auto"/>
        </w:rPr>
      </w:pPr>
      <w:r>
        <w:rPr>
          <w:rFonts w:ascii="Times New Roman" w:cs="Times New Roman" w:eastAsia="Times New Roman" w:hAnsi="Times New Roman"/>
          <w:sz w:val="18"/>
          <w:szCs w:val="18"/>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7"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92"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08"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Although as of March 31, 2022, we owned three and licensed three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7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77"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28" w:right="399" w:bottom="1440" w:gutter="0" w:footer="0" w:header="0"/>
        </w:sectPr>
      </w:pPr>
    </w:p>
    <w:bookmarkStart w:id="61" w:name="page62"/>
    <w:bookmarkEnd w:id="61"/>
    <w:p>
      <w:pPr>
        <w:ind w:right="40"/>
        <w:spacing w:after="0" w:line="258" w:lineRule="auto"/>
        <w:rPr>
          <w:sz w:val="20"/>
          <w:szCs w:val="20"/>
          <w:color w:val="auto"/>
        </w:rPr>
      </w:pPr>
      <w:r>
        <w:rPr>
          <w:rFonts w:ascii="Times New Roman" w:cs="Times New Roman" w:eastAsia="Times New Roman" w:hAnsi="Times New Roman"/>
          <w:sz w:val="18"/>
          <w:szCs w:val="18"/>
          <w:color w:val="auto"/>
        </w:rPr>
        <w:t>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6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9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1"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7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As of March 31, 2022, we had one pending United States trademark application.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80" w:firstLine="749"/>
        <w:spacing w:after="0" w:line="242"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92"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ind w:right="280"/>
        <w:spacing w:after="0" w:line="282" w:lineRule="auto"/>
        <w:rPr>
          <w:sz w:val="20"/>
          <w:szCs w:val="20"/>
          <w:color w:val="auto"/>
        </w:rPr>
      </w:pPr>
      <w:r>
        <w:rPr>
          <w:rFonts w:ascii="Times New Roman" w:cs="Times New Roman" w:eastAsia="Times New Roman" w:hAnsi="Times New Roman"/>
          <w:sz w:val="18"/>
          <w:szCs w:val="18"/>
          <w:color w:val="auto"/>
        </w:rPr>
        <w:t>confidentiality of our proprietary technology and other confidential information, then our ability to obtain patent protection or to protect our trade secret information may be jeopardized.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08"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7"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83"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0"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17"/>
          <w:szCs w:val="17"/>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3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69"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72"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3" w:name="page64"/>
    <w:bookmarkEnd w:id="63"/>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67" w:lineRule="exact"/>
        <w:rPr>
          <w:sz w:val="20"/>
          <w:szCs w:val="20"/>
          <w:color w:val="auto"/>
        </w:rPr>
      </w:pPr>
    </w:p>
    <w:p>
      <w:pPr>
        <w:ind w:right="7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7"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Moreover, disputes may arise between us and our licensors regarding intellectual property subject to a license agreement, including:</w:t>
      </w:r>
    </w:p>
    <w:p>
      <w:pPr>
        <w:spacing w:after="0" w:line="117" w:lineRule="exact"/>
        <w:rPr>
          <w:sz w:val="20"/>
          <w:szCs w:val="20"/>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03" w:lineRule="exact"/>
        <w:rPr>
          <w:rFonts w:ascii="Times New Roman" w:cs="Times New Roman" w:eastAsia="Times New Roman" w:hAnsi="Times New Roman"/>
          <w:sz w:val="18"/>
          <w:szCs w:val="18"/>
          <w:color w:val="auto"/>
        </w:rPr>
      </w:pPr>
    </w:p>
    <w:p>
      <w:pPr>
        <w:ind w:left="1260" w:right="320" w:hanging="503"/>
        <w:spacing w:after="0" w:line="266"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1260" w:right="560" w:hanging="503"/>
        <w:spacing w:after="0" w:line="266"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140" w:firstLine="749"/>
        <w:spacing w:after="0" w:line="242"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9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third parties.</w:t>
      </w:r>
    </w:p>
    <w:p>
      <w:pPr>
        <w:spacing w:after="0" w:line="108" w:lineRule="exact"/>
        <w:rPr>
          <w:sz w:val="20"/>
          <w:szCs w:val="20"/>
          <w:color w:val="auto"/>
        </w:rPr>
      </w:pPr>
    </w:p>
    <w:p>
      <w:pPr>
        <w:jc w:val="both"/>
        <w:ind w:right="220" w:firstLine="749"/>
        <w:spacing w:after="0" w:line="258" w:lineRule="auto"/>
        <w:rPr>
          <w:sz w:val="20"/>
          <w:szCs w:val="20"/>
          <w:color w:val="auto"/>
        </w:rPr>
      </w:pPr>
      <w:r>
        <w:rPr>
          <w:rFonts w:ascii="Times New Roman" w:cs="Times New Roman" w:eastAsia="Times New Roman" w:hAnsi="Times New Roman"/>
          <w:sz w:val="18"/>
          <w:szCs w:val="18"/>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4" w:name="page65"/>
    <w:bookmarkEnd w:id="64"/>
    <w:p>
      <w:pPr>
        <w:ind w:right="140"/>
        <w:spacing w:after="0" w:line="245" w:lineRule="auto"/>
        <w:rPr>
          <w:sz w:val="20"/>
          <w:szCs w:val="20"/>
          <w:color w:val="auto"/>
        </w:rPr>
      </w:pPr>
      <w:r>
        <w:rPr>
          <w:rFonts w:ascii="Times New Roman" w:cs="Times New Roman" w:eastAsia="Times New Roman" w:hAnsi="Times New Roman"/>
          <w:sz w:val="18"/>
          <w:szCs w:val="18"/>
          <w:color w:val="auto"/>
        </w:rPr>
        <w:t>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83"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8"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9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50"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ind w:right="60" w:firstLine="749"/>
        <w:spacing w:after="0" w:line="242" w:lineRule="auto"/>
        <w:rPr>
          <w:sz w:val="20"/>
          <w:szCs w:val="20"/>
          <w:color w:val="auto"/>
        </w:rPr>
      </w:pPr>
      <w:r>
        <w:rPr>
          <w:rFonts w:ascii="Times New Roman" w:cs="Times New Roman" w:eastAsia="Times New Roman" w:hAnsi="Times New Roman"/>
          <w:sz w:val="18"/>
          <w:szCs w:val="18"/>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94" w:lineRule="exact"/>
        <w:rPr>
          <w:sz w:val="20"/>
          <w:szCs w:val="20"/>
          <w:color w:val="auto"/>
        </w:rPr>
      </w:pPr>
    </w:p>
    <w:p>
      <w:pPr>
        <w:jc w:val="both"/>
        <w:ind w:right="280" w:firstLine="749"/>
        <w:spacing w:after="0" w:line="250"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7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production of our product candidates for preclinical studies and, in the case of ORIC-533, ORIC-114 and ORIC-944,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6"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7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48" w:lineRule="exact"/>
        <w:rPr>
          <w:sz w:val="20"/>
          <w:szCs w:val="20"/>
          <w:color w:val="auto"/>
        </w:rPr>
      </w:pPr>
    </w:p>
    <w:p>
      <w:pPr>
        <w:ind w:left="1260" w:right="80" w:hanging="503"/>
        <w:spacing w:after="0" w:line="236"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9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7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 including cGMPs;</w:t>
      </w:r>
    </w:p>
    <w:p>
      <w:pPr>
        <w:spacing w:after="0" w:line="9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90" w:lineRule="exact"/>
        <w:rPr>
          <w:rFonts w:ascii="Times New Roman" w:cs="Times New Roman" w:eastAsia="Times New Roman" w:hAnsi="Times New Roman"/>
          <w:sz w:val="18"/>
          <w:szCs w:val="18"/>
          <w:color w:val="auto"/>
        </w:rPr>
      </w:pPr>
    </w:p>
    <w:p>
      <w:pPr>
        <w:ind w:left="1260" w:right="280" w:hanging="503"/>
        <w:spacing w:after="0" w:line="250"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41" w:lineRule="exact"/>
        <w:rPr>
          <w:rFonts w:ascii="Times New Roman" w:cs="Times New Roman" w:eastAsia="Times New Roman" w:hAnsi="Times New Roman"/>
          <w:sz w:val="18"/>
          <w:szCs w:val="18"/>
          <w:color w:val="auto"/>
        </w:rPr>
      </w:pPr>
    </w:p>
    <w:p>
      <w:pPr>
        <w:ind w:left="1260" w:hanging="503"/>
        <w:spacing w:after="0" w:line="250"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104"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6" w:name="page67"/>
    <w:bookmarkEnd w:id="66"/>
    <w:p>
      <w:pPr>
        <w:ind w:right="140"/>
        <w:spacing w:after="0" w:line="258" w:lineRule="auto"/>
        <w:rPr>
          <w:sz w:val="20"/>
          <w:szCs w:val="20"/>
          <w:color w:val="auto"/>
        </w:rPr>
      </w:pPr>
      <w:r>
        <w:rPr>
          <w:rFonts w:ascii="Times New Roman" w:cs="Times New Roman" w:eastAsia="Times New Roman" w:hAnsi="Times New Roman"/>
          <w:sz w:val="18"/>
          <w:szCs w:val="18"/>
          <w:color w:val="auto"/>
        </w:rPr>
        <w:t>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6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94"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37"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72" w:lineRule="exact"/>
        <w:rPr>
          <w:sz w:val="20"/>
          <w:szCs w:val="20"/>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1260" w:right="260" w:hanging="503"/>
        <w:spacing w:after="0" w:line="266"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03" w:lineRule="exact"/>
        <w:rPr>
          <w:rFonts w:ascii="Times New Roman" w:cs="Times New Roman" w:eastAsia="Times New Roman" w:hAnsi="Times New Roman"/>
          <w:sz w:val="18"/>
          <w:szCs w:val="18"/>
          <w:color w:val="auto"/>
        </w:rPr>
      </w:pPr>
    </w:p>
    <w:p>
      <w:pPr>
        <w:ind w:left="1260" w:right="600" w:hanging="503"/>
        <w:spacing w:after="0" w:line="266"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67"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54"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5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7" w:name="page68"/>
    <w:bookmarkEnd w:id="67"/>
    <w:p>
      <w:pPr>
        <w:ind w:right="140"/>
        <w:spacing w:after="0" w:line="282" w:lineRule="auto"/>
        <w:rPr>
          <w:sz w:val="20"/>
          <w:szCs w:val="20"/>
          <w:color w:val="auto"/>
        </w:rPr>
      </w:pPr>
      <w:r>
        <w:rPr>
          <w:rFonts w:ascii="Times New Roman" w:cs="Times New Roman" w:eastAsia="Times New Roman" w:hAnsi="Times New Roman"/>
          <w:sz w:val="18"/>
          <w:szCs w:val="18"/>
          <w:color w:val="auto"/>
        </w:rPr>
        <w:t>require us to incur non-recurring and other charges, increase our near- and long-term expenditures, issue securities that dilute our existing stockholders, or disrupt our management and business.</w:t>
      </w:r>
    </w:p>
    <w:p>
      <w:pPr>
        <w:spacing w:after="0" w:line="40"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7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1"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6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63" w:lineRule="exact"/>
        <w:rPr>
          <w:sz w:val="20"/>
          <w:szCs w:val="20"/>
          <w:color w:val="auto"/>
        </w:rPr>
      </w:pPr>
    </w:p>
    <w:p>
      <w:pPr>
        <w:ind w:right="240" w:firstLine="749"/>
        <w:spacing w:after="0" w:line="245" w:lineRule="auto"/>
        <w:rPr>
          <w:sz w:val="20"/>
          <w:szCs w:val="20"/>
          <w:color w:val="auto"/>
        </w:rPr>
      </w:pPr>
      <w:r>
        <w:rPr>
          <w:rFonts w:ascii="Times New Roman" w:cs="Times New Roman" w:eastAsia="Times New Roman" w:hAnsi="Times New Roman"/>
          <w:sz w:val="18"/>
          <w:szCs w:val="18"/>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86" w:lineRule="exact"/>
        <w:rPr>
          <w:sz w:val="20"/>
          <w:szCs w:val="20"/>
          <w:color w:val="auto"/>
        </w:rPr>
      </w:pPr>
    </w:p>
    <w:p>
      <w:pPr>
        <w:ind w:left="1260" w:right="340" w:hanging="503"/>
        <w:spacing w:after="0" w:line="266"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4" w:lineRule="exact"/>
        <w:rPr>
          <w:rFonts w:ascii="Times New Roman" w:cs="Times New Roman" w:eastAsia="Times New Roman" w:hAnsi="Times New Roman"/>
          <w:sz w:val="18"/>
          <w:szCs w:val="18"/>
          <w:color w:val="auto"/>
        </w:rPr>
      </w:pPr>
    </w:p>
    <w:p>
      <w:pPr>
        <w:ind w:left="1260" w:right="120" w:hanging="503"/>
        <w:spacing w:after="0" w:line="250"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82" w:lineRule="exact"/>
        <w:rPr>
          <w:rFonts w:ascii="Times New Roman" w:cs="Times New Roman" w:eastAsia="Times New Roman" w:hAnsi="Times New Roman"/>
          <w:sz w:val="18"/>
          <w:szCs w:val="18"/>
          <w:color w:val="auto"/>
        </w:rPr>
      </w:pPr>
    </w:p>
    <w:p>
      <w:pPr>
        <w:ind w:left="1260" w:right="560" w:hanging="503"/>
        <w:spacing w:after="0" w:line="266"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54" w:lineRule="exact"/>
        <w:rPr>
          <w:rFonts w:ascii="Times New Roman" w:cs="Times New Roman" w:eastAsia="Times New Roman" w:hAnsi="Times New Roman"/>
          <w:sz w:val="18"/>
          <w:szCs w:val="18"/>
          <w:color w:val="auto"/>
        </w:rPr>
      </w:pPr>
    </w:p>
    <w:p>
      <w:pPr>
        <w:ind w:left="1260" w:right="220" w:hanging="503"/>
        <w:spacing w:after="0" w:line="282"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8"/>
          <w:szCs w:val="18"/>
          <w:color w:val="auto"/>
        </w:rPr>
      </w:pPr>
    </w:p>
    <w:p>
      <w:pPr>
        <w:ind w:left="1260" w:right="240" w:hanging="503"/>
        <w:spacing w:after="0" w:line="258"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8"/>
          <w:szCs w:val="18"/>
          <w:color w:val="auto"/>
        </w:rPr>
      </w:pPr>
    </w:p>
    <w:p>
      <w:pPr>
        <w:ind w:left="1260" w:right="520" w:hanging="503"/>
        <w:spacing w:after="0" w:line="266"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grant exclusive rights to our collaborators that would prevent us from collaborating with others;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8" w:name="page69"/>
    <w:bookmarkEnd w:id="68"/>
    <w:p>
      <w:pPr>
        <w:ind w:left="1260" w:hanging="503"/>
        <w:spacing w:after="0" w:line="250"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82" w:lineRule="exact"/>
        <w:rPr>
          <w:rFonts w:ascii="Times New Roman" w:cs="Times New Roman" w:eastAsia="Times New Roman" w:hAnsi="Times New Roman"/>
          <w:sz w:val="18"/>
          <w:szCs w:val="18"/>
          <w:color w:val="auto"/>
        </w:rPr>
      </w:pPr>
    </w:p>
    <w:p>
      <w:pPr>
        <w:ind w:left="1260" w:right="580" w:hanging="503"/>
        <w:spacing w:after="0" w:line="250"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2" w:lineRule="exact"/>
        <w:rPr>
          <w:rFonts w:ascii="Times New Roman" w:cs="Times New Roman" w:eastAsia="Times New Roman" w:hAnsi="Times New Roman"/>
          <w:sz w:val="18"/>
          <w:szCs w:val="18"/>
          <w:color w:val="auto"/>
        </w:rPr>
      </w:pPr>
    </w:p>
    <w:p>
      <w:pPr>
        <w:ind w:left="1260" w:right="680" w:hanging="503"/>
        <w:spacing w:after="0" w:line="266"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03" w:lineRule="exact"/>
        <w:rPr>
          <w:rFonts w:ascii="Times New Roman" w:cs="Times New Roman" w:eastAsia="Times New Roman" w:hAnsi="Times New Roman"/>
          <w:sz w:val="18"/>
          <w:szCs w:val="18"/>
          <w:color w:val="auto"/>
        </w:rPr>
      </w:pPr>
    </w:p>
    <w:p>
      <w:pPr>
        <w:ind w:left="1260" w:right="520" w:hanging="503"/>
        <w:spacing w:after="0" w:line="258"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1"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40" w:lineRule="exact"/>
        <w:rPr>
          <w:rFonts w:ascii="Times New Roman" w:cs="Times New Roman" w:eastAsia="Times New Roman" w:hAnsi="Times New Roman"/>
          <w:sz w:val="18"/>
          <w:szCs w:val="18"/>
          <w:color w:val="auto"/>
        </w:rPr>
      </w:pPr>
    </w:p>
    <w:p>
      <w:pPr>
        <w:ind w:left="1260" w:right="360" w:hanging="503"/>
        <w:spacing w:after="0" w:line="266"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10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63"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is volatile.</w:t>
      </w:r>
    </w:p>
    <w:p>
      <w:pPr>
        <w:spacing w:after="0" w:line="121"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common stock, regardless of our actual operating performance.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factors discussed in this “Risk factors” section and elsewhere in this periodic report, these factors include:</w:t>
      </w:r>
    </w:p>
    <w:p>
      <w:pPr>
        <w:spacing w:after="0" w:line="84" w:lineRule="exact"/>
        <w:rPr>
          <w:sz w:val="20"/>
          <w:szCs w:val="20"/>
          <w:color w:val="auto"/>
        </w:rPr>
      </w:pPr>
    </w:p>
    <w:p>
      <w:pPr>
        <w:ind w:left="1260" w:right="140" w:hanging="503"/>
        <w:spacing w:after="0" w:line="282"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those conducted by third parties or those of our competitors;</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1260" w:right="400" w:hanging="503"/>
        <w:spacing w:after="0" w:line="266"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69" w:name="page70"/>
    <w:bookmarkEnd w:id="69"/>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military conflict between Russia and Ukraine.</w:t>
      </w:r>
    </w:p>
    <w:p>
      <w:pPr>
        <w:spacing w:after="0" w:line="104"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3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3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3" w:lineRule="exact"/>
        <w:rPr>
          <w:sz w:val="20"/>
          <w:szCs w:val="20"/>
          <w:color w:val="auto"/>
        </w:rPr>
      </w:pPr>
    </w:p>
    <w:p>
      <w:pPr>
        <w:jc w:val="both"/>
        <w:ind w:right="80" w:firstLine="749"/>
        <w:spacing w:after="0" w:line="250"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8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1260" w:right="100" w:hanging="503"/>
        <w:spacing w:after="0" w:line="282"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03" w:lineRule="exact"/>
        <w:rPr>
          <w:rFonts w:ascii="Times New Roman" w:cs="Times New Roman" w:eastAsia="Times New Roman" w:hAnsi="Times New Roman"/>
          <w:sz w:val="18"/>
          <w:szCs w:val="18"/>
          <w:color w:val="auto"/>
        </w:rPr>
      </w:pPr>
    </w:p>
    <w:p>
      <w:pPr>
        <w:ind w:left="1260" w:hanging="503"/>
        <w:spacing w:after="0" w:line="258"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any of our product candidates, or competing product candidates;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70" w:name="page71"/>
    <w:bookmarkEnd w:id="70"/>
    <w:p>
      <w:pPr>
        <w:ind w:left="1260" w:right="100" w:hanging="503"/>
        <w:spacing w:after="0" w:line="282" w:lineRule="auto"/>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any of our product candidates;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1260" w:right="240" w:hanging="503"/>
        <w:spacing w:after="0" w:line="266" w:lineRule="auto"/>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54"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if approved, inside and outside of the United States, either independently or working with third parties;</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104"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37"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As of March 31, 2022, our executive officers, directors, holders of 5% or more of our common stock and their respective affiliates beneficially owned approximately 60%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08"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40"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3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1" w:lineRule="exact"/>
        <w:rPr>
          <w:sz w:val="20"/>
          <w:szCs w:val="20"/>
          <w:color w:val="auto"/>
        </w:rPr>
      </w:pPr>
    </w:p>
    <w:p>
      <w:pPr>
        <w:ind w:left="1260" w:right="260" w:hanging="503"/>
        <w:spacing w:after="0" w:line="250"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71" w:name="page72"/>
    <w:bookmarkEnd w:id="71"/>
    <w:p>
      <w:pPr>
        <w:ind w:left="1260" w:right="340" w:hanging="503"/>
        <w:spacing w:after="0" w:line="282"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(Sarbanes-Oxley Act);</w:t>
      </w:r>
    </w:p>
    <w:p>
      <w:pPr>
        <w:spacing w:after="0" w:line="40" w:lineRule="exact"/>
        <w:rPr>
          <w:rFonts w:ascii="Times New Roman" w:cs="Times New Roman" w:eastAsia="Times New Roman" w:hAnsi="Times New Roman"/>
          <w:sz w:val="18"/>
          <w:szCs w:val="18"/>
          <w:color w:val="auto"/>
        </w:rPr>
      </w:pPr>
    </w:p>
    <w:p>
      <w:pPr>
        <w:ind w:left="1260" w:right="200" w:hanging="503"/>
        <w:spacing w:after="0" w:line="258"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03"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4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7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6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3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60"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8"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7" w:lineRule="exact"/>
        <w:rPr>
          <w:sz w:val="20"/>
          <w:szCs w:val="20"/>
          <w:color w:val="auto"/>
        </w:rPr>
      </w:pPr>
    </w:p>
    <w:p>
      <w:pPr>
        <w:ind w:right="260" w:firstLine="749"/>
        <w:spacing w:after="0" w:line="245"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08"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3"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7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0"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1" w:lineRule="exact"/>
        <w:rPr>
          <w:sz w:val="20"/>
          <w:szCs w:val="20"/>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03" w:lineRule="exact"/>
        <w:rPr>
          <w:rFonts w:ascii="Times New Roman" w:cs="Times New Roman" w:eastAsia="Times New Roman" w:hAnsi="Times New Roman"/>
          <w:sz w:val="18"/>
          <w:szCs w:val="18"/>
          <w:color w:val="auto"/>
        </w:rPr>
      </w:pPr>
    </w:p>
    <w:p>
      <w:pPr>
        <w:ind w:left="1260" w:right="140" w:hanging="503"/>
        <w:spacing w:after="0" w:line="266"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03" w:lineRule="exact"/>
        <w:rPr>
          <w:rFonts w:ascii="Times New Roman" w:cs="Times New Roman" w:eastAsia="Times New Roman" w:hAnsi="Times New Roman"/>
          <w:sz w:val="18"/>
          <w:szCs w:val="18"/>
          <w:color w:val="auto"/>
        </w:rPr>
      </w:pPr>
    </w:p>
    <w:p>
      <w:pPr>
        <w:ind w:left="1260" w:right="600" w:hanging="503"/>
        <w:spacing w:after="0" w:line="266"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04"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5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60"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87" w:lineRule="exact"/>
        <w:rPr>
          <w:sz w:val="20"/>
          <w:szCs w:val="20"/>
          <w:color w:val="auto"/>
        </w:rPr>
      </w:pPr>
    </w:p>
    <w:p>
      <w:pPr>
        <w:ind w:left="1260" w:hanging="503"/>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0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103" w:lineRule="exact"/>
        <w:rPr>
          <w:rFonts w:ascii="Times New Roman" w:cs="Times New Roman" w:eastAsia="Times New Roman" w:hAnsi="Times New Roman"/>
          <w:sz w:val="18"/>
          <w:szCs w:val="18"/>
          <w:color w:val="auto"/>
        </w:rPr>
      </w:pPr>
    </w:p>
    <w:p>
      <w:pPr>
        <w:ind w:left="1260" w:right="40" w:hanging="503"/>
        <w:spacing w:after="0" w:line="282" w:lineRule="auto"/>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4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courts have exclusive jurisdiction.</w:t>
      </w:r>
    </w:p>
    <w:p>
      <w:pPr>
        <w:spacing w:after="0" w:line="8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6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73"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08"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w:t>
      </w:r>
    </w:p>
    <w:p>
      <w:pPr>
        <w:spacing w:after="0" w:line="72" w:lineRule="exact"/>
        <w:rPr>
          <w:sz w:val="20"/>
          <w:szCs w:val="20"/>
          <w:color w:val="auto"/>
        </w:rPr>
      </w:pPr>
    </w:p>
    <w:p>
      <w:pPr>
        <w:jc w:val="both"/>
        <w:ind w:right="40" w:firstLine="749"/>
        <w:spacing w:after="0" w:line="262" w:lineRule="auto"/>
        <w:rPr>
          <w:sz w:val="20"/>
          <w:szCs w:val="20"/>
          <w:color w:val="auto"/>
        </w:rPr>
      </w:pPr>
      <w:r>
        <w:rPr>
          <w:rFonts w:ascii="Times New Roman" w:cs="Times New Roman" w:eastAsia="Times New Roman" w:hAnsi="Times New Roman"/>
          <w:sz w:val="17"/>
          <w:szCs w:val="17"/>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w:t>
      </w:r>
    </w:p>
    <w:p>
      <w:pPr>
        <w:spacing w:after="0" w:line="73"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public offerings as described in our final prospectuses filed with the SEC pursuant to Rule 424(b)(4) on April 24, 2020 and November 13, 2020. We invested the funds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4" w:name="page75"/>
    <w:bookmarkEnd w:id="74"/>
    <w:p>
      <w:pPr>
        <w:spacing w:after="0" w:line="282" w:lineRule="auto"/>
        <w:rPr>
          <w:sz w:val="20"/>
          <w:szCs w:val="20"/>
          <w:color w:val="auto"/>
        </w:rPr>
      </w:pPr>
      <w:r>
        <w:rPr>
          <w:rFonts w:ascii="Times New Roman" w:cs="Times New Roman" w:eastAsia="Times New Roman" w:hAnsi="Times New Roman"/>
          <w:sz w:val="18"/>
          <w:szCs w:val="18"/>
          <w:color w:val="auto"/>
        </w:rPr>
        <w:t>received in short- and intermediate-term, interest-bearing obligations, investment-grade instruments, certificates of deposit or direct or guaranteed obligations of the U.S. government.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32" w:right="10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0" w:type="dxa"/>
            <w:vAlign w:val="bottom"/>
            <w:gridSpan w:val="14"/>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0" w:type="dxa"/>
            <w:vAlign w:val="bottom"/>
          </w:tcPr>
          <w:p>
            <w:pPr>
              <w:spacing w:after="0"/>
              <w:rPr>
                <w:sz w:val="10"/>
                <w:szCs w:val="10"/>
                <w:color w:val="auto"/>
              </w:rPr>
            </w:pPr>
          </w:p>
        </w:tc>
        <w:tc>
          <w:tcPr>
            <w:tcW w:w="12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gridSpan w:val="14"/>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4"/>
                <w:szCs w:val="14"/>
                <w:color w:val="auto"/>
              </w:rPr>
            </w:pPr>
          </w:p>
        </w:tc>
        <w:tc>
          <w:tcPr>
            <w:tcW w:w="418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2022 Inducement Equity Incentive Plan and related forms</w:t>
              </w:r>
            </w:hyperlink>
          </w:p>
        </w:tc>
        <w:tc>
          <w:tcPr>
            <w:tcW w:w="24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40" w:type="dxa"/>
            <w:vAlign w:val="bottom"/>
          </w:tcPr>
          <w:p>
            <w:pPr>
              <w:spacing w:after="0"/>
              <w:rPr>
                <w:sz w:val="14"/>
                <w:szCs w:val="14"/>
                <w:color w:val="auto"/>
              </w:rPr>
            </w:pPr>
          </w:p>
        </w:tc>
        <w:tc>
          <w:tcPr>
            <w:tcW w:w="1240" w:type="dxa"/>
            <w:vAlign w:val="bottom"/>
            <w:tcBorders>
              <w:top w:val="single" w:sz="8" w:color="auto"/>
            </w:tcBorders>
          </w:tcPr>
          <w:p>
            <w:pPr>
              <w:jc w:val="right"/>
              <w:ind w:right="162"/>
              <w:spacing w:after="0" w:line="169" w:lineRule="exact"/>
              <w:rPr>
                <w:sz w:val="20"/>
                <w:szCs w:val="20"/>
                <w:color w:val="auto"/>
              </w:rPr>
            </w:pPr>
            <w:r>
              <w:rPr>
                <w:rFonts w:ascii="Times New Roman" w:cs="Times New Roman" w:eastAsia="Times New Roman" w:hAnsi="Times New Roman"/>
                <w:sz w:val="18"/>
                <w:szCs w:val="18"/>
                <w:color w:val="auto"/>
              </w:rPr>
              <w:t>001-39269</w:t>
            </w:r>
          </w:p>
        </w:tc>
        <w:tc>
          <w:tcPr>
            <w:tcW w:w="240" w:type="dxa"/>
            <w:vAlign w:val="bottom"/>
          </w:tcPr>
          <w:p>
            <w:pPr>
              <w:spacing w:after="0"/>
              <w:rPr>
                <w:sz w:val="14"/>
                <w:szCs w:val="14"/>
                <w:color w:val="auto"/>
              </w:rPr>
            </w:pPr>
          </w:p>
        </w:tc>
        <w:tc>
          <w:tcPr>
            <w:tcW w:w="860" w:type="dxa"/>
            <w:vAlign w:val="bottom"/>
            <w:tcBorders>
              <w:top w:val="single" w:sz="8" w:color="auto"/>
            </w:tcBorders>
          </w:tcPr>
          <w:p>
            <w:pPr>
              <w:jc w:val="right"/>
              <w:ind w:right="179"/>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91"/>
              <w:spacing w:after="0" w:line="169" w:lineRule="exact"/>
              <w:rPr>
                <w:sz w:val="20"/>
                <w:szCs w:val="20"/>
                <w:color w:val="auto"/>
              </w:rPr>
            </w:pPr>
            <w:r>
              <w:rPr>
                <w:rFonts w:ascii="Times New Roman" w:cs="Times New Roman" w:eastAsia="Times New Roman" w:hAnsi="Times New Roman"/>
                <w:sz w:val="18"/>
                <w:szCs w:val="18"/>
                <w:color w:val="auto"/>
                <w:w w:val="99"/>
              </w:rPr>
              <w:t>3/4/22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of stock option and restricted stock unit agreements.</w:t>
              </w:r>
            </w:hyperlink>
          </w:p>
        </w:tc>
        <w:tc>
          <w:tcPr>
            <w:tcW w:w="2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7"/>
                <w:szCs w:val="17"/>
                <w:color w:val="auto"/>
              </w:rPr>
            </w:pPr>
          </w:p>
        </w:tc>
        <w:tc>
          <w:tcPr>
            <w:tcW w:w="4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License Agreement between the registrant and Mirati</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Therapeutics, Inc., dated as of August 3, 2020.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7"/>
                <w:szCs w:val="17"/>
                <w:color w:val="auto"/>
              </w:rPr>
            </w:pPr>
          </w:p>
        </w:tc>
        <w:tc>
          <w:tcPr>
            <w:tcW w:w="4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License and Collaboration Agreement between the</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7"/>
              </w:rPr>
              <w:t>registrant and Voronoi, Inc., dated as of October 19,</w:t>
            </w:r>
          </w:p>
        </w:tc>
        <w:tc>
          <w:tcPr>
            <w:tcW w:w="80" w:type="dxa"/>
            <w:vAlign w:val="bottom"/>
            <w:tcBorders>
              <w:bottom w:val="single" w:sz="8" w:color="0000FF"/>
            </w:tcBorders>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2020.</w:t>
            </w:r>
          </w:p>
        </w:tc>
        <w:tc>
          <w:tcPr>
            <w:tcW w:w="20" w:type="dxa"/>
            <w:vAlign w:val="bottom"/>
            <w:tcBorders>
              <w:bottom w:val="single" w:sz="8" w:color="0000EE"/>
            </w:tcBorders>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7"/>
                <w:szCs w:val="17"/>
                <w:color w:val="auto"/>
              </w:rPr>
            </w:pPr>
          </w:p>
        </w:tc>
        <w:tc>
          <w:tcPr>
            <w:tcW w:w="4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26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0" w:type="dxa"/>
            <w:vAlign w:val="bottom"/>
            <w:gridSpan w:val="2"/>
          </w:tcPr>
          <w:p>
            <w:pPr>
              <w:spacing w:after="0"/>
              <w:rPr>
                <w:sz w:val="13"/>
                <w:szCs w:val="13"/>
                <w:color w:val="auto"/>
              </w:rPr>
            </w:pPr>
          </w:p>
        </w:tc>
        <w:tc>
          <w:tcPr>
            <w:tcW w:w="3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4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20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3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0" w:type="dxa"/>
            <w:vAlign w:val="bottom"/>
            <w:gridSpan w:val="2"/>
          </w:tcPr>
          <w:p>
            <w:pPr>
              <w:spacing w:after="0"/>
              <w:rPr>
                <w:sz w:val="13"/>
                <w:szCs w:val="13"/>
                <w:color w:val="auto"/>
              </w:rPr>
            </w:pPr>
          </w:p>
        </w:tc>
        <w:tc>
          <w:tcPr>
            <w:tcW w:w="3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4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 as Adopted Pursuant to Section</w:t>
            </w:r>
          </w:p>
        </w:tc>
        <w:tc>
          <w:tcPr>
            <w:tcW w:w="60" w:type="dxa"/>
            <w:vAlign w:val="bottom"/>
            <w:tcBorders>
              <w:bottom w:val="single" w:sz="8" w:color="0000FF"/>
            </w:tcBorders>
          </w:tcPr>
          <w:p>
            <w:pPr>
              <w:spacing w:after="0"/>
              <w:rPr>
                <w:sz w:val="13"/>
                <w:szCs w:val="13"/>
                <w:color w:val="auto"/>
              </w:rPr>
            </w:pPr>
          </w:p>
        </w:tc>
        <w:tc>
          <w:tcPr>
            <w:tcW w:w="34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4"/>
                <w:szCs w:val="14"/>
                <w:color w:val="auto"/>
              </w:rPr>
            </w:pPr>
          </w:p>
        </w:tc>
        <w:tc>
          <w:tcPr>
            <w:tcW w:w="40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34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42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14"/>
                <w:szCs w:val="14"/>
                <w:color w:val="auto"/>
              </w:rPr>
            </w:pPr>
          </w:p>
        </w:tc>
        <w:tc>
          <w:tcPr>
            <w:tcW w:w="416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tcBorders>
              <w:top w:val="single" w:sz="8" w:color="0000FF"/>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w w:val="98"/>
              </w:rPr>
              <w:t>INLINE XBRL Instance Document</w:t>
            </w:r>
          </w:p>
        </w:tc>
        <w:tc>
          <w:tcPr>
            <w:tcW w:w="20" w:type="dxa"/>
            <w:vAlign w:val="bottom"/>
            <w:tcBorders>
              <w:top w:val="single" w:sz="8" w:color="0000EE"/>
            </w:tcBorders>
          </w:tcPr>
          <w:p>
            <w:pPr>
              <w:spacing w:after="0"/>
              <w:rPr>
                <w:sz w:val="16"/>
                <w:szCs w:val="16"/>
                <w:color w:val="auto"/>
              </w:rPr>
            </w:pPr>
          </w:p>
        </w:tc>
        <w:tc>
          <w:tcPr>
            <w:tcW w:w="1860" w:type="dxa"/>
            <w:vAlign w:val="bottom"/>
            <w:gridSpan w:val="12"/>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7"/>
                <w:szCs w:val="17"/>
                <w:color w:val="auto"/>
              </w:rPr>
            </w:pPr>
          </w:p>
        </w:tc>
        <w:tc>
          <w:tcPr>
            <w:tcW w:w="442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202"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60" w:type="dxa"/>
            <w:vAlign w:val="bottom"/>
          </w:tcPr>
          <w:p>
            <w:pPr>
              <w:spacing w:after="0"/>
              <w:rPr>
                <w:sz w:val="15"/>
                <w:szCs w:val="15"/>
                <w:color w:val="auto"/>
              </w:rPr>
            </w:pPr>
          </w:p>
        </w:tc>
        <w:tc>
          <w:tcPr>
            <w:tcW w:w="442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101.DEF</w:t>
            </w:r>
          </w:p>
        </w:tc>
        <w:tc>
          <w:tcPr>
            <w:tcW w:w="260" w:type="dxa"/>
            <w:vAlign w:val="bottom"/>
          </w:tcPr>
          <w:p>
            <w:pPr>
              <w:spacing w:after="0"/>
              <w:rPr>
                <w:sz w:val="15"/>
                <w:szCs w:val="15"/>
                <w:color w:val="auto"/>
              </w:rPr>
            </w:pPr>
          </w:p>
        </w:tc>
        <w:tc>
          <w:tcPr>
            <w:tcW w:w="442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101.LAB</w:t>
            </w:r>
          </w:p>
        </w:tc>
        <w:tc>
          <w:tcPr>
            <w:tcW w:w="260" w:type="dxa"/>
            <w:vAlign w:val="bottom"/>
          </w:tcPr>
          <w:p>
            <w:pPr>
              <w:spacing w:after="0"/>
              <w:rPr>
                <w:sz w:val="15"/>
                <w:szCs w:val="15"/>
                <w:color w:val="auto"/>
              </w:rPr>
            </w:pPr>
          </w:p>
        </w:tc>
        <w:tc>
          <w:tcPr>
            <w:tcW w:w="442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260" w:type="dxa"/>
            <w:vAlign w:val="bottom"/>
          </w:tcPr>
          <w:p>
            <w:pPr>
              <w:spacing w:after="0"/>
              <w:rPr>
                <w:sz w:val="15"/>
                <w:szCs w:val="15"/>
                <w:color w:val="auto"/>
              </w:rPr>
            </w:pPr>
          </w:p>
        </w:tc>
        <w:tc>
          <w:tcPr>
            <w:tcW w:w="442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5"/>
                <w:szCs w:val="15"/>
                <w:color w:val="auto"/>
              </w:rPr>
            </w:pPr>
          </w:p>
        </w:tc>
        <w:tc>
          <w:tcPr>
            <w:tcW w:w="442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81" w:lineRule="exact"/>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480" w:right="320" w:hanging="459"/>
        <w:spacing w:after="0" w:line="182" w:lineRule="auto"/>
        <w:tabs>
          <w:tab w:leader="none" w:pos="480" w:val="left"/>
        </w:tabs>
        <w:numPr>
          <w:ilvl w:val="0"/>
          <w:numId w:val="58"/>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22" w:lineRule="exact"/>
        <w:rPr>
          <w:sz w:val="20"/>
          <w:szCs w:val="20"/>
          <w:color w:val="auto"/>
        </w:rPr>
      </w:pPr>
    </w:p>
    <w:p>
      <w:pPr>
        <w:ind w:left="480" w:right="40" w:hanging="459"/>
        <w:spacing w:after="0" w:line="185" w:lineRule="auto"/>
        <w:tabs>
          <w:tab w:leader="none" w:pos="480" w:val="left"/>
        </w:tabs>
        <w:numPr>
          <w:ilvl w:val="0"/>
          <w:numId w:val="5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ORIC Pharmaceuticals, Inc.</w:t>
            </w:r>
          </w:p>
        </w:tc>
      </w:tr>
      <w:tr>
        <w:trPr>
          <w:trHeight w:val="40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Jacob M. Chacko</w:t>
            </w:r>
          </w:p>
        </w:tc>
      </w:tr>
      <w:tr>
        <w:trPr>
          <w:trHeight w:val="216"/>
        </w:trPr>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Jacob M. Chacko, M.D.</w:t>
            </w:r>
          </w:p>
        </w:tc>
      </w:tr>
      <w:tr>
        <w:trPr>
          <w:trHeight w:val="166"/>
        </w:trPr>
        <w:tc>
          <w:tcPr>
            <w:tcW w:w="3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President and Chief Executive Officer</w:t>
            </w:r>
          </w:p>
        </w:tc>
      </w:tr>
      <w:tr>
        <w:trPr>
          <w:trHeight w:val="4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Dominic Piscitelli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-635</wp:posOffset>
            </wp:positionV>
            <wp:extent cx="34544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ind w:left="7840"/>
        <w:spacing w:after="0"/>
        <w:rPr>
          <w:sz w:val="20"/>
          <w:szCs w:val="20"/>
          <w:color w:val="auto"/>
        </w:rPr>
      </w:pPr>
      <w:r>
        <w:rPr>
          <w:rFonts w:ascii="Times New Roman" w:cs="Times New Roman" w:eastAsia="Times New Roman" w:hAnsi="Times New Roman"/>
          <w:sz w:val="18"/>
          <w:szCs w:val="18"/>
          <w:b w:val="1"/>
          <w:bCs w:val="1"/>
          <w:color w:val="auto"/>
        </w:rPr>
        <w:t>Dominic Piscitelli</w:t>
      </w:r>
    </w:p>
    <w:p>
      <w:pPr>
        <w:spacing w:after="0" w:line="2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4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CERTAIN INFORMATION HAS BEEN EXCLUDED FROM THIS EXHIBIT BECAUSE IT IS BOTH NOT MATERIAL AND WOULD LIKELY CAUSE COMPETITIVE HARM TO THE REGISTRANT IF PUBLICLY DISCLOSED. OMISSIONS ARE DESIGNATED AS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LICENSE AGREEMENT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LICENSE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entered into as of August 3, 2020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 entered into by and between Mirati Therapeutics, Inc., a Delaware corporation having business offices at 9393 Towne Centre Drive, Suite 200, San Diego, California 92121 (“</w:t>
      </w:r>
      <w:r>
        <w:rPr>
          <w:rFonts w:ascii="Times New Roman" w:cs="Times New Roman" w:eastAsia="Times New Roman" w:hAnsi="Times New Roman"/>
          <w:sz w:val="20"/>
          <w:szCs w:val="20"/>
          <w:u w:val="single" w:color="auto"/>
          <w:color w:val="auto"/>
        </w:rPr>
        <w:t>Mirati</w:t>
      </w:r>
      <w:r>
        <w:rPr>
          <w:rFonts w:ascii="Times New Roman" w:cs="Times New Roman" w:eastAsia="Times New Roman" w:hAnsi="Times New Roman"/>
          <w:sz w:val="20"/>
          <w:szCs w:val="20"/>
          <w:color w:val="auto"/>
        </w:rPr>
        <w:t>”), and ORIC Pharmaceuticals, Inc., a Delaware corporation having business offices at 240 East Grand Ave, 2nd Floor, South San Francisco, CA, 94080 (“</w:t>
      </w:r>
      <w:r>
        <w:rPr>
          <w:rFonts w:ascii="Times New Roman" w:cs="Times New Roman" w:eastAsia="Times New Roman" w:hAnsi="Times New Roman"/>
          <w:sz w:val="20"/>
          <w:szCs w:val="20"/>
          <w:u w:val="single" w:color="auto"/>
          <w:color w:val="auto"/>
        </w:rPr>
        <w:t>ORIC</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Mirati controls certain Patent Rights, Know-How and other intellectual property rights related to PRC2;</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ORIC wishes to obtain from Mirati and Mirati wishes to grant to ORIC certain rights and licenses under certain Patent Rights, Know-How, and other intellectual property rights Controlled by Mirati to Develop, Manufacture and Commercialize Licensed Compounds and Licensed Products in the Territory, subject to the terms and conditions set forth herein; and</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WHEREAS, simultaneously with entering into this Agreement, the Parties are entering into a stock issuance agreement and certain related agreements (“Stock Issuance Agreement”), pursuant to which ORIC will issue to Mirati shares of common stock of ORIC on the terms and conditions set forth therein.</w:t>
      </w:r>
    </w:p>
    <w:p>
      <w:pPr>
        <w:spacing w:after="0" w:line="18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promises and conditions hereinafter set forth, and other good and valuable consideration, the receipt and sufficiency of which are hereby acknowledged, the Parties, intending to be legally bound, do hereby agree as follows: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Unless the context clearly indicates otherwise, the following terms used in this Agreement will have the meanings set forth in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w:t>
      </w:r>
    </w:p>
    <w:p>
      <w:pPr>
        <w:spacing w:after="0" w:line="194" w:lineRule="exact"/>
        <w:rPr>
          <w:sz w:val="20"/>
          <w:szCs w:val="20"/>
          <w:color w:val="auto"/>
        </w:rPr>
      </w:pPr>
    </w:p>
    <w:p>
      <w:pPr>
        <w:jc w:val="both"/>
        <w:ind w:left="1500" w:hanging="694"/>
        <w:spacing w:after="0" w:line="254"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means any claim, action, cause of action or suit (whether in contract or tort or otherwise), litigation (whether at law or in equity, whether civil or criminal), assessment, arbitration, investigation, hearing, charge, complaint, demand, notice or proceeding of, to, from, by or before any Governmental Authority.</w:t>
      </w:r>
    </w:p>
    <w:p>
      <w:pPr>
        <w:spacing w:after="0" w:line="174" w:lineRule="exact"/>
        <w:rPr>
          <w:sz w:val="20"/>
          <w:szCs w:val="20"/>
          <w:color w:val="auto"/>
        </w:rPr>
      </w:pPr>
    </w:p>
    <w:p>
      <w:pPr>
        <w:jc w:val="both"/>
        <w:ind w:left="1500" w:hanging="694"/>
        <w:spacing w:after="0" w:line="242"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 with respect to a Party, any Person that is controlled by such Party at the time that the determination of affiliation is made and for as long as such control exists, and (b) with respect to any other Person, any Person controlling, controlled by or under common control with such first Person, at the time that the determination of affiliation is made and for as long as such control exists. For purposes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xml:space="preserve">” means (i) direct or indirect ownership of more than fifty percent (50%) of the stock or shares having the right to vote for the election of directors of such Person (or if the jurisdiction where such Person is domiciled prohibits foreign ownership of such entity, the maximum foreign ownership interest permitted under such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8" w:name="page79"/>
    <w:bookmarkEnd w:id="78"/>
    <w:p>
      <w:pPr>
        <w:ind w:left="680"/>
        <w:spacing w:after="0"/>
        <w:rPr>
          <w:sz w:val="20"/>
          <w:szCs w:val="20"/>
          <w:color w:val="auto"/>
        </w:rPr>
      </w:pPr>
      <w:r>
        <w:rPr>
          <w:rFonts w:ascii="Times New Roman" w:cs="Times New Roman" w:eastAsia="Times New Roman" w:hAnsi="Times New Roman"/>
          <w:sz w:val="19"/>
          <w:szCs w:val="19"/>
          <w:color w:val="auto"/>
        </w:rPr>
        <w:t>that such ownership interest provides actual control over such Person), (ii) status as a general partner in any partnership, or</w:t>
      </w:r>
    </w:p>
    <w:p>
      <w:pPr>
        <w:spacing w:after="0" w:line="33" w:lineRule="exact"/>
        <w:rPr>
          <w:sz w:val="20"/>
          <w:szCs w:val="20"/>
          <w:color w:val="auto"/>
        </w:rPr>
      </w:pPr>
    </w:p>
    <w:p>
      <w:pPr>
        <w:ind w:left="680" w:firstLine="5"/>
        <w:spacing w:after="0" w:line="246" w:lineRule="auto"/>
        <w:tabs>
          <w:tab w:leader="none" w:pos="103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possession, directly or indirectly, of the power to direct, or cause the direction of, the management or policies of such Person, whether through the ownership of voting securities, by contract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 “</w:t>
      </w:r>
      <w:r>
        <w:rPr>
          <w:rFonts w:ascii="Times New Roman" w:cs="Times New Roman" w:eastAsia="Times New Roman" w:hAnsi="Times New Roman"/>
          <w:sz w:val="20"/>
          <w:szCs w:val="20"/>
          <w:u w:val="single" w:color="auto"/>
          <w:color w:val="auto"/>
        </w:rPr>
        <w:t>Alternative Product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 “</w:t>
      </w:r>
      <w:r>
        <w:rPr>
          <w:rFonts w:ascii="Times New Roman" w:cs="Times New Roman" w:eastAsia="Times New Roman" w:hAnsi="Times New Roman"/>
          <w:sz w:val="20"/>
          <w:szCs w:val="20"/>
          <w:u w:val="single" w:color="auto"/>
          <w:color w:val="auto"/>
        </w:rPr>
        <w:t>Acquisition Third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 “</w:t>
      </w:r>
      <w:r>
        <w:rPr>
          <w:rFonts w:ascii="Times New Roman" w:cs="Times New Roman" w:eastAsia="Times New Roman" w:hAnsi="Times New Roman"/>
          <w:sz w:val="20"/>
          <w:szCs w:val="20"/>
          <w:u w:val="single" w:color="auto"/>
          <w:color w:val="auto"/>
        </w:rPr>
        <w:t>Acquisition Transaction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 “</w:t>
      </w:r>
      <w:r>
        <w:rPr>
          <w:rFonts w:ascii="Times New Roman" w:cs="Times New Roman" w:eastAsia="Times New Roman" w:hAnsi="Times New Roman"/>
          <w:sz w:val="20"/>
          <w:szCs w:val="20"/>
          <w:u w:val="single" w:color="auto"/>
          <w:color w:val="auto"/>
        </w:rPr>
        <w:t>Acquisition Transaction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 “</w:t>
      </w:r>
      <w:r>
        <w:rPr>
          <w:rFonts w:ascii="Times New Roman" w:cs="Times New Roman" w:eastAsia="Times New Roman" w:hAnsi="Times New Roman"/>
          <w:sz w:val="20"/>
          <w:szCs w:val="20"/>
          <w:u w:val="single" w:color="auto"/>
          <w:color w:val="auto"/>
        </w:rPr>
        <w:t>Breaching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80" w:right="20" w:hanging="694"/>
        <w:spacing w:after="0" w:line="269" w:lineRule="auto"/>
        <w:rPr>
          <w:sz w:val="20"/>
          <w:szCs w:val="20"/>
          <w:color w:val="auto"/>
        </w:rPr>
      </w:pPr>
      <w:r>
        <w:rPr>
          <w:rFonts w:ascii="Times New Roman" w:cs="Times New Roman" w:eastAsia="Times New Roman" w:hAnsi="Times New Roman"/>
          <w:sz w:val="20"/>
          <w:szCs w:val="20"/>
          <w:color w:val="auto"/>
        </w:rPr>
        <w:t>1.8.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or a Sunday, on which the banks in New York, New York are open for business.</w:t>
      </w:r>
    </w:p>
    <w:p>
      <w:pPr>
        <w:spacing w:after="0" w:line="159" w:lineRule="exact"/>
        <w:rPr>
          <w:sz w:val="20"/>
          <w:szCs w:val="20"/>
          <w:color w:val="auto"/>
        </w:rPr>
      </w:pPr>
    </w:p>
    <w:p>
      <w:pPr>
        <w:jc w:val="both"/>
        <w:ind w:left="680" w:hanging="694"/>
        <w:spacing w:after="0" w:line="243" w:lineRule="auto"/>
        <w:rPr>
          <w:sz w:val="20"/>
          <w:szCs w:val="20"/>
          <w:color w:val="auto"/>
        </w:rPr>
      </w:pPr>
      <w:r>
        <w:rPr>
          <w:rFonts w:ascii="Times New Roman" w:cs="Times New Roman" w:eastAsia="Times New Roman" w:hAnsi="Times New Roman"/>
          <w:sz w:val="20"/>
          <w:szCs w:val="20"/>
          <w:color w:val="auto"/>
        </w:rPr>
        <w:t>1.9. “</w:t>
      </w:r>
      <w:r>
        <w:rPr>
          <w:rFonts w:ascii="Times New Roman" w:cs="Times New Roman" w:eastAsia="Times New Roman" w:hAnsi="Times New Roman"/>
          <w:sz w:val="20"/>
          <w:szCs w:val="20"/>
          <w:u w:val="single" w:color="auto"/>
          <w:color w:val="auto"/>
        </w:rPr>
        <w:t>Calendar Quarter</w:t>
      </w:r>
      <w:r>
        <w:rPr>
          <w:rFonts w:ascii="Times New Roman" w:cs="Times New Roman" w:eastAsia="Times New Roman" w:hAnsi="Times New Roman"/>
          <w:sz w:val="20"/>
          <w:szCs w:val="20"/>
          <w:color w:val="auto"/>
        </w:rPr>
        <w:t xml:space="preserve">” means each of the three month periods ending on March 31, June 30, September 30, and December 31 of any Calendar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 the first Calendar Quarter of the Term will extend from the Effective Date to the end of the Calendar Quarter in which the Effective Date occurs; and (b) the last Calendar Quarter will extend from the beginning of the Calendar Quarter in which this Agreement expires or terminates until the effective date of such expiration or termination.</w:t>
      </w:r>
    </w:p>
    <w:p>
      <w:pPr>
        <w:spacing w:after="0" w:line="186" w:lineRule="exact"/>
        <w:rPr>
          <w:sz w:val="20"/>
          <w:szCs w:val="20"/>
          <w:color w:val="auto"/>
        </w:rPr>
      </w:pPr>
    </w:p>
    <w:p>
      <w:pPr>
        <w:jc w:val="both"/>
        <w:ind w:left="680" w:right="20" w:hanging="694"/>
        <w:spacing w:after="0" w:line="249" w:lineRule="auto"/>
        <w:tabs>
          <w:tab w:leader="none" w:pos="660" w:val="left"/>
        </w:tabs>
        <w:rPr>
          <w:sz w:val="20"/>
          <w:szCs w:val="20"/>
          <w:color w:val="auto"/>
        </w:rPr>
      </w:pPr>
      <w:r>
        <w:rPr>
          <w:rFonts w:ascii="Times New Roman" w:cs="Times New Roman" w:eastAsia="Times New Roman" w:hAnsi="Times New Roman"/>
          <w:sz w:val="20"/>
          <w:szCs w:val="20"/>
          <w:color w:val="auto"/>
        </w:rPr>
        <w:t>1.10.</w:t>
        <w:tab/>
        <w:t>“</w:t>
      </w:r>
      <w:r>
        <w:rPr>
          <w:rFonts w:ascii="Times New Roman" w:cs="Times New Roman" w:eastAsia="Times New Roman" w:hAnsi="Times New Roman"/>
          <w:sz w:val="20"/>
          <w:szCs w:val="20"/>
          <w:u w:val="single" w:color="auto"/>
          <w:color w:val="auto"/>
        </w:rPr>
        <w:t>Calendar Year</w:t>
      </w:r>
      <w:r>
        <w:rPr>
          <w:rFonts w:ascii="Times New Roman" w:cs="Times New Roman" w:eastAsia="Times New Roman" w:hAnsi="Times New Roman"/>
          <w:sz w:val="20"/>
          <w:szCs w:val="20"/>
          <w:color w:val="auto"/>
        </w:rPr>
        <w:t>” means, for the first Calendar Year, the period beginning on the Effective Date and ending on December 31, 2020, and for each Calendar Year thereafter each twelve (12)-month period commencing on January 1, and ending on December 31, except that the last Calendar Year will commence on January 1 of the year in which this Agreement expires or terminates and end on the effective date of such expiration or termination.</w:t>
      </w:r>
    </w:p>
    <w:p>
      <w:pPr>
        <w:spacing w:after="0" w:line="166" w:lineRule="exact"/>
        <w:rPr>
          <w:sz w:val="20"/>
          <w:szCs w:val="20"/>
          <w:color w:val="auto"/>
        </w:rPr>
      </w:pPr>
    </w:p>
    <w:p>
      <w:pPr>
        <w:jc w:val="both"/>
        <w:ind w:left="680" w:hanging="694"/>
        <w:spacing w:after="0"/>
        <w:tabs>
          <w:tab w:leader="none" w:pos="660" w:val="left"/>
        </w:tabs>
        <w:rPr>
          <w:sz w:val="20"/>
          <w:szCs w:val="20"/>
          <w:color w:val="auto"/>
        </w:rPr>
      </w:pPr>
      <w:r>
        <w:rPr>
          <w:rFonts w:ascii="Times New Roman" w:cs="Times New Roman" w:eastAsia="Times New Roman" w:hAnsi="Times New Roman"/>
          <w:sz w:val="20"/>
          <w:szCs w:val="20"/>
          <w:color w:val="auto"/>
        </w:rPr>
        <w:t>1.11.</w:t>
        <w:tab/>
        <w:t xml:space="preserve">“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with respect to a Party, (a) a merger, consolidation, reorganization, amalgamation, arrangement, share exchange, tender or exchange offer, private purchase, business combination or other transaction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(b) a transaction or series of related transactions in which a Third Party, together with its Affiliates, becomes the direct or indirect beneficial owner of more than fifty percent (50%) of the combined voting power of the outstanding securities of such Party, or (c) the sale or other transfer to a Third Party of all or substantially all of such Party’s assets. Notwithstanding the foregoing, any transaction or series of transactions effected for the primary purpose of financing the operations of the applicable Party (including the issuance or sale of securities for financing purposes) or changing the form or jurisdiction of organization of such Party will not be deemed a “Change of Control” for purposes of this Agreement.</w:t>
      </w:r>
    </w:p>
    <w:p>
      <w:pPr>
        <w:spacing w:after="0" w:line="210" w:lineRule="exact"/>
        <w:rPr>
          <w:sz w:val="20"/>
          <w:szCs w:val="20"/>
          <w:color w:val="auto"/>
        </w:rPr>
      </w:pPr>
    </w:p>
    <w:p>
      <w:pPr>
        <w:jc w:val="both"/>
        <w:ind w:left="680" w:hanging="694"/>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1.12.</w:t>
        <w:tab/>
        <w:t>“</w:t>
      </w:r>
      <w:r>
        <w:rPr>
          <w:rFonts w:ascii="Times New Roman" w:cs="Times New Roman" w:eastAsia="Times New Roman" w:hAnsi="Times New Roman"/>
          <w:sz w:val="20"/>
          <w:szCs w:val="20"/>
          <w:u w:val="single" w:color="auto"/>
          <w:color w:val="auto"/>
        </w:rPr>
        <w:t>Clinical Data</w:t>
      </w:r>
      <w:r>
        <w:rPr>
          <w:rFonts w:ascii="Times New Roman" w:cs="Times New Roman" w:eastAsia="Times New Roman" w:hAnsi="Times New Roman"/>
          <w:sz w:val="20"/>
          <w:szCs w:val="20"/>
          <w:color w:val="auto"/>
        </w:rPr>
        <w:t>” means the original human subject data and case report forms (CRFs) collected or generated by or on behalf of a Party with respect to Clinical Studies of any</w:t>
      </w:r>
    </w:p>
    <w:p>
      <w:pPr>
        <w:spacing w:after="0" w:line="15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79" w:name="page80"/>
    <w:bookmarkEnd w:id="79"/>
    <w:p>
      <w:pPr>
        <w:ind w:left="680"/>
        <w:spacing w:after="0"/>
        <w:rPr>
          <w:sz w:val="20"/>
          <w:szCs w:val="20"/>
          <w:color w:val="auto"/>
        </w:rPr>
      </w:pPr>
      <w:r>
        <w:rPr>
          <w:rFonts w:ascii="Times New Roman" w:cs="Times New Roman" w:eastAsia="Times New Roman" w:hAnsi="Times New Roman"/>
          <w:sz w:val="20"/>
          <w:szCs w:val="20"/>
          <w:color w:val="auto"/>
        </w:rPr>
        <w:t>Licensed Compound or Licensed Product, together with all analysis, reports, and results with respect thereto.</w:t>
      </w:r>
    </w:p>
    <w:p>
      <w:pPr>
        <w:spacing w:after="0" w:line="216" w:lineRule="exact"/>
        <w:rPr>
          <w:sz w:val="20"/>
          <w:szCs w:val="20"/>
          <w:color w:val="auto"/>
        </w:rPr>
      </w:pPr>
    </w:p>
    <w:p>
      <w:pPr>
        <w:jc w:val="both"/>
        <w:ind w:left="680" w:hanging="694"/>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1.13.</w:t>
        <w:tab/>
        <w:t xml:space="preserve">“ </w:t>
      </w:r>
      <w:r>
        <w:rPr>
          <w:rFonts w:ascii="Times New Roman" w:cs="Times New Roman" w:eastAsia="Times New Roman" w:hAnsi="Times New Roman"/>
          <w:sz w:val="20"/>
          <w:szCs w:val="20"/>
          <w:u w:val="single" w:color="auto"/>
          <w:color w:val="auto"/>
        </w:rPr>
        <w:t>Clinical Study</w:t>
      </w:r>
      <w:r>
        <w:rPr>
          <w:rFonts w:ascii="Times New Roman" w:cs="Times New Roman" w:eastAsia="Times New Roman" w:hAnsi="Times New Roman"/>
          <w:sz w:val="20"/>
          <w:szCs w:val="20"/>
          <w:color w:val="auto"/>
        </w:rPr>
        <w:t>” means a study in which human subjects or patients are dosed with a drug, whether approved or investigational.</w:t>
      </w:r>
    </w:p>
    <w:p>
      <w:pPr>
        <w:spacing w:after="0" w:line="159" w:lineRule="exact"/>
        <w:rPr>
          <w:sz w:val="20"/>
          <w:szCs w:val="20"/>
          <w:color w:val="auto"/>
        </w:rPr>
      </w:pPr>
    </w:p>
    <w:p>
      <w:pPr>
        <w:jc w:val="both"/>
        <w:ind w:left="680" w:hanging="694"/>
        <w:spacing w:after="0" w:line="243" w:lineRule="auto"/>
        <w:tabs>
          <w:tab w:leader="none" w:pos="660" w:val="left"/>
        </w:tabs>
        <w:rPr>
          <w:sz w:val="20"/>
          <w:szCs w:val="20"/>
          <w:color w:val="auto"/>
        </w:rPr>
      </w:pPr>
      <w:r>
        <w:rPr>
          <w:rFonts w:ascii="Times New Roman" w:cs="Times New Roman" w:eastAsia="Times New Roman" w:hAnsi="Times New Roman"/>
          <w:sz w:val="20"/>
          <w:szCs w:val="20"/>
          <w:color w:val="auto"/>
        </w:rPr>
        <w:t>1.14.</w:t>
        <w:tab/>
        <w:t xml:space="preserve">“ </w:t>
      </w:r>
      <w:r>
        <w:rPr>
          <w:rFonts w:ascii="Times New Roman" w:cs="Times New Roman" w:eastAsia="Times New Roman" w:hAnsi="Times New Roman"/>
          <w:sz w:val="20"/>
          <w:szCs w:val="20"/>
          <w:u w:val="single" w:color="auto"/>
          <w:color w:val="auto"/>
        </w:rPr>
        <w:t>Combination Product</w:t>
      </w:r>
      <w:r>
        <w:rPr>
          <w:rFonts w:ascii="Times New Roman" w:cs="Times New Roman" w:eastAsia="Times New Roman" w:hAnsi="Times New Roman"/>
          <w:sz w:val="20"/>
          <w:szCs w:val="20"/>
          <w:color w:val="auto"/>
        </w:rPr>
        <w:t>” means any pharmaceutical preparation containing as its active ingredients both a Licensed Compound and one or more other therapeutically or prophylactically active ingredients that are not Licensed Compounds (each an “</w:t>
      </w:r>
      <w:r>
        <w:rPr>
          <w:rFonts w:ascii="Times New Roman" w:cs="Times New Roman" w:eastAsia="Times New Roman" w:hAnsi="Times New Roman"/>
          <w:sz w:val="20"/>
          <w:szCs w:val="20"/>
          <w:u w:val="single" w:color="auto"/>
          <w:color w:val="auto"/>
        </w:rPr>
        <w:t>Other Component</w:t>
      </w:r>
      <w:r>
        <w:rPr>
          <w:rFonts w:ascii="Times New Roman" w:cs="Times New Roman" w:eastAsia="Times New Roman" w:hAnsi="Times New Roman"/>
          <w:sz w:val="20"/>
          <w:szCs w:val="20"/>
          <w:color w:val="auto"/>
        </w:rPr>
        <w:t>”). Drug delivery vehicles, adjuvants, and excipients will not be deemed to be “active ingredients”, except in the case where such delivery vehicle, adjuvant, or excipient is recognized as an active ingredient in accordance with 21 C.F.R. § 210.3(b)(7) (as amended), or any foreign counterpart.</w:t>
      </w:r>
    </w:p>
    <w:p>
      <w:pPr>
        <w:spacing w:after="0" w:line="186"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1.15.</w:t>
        <w:tab/>
        <w:t>“</w:t>
      </w:r>
      <w:r>
        <w:rPr>
          <w:rFonts w:ascii="Times New Roman" w:cs="Times New Roman" w:eastAsia="Times New Roman" w:hAnsi="Times New Roman"/>
          <w:sz w:val="20"/>
          <w:szCs w:val="20"/>
          <w:u w:val="single" w:color="auto"/>
          <w:color w:val="auto"/>
        </w:rPr>
        <w:t>Commercialization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Commercializing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Commercialize</w:t>
      </w:r>
      <w:r>
        <w:rPr>
          <w:rFonts w:ascii="Times New Roman" w:cs="Times New Roman" w:eastAsia="Times New Roman" w:hAnsi="Times New Roman"/>
          <w:sz w:val="20"/>
          <w:szCs w:val="20"/>
          <w:color w:val="auto"/>
        </w:rPr>
        <w:t>” means any and all activities related to the preparation for sale of, offering for sale of, or sale of a product, including: pre-marketing, launching, marketing, promotion (including advertising and detailing), labeling, bidding and listing, pricing and reimbursement, distribution, storage, handling, offering for sale, selling, having sold, importing and exporting for sale, having imported and exported for sale, having distributed, customer service and support, and post-marketing safety surveillance and reporting of a product (including a Licensed Product), but not including Manufacturing.</w:t>
      </w:r>
    </w:p>
    <w:p>
      <w:pPr>
        <w:spacing w:after="0" w:line="18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Commercialization Plan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4.2(b)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Commercially Reasonable Efforts</w:t>
      </w:r>
      <w:r>
        <w:rPr>
          <w:rFonts w:ascii="Times New Roman" w:cs="Times New Roman" w:eastAsia="Times New Roman" w:hAnsi="Times New Roman"/>
          <w:sz w:val="19"/>
          <w:szCs w:val="19"/>
          <w:color w:val="auto"/>
        </w:rPr>
        <w:t>” [***].</w:t>
      </w:r>
    </w:p>
    <w:p>
      <w:pPr>
        <w:spacing w:after="0" w:line="216"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1.18.</w:t>
        <w:tab/>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 all trade secrets or confidential or proprietary information (including any tangible materials embodying any of the foregoing) of the disclosing Party or its Affiliates provided or disclosed to the other Party or any of its Affiliates in connection with this Agreement, (b)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(as defined in the Prior CDA) that was disclosed by a Party or any of its Affiliates to the other Party or any of its Affiliates under the Prior CDA, and (c) the terms and conditions of this Agreement which are the Confidential Information of each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Confidential Information will not include information that:</w:t>
      </w:r>
    </w:p>
    <w:p>
      <w:pPr>
        <w:spacing w:after="0" w:line="188" w:lineRule="exact"/>
        <w:rPr>
          <w:sz w:val="20"/>
          <w:szCs w:val="20"/>
          <w:color w:val="auto"/>
        </w:rPr>
      </w:pPr>
    </w:p>
    <w:p>
      <w:pPr>
        <w:jc w:val="both"/>
        <w:ind w:left="680" w:firstLine="754"/>
        <w:spacing w:after="0" w:line="254" w:lineRule="auto"/>
        <w:tabs>
          <w:tab w:leader="none" w:pos="182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published by a Third Party or otherwise is or hereafter becomes part of the public domain by public use, publication, general knowledge or otherwise through no breach of this Agreement on the part of the receiving Party;</w:t>
      </w:r>
    </w:p>
    <w:p>
      <w:pPr>
        <w:spacing w:after="0" w:line="160" w:lineRule="exact"/>
        <w:rPr>
          <w:rFonts w:ascii="Times New Roman" w:cs="Times New Roman" w:eastAsia="Times New Roman" w:hAnsi="Times New Roman"/>
          <w:sz w:val="20"/>
          <w:szCs w:val="20"/>
          <w:color w:val="auto"/>
        </w:rPr>
      </w:pPr>
    </w:p>
    <w:p>
      <w:pPr>
        <w:jc w:val="both"/>
        <w:ind w:left="680" w:firstLine="754"/>
        <w:spacing w:after="0" w:line="254" w:lineRule="auto"/>
        <w:tabs>
          <w:tab w:leader="none" w:pos="182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the receiving Party’s possession prior to disclosure by the disclosing Party hereunder, and not through a prior disclosure by the disclosing Party, without any obligation of confidentiality with respect to such information (as evidenced by the receiving Party’s or such Affiliate’s written records or other competent evidence);</w:t>
      </w:r>
    </w:p>
    <w:p>
      <w:pPr>
        <w:spacing w:after="0" w:line="174" w:lineRule="exact"/>
        <w:rPr>
          <w:rFonts w:ascii="Times New Roman" w:cs="Times New Roman" w:eastAsia="Times New Roman" w:hAnsi="Times New Roman"/>
          <w:sz w:val="20"/>
          <w:szCs w:val="20"/>
          <w:color w:val="auto"/>
        </w:rPr>
      </w:pPr>
    </w:p>
    <w:p>
      <w:pPr>
        <w:jc w:val="both"/>
        <w:ind w:left="680" w:firstLine="754"/>
        <w:spacing w:after="0" w:line="254" w:lineRule="auto"/>
        <w:tabs>
          <w:tab w:leader="none" w:pos="182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subsequently received by the receiving Party from a Third Party who is not known by the receiving Party to be under an obligation of confidentiality to the disclosing Party under any agreement between such Third Party and the disclosing Party or otherwise; or</w:t>
      </w:r>
    </w:p>
    <w:p>
      <w:pPr>
        <w:spacing w:after="0" w:line="1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0" w:name="page81"/>
    <w:bookmarkEnd w:id="80"/>
    <w:p>
      <w:pPr>
        <w:jc w:val="both"/>
        <w:ind w:left="680" w:firstLine="754"/>
        <w:spacing w:after="0" w:line="254" w:lineRule="auto"/>
        <w:tabs>
          <w:tab w:leader="none" w:pos="182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independently developed by or for the receiving Party without reference to, or use or disclosure of, the disclosing Party’s Confidential Information (as evidenced by the receiving Party’s or such Affiliate’s written records or other competent evidence);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clauses (ii) through (iv) above will not apply to the terms and conditions of this Agreement.</w:t>
      </w:r>
    </w:p>
    <w:p>
      <w:pPr>
        <w:spacing w:after="0" w:line="216" w:lineRule="exact"/>
        <w:rPr>
          <w:sz w:val="20"/>
          <w:szCs w:val="20"/>
          <w:color w:val="auto"/>
        </w:rPr>
      </w:pPr>
    </w:p>
    <w:p>
      <w:pPr>
        <w:jc w:val="both"/>
        <w:ind w:left="680" w:hanging="694"/>
        <w:spacing w:after="0" w:line="250" w:lineRule="auto"/>
        <w:tabs>
          <w:tab w:leader="none" w:pos="660" w:val="left"/>
        </w:tabs>
        <w:rPr>
          <w:sz w:val="20"/>
          <w:szCs w:val="20"/>
          <w:color w:val="auto"/>
        </w:rPr>
      </w:pPr>
      <w:r>
        <w:rPr>
          <w:rFonts w:ascii="Times New Roman" w:cs="Times New Roman" w:eastAsia="Times New Roman" w:hAnsi="Times New Roman"/>
          <w:sz w:val="20"/>
          <w:szCs w:val="20"/>
          <w:color w:val="auto"/>
        </w:rPr>
        <w:t>1.19.</w:t>
        <w:tab/>
        <w:t xml:space="preserve">“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means, with respect to any Know-How, Patent Right, Regulatory Material, Regulatory Approval or other property right, the legal authority or right (whether by ownership, license (other than a license granted pursuant to this Agreement) or otherwise) of a Person or its Affiliate, to grant access, a license or a sublicense of or under such Know-How, Patent Right, Regulatory Material, Regulatory Approval or other property right on the terms and conditions set forth in this Agreement, without breaching the terms of any agreement with a Third Party. [***].</w:t>
      </w:r>
    </w:p>
    <w:p>
      <w:pPr>
        <w:spacing w:after="0" w:line="1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Controlling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7.3(d)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1.21.</w:t>
        <w:tab/>
        <w:t>“</w:t>
      </w:r>
      <w:r>
        <w:rPr>
          <w:rFonts w:ascii="Times New Roman" w:cs="Times New Roman" w:eastAsia="Times New Roman" w:hAnsi="Times New Roman"/>
          <w:sz w:val="20"/>
          <w:szCs w:val="20"/>
          <w:u w:val="single" w:color="auto"/>
          <w:color w:val="auto"/>
        </w:rPr>
        <w:t>Cover,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Covering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Covered</w:t>
      </w:r>
      <w:r>
        <w:rPr>
          <w:rFonts w:ascii="Times New Roman" w:cs="Times New Roman" w:eastAsia="Times New Roman" w:hAnsi="Times New Roman"/>
          <w:sz w:val="20"/>
          <w:szCs w:val="20"/>
          <w:color w:val="auto"/>
        </w:rPr>
        <w:t>” means, when referring to a Licensed Product or Licensed Compound: (a) with respect to an issued Patent Right, that, in the absence of a license granted to a Person under an issued claim included in such Patent Right, the manufacture, use, sale, offer for sale or import by such Person of such Licensed Product or Licensed Compound would infringe such claim, or (b) with respect to an application for Patent Rights, that, in the absence of a license granted to a Person under a claim included in such application, the manufacture, use, sale, offer for sale or import by such Person of such Licensed Product or Licensed Compound would infringe such claim if such patent application were to issue as a patent.</w:t>
      </w:r>
    </w:p>
    <w:p>
      <w:pPr>
        <w:spacing w:after="0" w:line="18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CSC</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80" w:hanging="694"/>
        <w:spacing w:after="0" w:line="241" w:lineRule="auto"/>
        <w:tabs>
          <w:tab w:leader="none" w:pos="660" w:val="left"/>
        </w:tabs>
        <w:rPr>
          <w:sz w:val="20"/>
          <w:szCs w:val="20"/>
          <w:color w:val="auto"/>
        </w:rPr>
      </w:pPr>
      <w:r>
        <w:rPr>
          <w:rFonts w:ascii="Times New Roman" w:cs="Times New Roman" w:eastAsia="Times New Roman" w:hAnsi="Times New Roman"/>
          <w:sz w:val="20"/>
          <w:szCs w:val="20"/>
          <w:color w:val="auto"/>
        </w:rPr>
        <w:t>1.23.</w:t>
        <w:tab/>
        <w:t>“</w:t>
      </w:r>
      <w:r>
        <w:rPr>
          <w:rFonts w:ascii="Times New Roman" w:cs="Times New Roman" w:eastAsia="Times New Roman" w:hAnsi="Times New Roman"/>
          <w:sz w:val="20"/>
          <w:szCs w:val="20"/>
          <w:u w:val="single" w:color="auto"/>
          <w:color w:val="auto"/>
        </w:rPr>
        <w:t>Development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Develop</w:t>
      </w:r>
      <w:r>
        <w:rPr>
          <w:rFonts w:ascii="Times New Roman" w:cs="Times New Roman" w:eastAsia="Times New Roman" w:hAnsi="Times New Roman"/>
          <w:sz w:val="20"/>
          <w:szCs w:val="20"/>
          <w:color w:val="auto"/>
        </w:rPr>
        <w:t>” means any and all activities related to research, non-clinical testing, pre-clinical testing, Clinical Studies, and other drug research and development activities, whether before or after Regulatory Approval, including: drug metabolism and pharmacokinetics, translational research, toxicology, pharmacology, test method development and stability testing, process and packaging development and improvement, process validation, process scale-up, formulation development, delivery system development, quality assurance and quality control development, statistical analysis, conduct of Clinical Studies, regulatory affairs, the preparation and submission of Regulatory Materials, Clinical Study regulatory activities, and any other activities directed towards obtaining or maintaining Regulatory Approval of any Licensed Product. Development includes use, distribution, storage, handling, exportation and importation of the relevant compound or Licensed Product to conduct such Development activities. Development will not include Manufacturing or Commercialization activities.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means United States dollars.</w:t>
      </w:r>
    </w:p>
    <w:p>
      <w:pPr>
        <w:spacing w:after="0" w:line="2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w:t>
      </w:r>
      <w:r>
        <w:rPr>
          <w:rFonts w:ascii="Times New Roman" w:cs="Times New Roman" w:eastAsia="Times New Roman" w:hAnsi="Times New Roman"/>
          <w:sz w:val="19"/>
          <w:szCs w:val="19"/>
          <w:color w:val="auto"/>
        </w:rPr>
        <w:t>” means the European Union, as its membership may be constituted from time to time, and any successor thereto.</w:t>
      </w: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1" w:name="page82"/>
    <w:bookmarkEnd w:id="81"/>
    <w:p>
      <w:pPr>
        <w:spacing w:after="0"/>
        <w:tabs>
          <w:tab w:leader="none" w:pos="76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FDA</w:t>
      </w:r>
      <w:r>
        <w:rPr>
          <w:rFonts w:ascii="Times New Roman" w:cs="Times New Roman" w:eastAsia="Times New Roman" w:hAnsi="Times New Roman"/>
          <w:sz w:val="19"/>
          <w:szCs w:val="19"/>
          <w:color w:val="auto"/>
        </w:rPr>
        <w:t>” means the United States Food and Drug Administration or any successor agency thereto.</w:t>
      </w:r>
    </w:p>
    <w:p>
      <w:pPr>
        <w:spacing w:after="0" w:line="212" w:lineRule="exact"/>
        <w:rPr>
          <w:sz w:val="20"/>
          <w:szCs w:val="20"/>
          <w:color w:val="auto"/>
        </w:rPr>
      </w:pPr>
    </w:p>
    <w:p>
      <w:pPr>
        <w:jc w:val="both"/>
        <w:ind w:left="680" w:hanging="694"/>
        <w:spacing w:after="0" w:line="256" w:lineRule="auto"/>
        <w:tabs>
          <w:tab w:leader="none" w:pos="660" w:val="left"/>
        </w:tabs>
        <w:rPr>
          <w:sz w:val="20"/>
          <w:szCs w:val="20"/>
          <w:color w:val="auto"/>
        </w:rPr>
      </w:pPr>
      <w:r>
        <w:rPr>
          <w:rFonts w:ascii="Times New Roman" w:cs="Times New Roman" w:eastAsia="Times New Roman" w:hAnsi="Times New Roman"/>
          <w:sz w:val="20"/>
          <w:szCs w:val="20"/>
          <w:color w:val="auto"/>
        </w:rPr>
        <w:t>1.28.</w:t>
        <w:tab/>
        <w:t>“</w:t>
      </w:r>
      <w:r>
        <w:rPr>
          <w:rFonts w:ascii="Times New Roman" w:cs="Times New Roman" w:eastAsia="Times New Roman" w:hAnsi="Times New Roman"/>
          <w:sz w:val="20"/>
          <w:szCs w:val="20"/>
          <w:u w:val="single" w:color="auto"/>
          <w:color w:val="auto"/>
        </w:rPr>
        <w:t>FFDCA</w:t>
      </w:r>
      <w:r>
        <w:rPr>
          <w:rFonts w:ascii="Times New Roman" w:cs="Times New Roman" w:eastAsia="Times New Roman" w:hAnsi="Times New Roman"/>
          <w:sz w:val="20"/>
          <w:szCs w:val="20"/>
          <w:color w:val="auto"/>
        </w:rPr>
        <w:t xml:space="preserve">” means the Federal Food, Drug and Cosmetic Act under United States Code, Title 21, Section 301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together with any rules, regulations, and requirements promulgated thereunder (including all additions, supplements, extensions, and modifications thereto).</w:t>
      </w:r>
    </w:p>
    <w:p>
      <w:pPr>
        <w:spacing w:after="0" w:line="17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Field</w:t>
      </w:r>
      <w:r>
        <w:rPr>
          <w:rFonts w:ascii="Times New Roman" w:cs="Times New Roman" w:eastAsia="Times New Roman" w:hAnsi="Times New Roman"/>
          <w:sz w:val="19"/>
          <w:szCs w:val="19"/>
          <w:color w:val="auto"/>
        </w:rPr>
        <w:t>” means any and all indications and uses, including diagnostic uses.</w:t>
      </w:r>
    </w:p>
    <w:p>
      <w:pPr>
        <w:spacing w:after="0" w:line="216" w:lineRule="exact"/>
        <w:rPr>
          <w:sz w:val="20"/>
          <w:szCs w:val="20"/>
          <w:color w:val="auto"/>
        </w:rPr>
      </w:pPr>
    </w:p>
    <w:p>
      <w:pPr>
        <w:jc w:val="both"/>
        <w:ind w:left="680" w:hanging="694"/>
        <w:spacing w:after="0" w:line="259" w:lineRule="auto"/>
        <w:tabs>
          <w:tab w:leader="none" w:pos="66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First Commercial Sale</w:t>
      </w:r>
      <w:r>
        <w:rPr>
          <w:rFonts w:ascii="Times New Roman" w:cs="Times New Roman" w:eastAsia="Times New Roman" w:hAnsi="Times New Roman"/>
          <w:sz w:val="19"/>
          <w:szCs w:val="19"/>
          <w:color w:val="auto"/>
        </w:rPr>
        <w:t>” means with respect to a Licensed Product in any country in the Territory, the first sale for monetary value of such Licensed Product in such country for use or consumption by the end user of such Licensed Product in such country after all Regulatory Approvals for such Licensed Product have been obtained in such country. For the avoidance of doubt, sales prior to receipt of Regulatory Approval for a Licensed Product such as so-called “treatment IND sales,” “named patient sales,” “compassionate use sales”, shall not be considered a First Commercial Sale.</w:t>
      </w:r>
    </w:p>
    <w:p>
      <w:pPr>
        <w:spacing w:after="0" w:line="171" w:lineRule="exact"/>
        <w:rPr>
          <w:sz w:val="20"/>
          <w:szCs w:val="20"/>
          <w:color w:val="auto"/>
        </w:rPr>
      </w:pPr>
    </w:p>
    <w:p>
      <w:pPr>
        <w:jc w:val="both"/>
        <w:ind w:left="680" w:hanging="694"/>
        <w:spacing w:after="0" w:line="253" w:lineRule="auto"/>
        <w:tabs>
          <w:tab w:leader="none" w:pos="66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GCP</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Good Clinical Practice</w:t>
      </w:r>
      <w:r>
        <w:rPr>
          <w:rFonts w:ascii="Times New Roman" w:cs="Times New Roman" w:eastAsia="Times New Roman" w:hAnsi="Times New Roman"/>
          <w:sz w:val="19"/>
          <w:szCs w:val="19"/>
          <w:color w:val="auto"/>
        </w:rPr>
        <w:t>” means all applicable then-current standards for the design, conduct, performance, monitoring, auditing, recording, analyses and reporting of Clinical Studies as promulgated by the FDA or other Regulatory Authority in the Territory, including, as applicable, (a) as set forth in the International Conference on Harmonisation of Technical Requirements for Registration of Pharmaceuticals for Human Use Harmonised Tripartite Guideline for Good Clinical Practice (CPMP/ICH/135/95), (b) the Declaration of Helsinki (2013) as last amended at the 64th World Medical Association in October 2013 and any further amendments or clarifications thereto, (c) U.S. Code of Federal Regulations Title 21, Parts 50 (Protection of Human Subjects), 56 (Institutional Review Boards) and 312 (Investigational New Drug Application), and (d) the equivalent applicable Laws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81"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1.32.</w:t>
        <w:tab/>
        <w:t xml:space="preserve">“ </w:t>
      </w:r>
      <w:r>
        <w:rPr>
          <w:rFonts w:ascii="Times New Roman" w:cs="Times New Roman" w:eastAsia="Times New Roman" w:hAnsi="Times New Roman"/>
          <w:sz w:val="20"/>
          <w:szCs w:val="20"/>
          <w:u w:val="single" w:color="auto"/>
          <w:color w:val="auto"/>
        </w:rPr>
        <w:t>GLP</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Good Laboratory Practice</w:t>
      </w:r>
      <w:r>
        <w:rPr>
          <w:rFonts w:ascii="Times New Roman" w:cs="Times New Roman" w:eastAsia="Times New Roman" w:hAnsi="Times New Roman"/>
          <w:sz w:val="20"/>
          <w:szCs w:val="20"/>
          <w:color w:val="auto"/>
        </w:rPr>
        <w:t>” means all applicable then-current standards for laboratory activities for pharmaceuticals as promulgated by the FDA or other Regulatory Authority in the Territory, as set forth in the FDA’s Good Laboratory Practice regulations as defined in 21 C.F.R. Part 58, or the Good Laboratory Practice principles of the Organization for Economic Co-Operation and Development (OECD), and such standards of good laboratory practice as are required by the equivalent applicable Laws in the relevant country and other organizations and governmental agencies in countries in which a Licensed Product is intended to be sold by the Party that is subject to such standards.</w:t>
      </w:r>
    </w:p>
    <w:p>
      <w:pPr>
        <w:spacing w:after="0" w:line="202" w:lineRule="exact"/>
        <w:rPr>
          <w:sz w:val="20"/>
          <w:szCs w:val="20"/>
          <w:color w:val="auto"/>
        </w:rPr>
      </w:pPr>
    </w:p>
    <w:p>
      <w:pPr>
        <w:jc w:val="both"/>
        <w:ind w:left="680" w:hanging="694"/>
        <w:spacing w:after="0" w:line="260" w:lineRule="auto"/>
        <w:tabs>
          <w:tab w:leader="none" w:pos="66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GMP</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Good Manufacturing Practice</w:t>
      </w:r>
      <w:r>
        <w:rPr>
          <w:rFonts w:ascii="Times New Roman" w:cs="Times New Roman" w:eastAsia="Times New Roman" w:hAnsi="Times New Roman"/>
          <w:sz w:val="19"/>
          <w:szCs w:val="19"/>
          <w:color w:val="auto"/>
        </w:rPr>
        <w:t>” means all applicable then-current standards for Manufacturing as promulgated by the FDA or other Regulatory Authority in the Territory, including, as applicable, (a) the principles detailed in the U.S. Current Good Manufacturing Practices, 21 C.F.R. §§ 201, 211, 600 and 610 and all applicable FDA guidelines and requirements, (b) European Directive 2003/94/EC for medicines and investigational medicines for human use and the applicable guidelines stated in the EudraLex guidelines, (c) the principles detailed in the applicable ICH guidelines, (d) the conduct of an inspection by a Qualified Person (as defined therein) and the execution by such Qualified Person of</w:t>
      </w:r>
    </w:p>
    <w:p>
      <w:pPr>
        <w:spacing w:after="0" w:line="1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2" w:name="page83"/>
    <w:bookmarkEnd w:id="82"/>
    <w:p>
      <w:pPr>
        <w:ind w:left="680"/>
        <w:spacing w:after="0" w:line="269" w:lineRule="auto"/>
        <w:rPr>
          <w:sz w:val="20"/>
          <w:szCs w:val="20"/>
          <w:color w:val="auto"/>
        </w:rPr>
      </w:pPr>
      <w:r>
        <w:rPr>
          <w:rFonts w:ascii="Times New Roman" w:cs="Times New Roman" w:eastAsia="Times New Roman" w:hAnsi="Times New Roman"/>
          <w:sz w:val="20"/>
          <w:szCs w:val="20"/>
          <w:color w:val="auto"/>
        </w:rPr>
        <w:t>an appropriate certification of inspection; and (e) the equivalent applicable Laws in any relevant country, each as may be amended and applicable from time to time.</w:t>
      </w:r>
    </w:p>
    <w:p>
      <w:pPr>
        <w:spacing w:after="0" w:line="159" w:lineRule="exact"/>
        <w:rPr>
          <w:sz w:val="20"/>
          <w:szCs w:val="20"/>
          <w:color w:val="auto"/>
        </w:rPr>
      </w:pPr>
    </w:p>
    <w:p>
      <w:pPr>
        <w:jc w:val="both"/>
        <w:ind w:left="680" w:hanging="694"/>
        <w:spacing w:after="0" w:line="249" w:lineRule="auto"/>
        <w:tabs>
          <w:tab w:leader="none" w:pos="660" w:val="left"/>
        </w:tabs>
        <w:rPr>
          <w:sz w:val="20"/>
          <w:szCs w:val="20"/>
          <w:color w:val="auto"/>
        </w:rPr>
      </w:pPr>
      <w:r>
        <w:rPr>
          <w:rFonts w:ascii="Times New Roman" w:cs="Times New Roman" w:eastAsia="Times New Roman" w:hAnsi="Times New Roman"/>
          <w:sz w:val="20"/>
          <w:szCs w:val="20"/>
          <w:color w:val="auto"/>
        </w:rPr>
        <w:t>1.34.</w:t>
        <w:tab/>
        <w:t xml:space="preserve">“ </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multinational, federal, national, state, provincial, local or other entity, office, commission, bureau, agency, political subdivision, instrumentality, branch, department, authority, board, court, arbitral or other tribunal, official or officer, exercising executive, judicial, legislative, police, regulatory, administrative or taxing authority or functions of any nature pertaining to government.</w:t>
      </w:r>
    </w:p>
    <w:p>
      <w:pPr>
        <w:spacing w:after="0" w:line="166" w:lineRule="exact"/>
        <w:rPr>
          <w:sz w:val="20"/>
          <w:szCs w:val="20"/>
          <w:color w:val="auto"/>
        </w:rPr>
      </w:pPr>
    </w:p>
    <w:p>
      <w:pPr>
        <w:jc w:val="both"/>
        <w:ind w:left="680" w:hanging="694"/>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1.35.</w:t>
        <w:tab/>
        <w:t xml:space="preserve">“ </w:t>
      </w:r>
      <w:r>
        <w:rPr>
          <w:rFonts w:ascii="Times New Roman" w:cs="Times New Roman" w:eastAsia="Times New Roman" w:hAnsi="Times New Roman"/>
          <w:sz w:val="20"/>
          <w:szCs w:val="20"/>
          <w:u w:val="single" w:color="auto"/>
          <w:color w:val="auto"/>
        </w:rPr>
        <w:t>ICH</w:t>
      </w:r>
      <w:r>
        <w:rPr>
          <w:rFonts w:ascii="Times New Roman" w:cs="Times New Roman" w:eastAsia="Times New Roman" w:hAnsi="Times New Roman"/>
          <w:sz w:val="20"/>
          <w:szCs w:val="20"/>
          <w:color w:val="auto"/>
        </w:rPr>
        <w:t>” means the International Conference on Harmonization of Technical Requirements for Registration of Pharmaceuticals for Human Use.</w:t>
      </w:r>
    </w:p>
    <w:p>
      <w:pPr>
        <w:spacing w:after="0" w:line="1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Party</w:t>
      </w:r>
      <w:r>
        <w:rPr>
          <w:rFonts w:ascii="Times New Roman" w:cs="Times New Roman" w:eastAsia="Times New Roman" w:hAnsi="Times New Roman"/>
          <w:sz w:val="19"/>
          <w:szCs w:val="19"/>
          <w:color w:val="auto"/>
        </w:rPr>
        <w:t xml:space="preserve">” means a Person entitled to indemnification under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Indemnifying Party</w:t>
      </w:r>
      <w:r>
        <w:rPr>
          <w:rFonts w:ascii="Times New Roman" w:cs="Times New Roman" w:eastAsia="Times New Roman" w:hAnsi="Times New Roman"/>
          <w:sz w:val="19"/>
          <w:szCs w:val="19"/>
          <w:color w:val="auto"/>
        </w:rPr>
        <w:t xml:space="preserve">” means a Party from whom indemnification is sought under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Indication</w:t>
      </w:r>
      <w:r>
        <w:rPr>
          <w:rFonts w:ascii="Times New Roman" w:cs="Times New Roman" w:eastAsia="Times New Roman" w:hAnsi="Times New Roman"/>
          <w:sz w:val="19"/>
          <w:szCs w:val="19"/>
          <w:color w:val="auto"/>
        </w:rPr>
        <w:t>” means a disease or pathological condition [***].</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Infringement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7.3(a)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Infringement Action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7.3(b)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Infringement Claim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Initiation</w:t>
      </w:r>
      <w:r>
        <w:rPr>
          <w:rFonts w:ascii="Times New Roman" w:cs="Times New Roman" w:eastAsia="Times New Roman" w:hAnsi="Times New Roman"/>
          <w:sz w:val="19"/>
          <w:szCs w:val="19"/>
          <w:color w:val="auto"/>
        </w:rPr>
        <w:t>” means, as to a Clinical Study, the date upon which [***] in such Clinical Study.</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Inventions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7.1(c)</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Patents</w:t>
      </w:r>
      <w:r>
        <w:rPr>
          <w:rFonts w:ascii="Times New Roman" w:cs="Times New Roman" w:eastAsia="Times New Roman" w:hAnsi="Times New Roman"/>
          <w:sz w:val="19"/>
          <w:szCs w:val="19"/>
          <w:color w:val="auto"/>
        </w:rPr>
        <w:t>” means the Patent Rights claiming the Joint Inventions.</w:t>
      </w:r>
    </w:p>
    <w:p>
      <w:pPr>
        <w:spacing w:after="0" w:line="216" w:lineRule="exact"/>
        <w:rPr>
          <w:sz w:val="20"/>
          <w:szCs w:val="20"/>
          <w:color w:val="auto"/>
        </w:rPr>
      </w:pPr>
    </w:p>
    <w:p>
      <w:pPr>
        <w:jc w:val="both"/>
        <w:ind w:left="680" w:hanging="694"/>
        <w:spacing w:after="0" w:line="244" w:lineRule="auto"/>
        <w:tabs>
          <w:tab w:leader="none" w:pos="660" w:val="left"/>
        </w:tabs>
        <w:rPr>
          <w:sz w:val="20"/>
          <w:szCs w:val="20"/>
          <w:color w:val="auto"/>
        </w:rPr>
      </w:pPr>
      <w:r>
        <w:rPr>
          <w:rFonts w:ascii="Times New Roman" w:cs="Times New Roman" w:eastAsia="Times New Roman" w:hAnsi="Times New Roman"/>
          <w:sz w:val="20"/>
          <w:szCs w:val="20"/>
          <w:color w:val="auto"/>
        </w:rPr>
        <w:t>1.45.</w:t>
        <w:tab/>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all chemical and biological materials and other tangible materials, inventions, practices, methods, protocols, formulae, knowledge, know-how, trade secrets, processes, procedures, assays, skills, experience, techniques, information, data and results of experimentation and testing, including pharmacological, toxicological and pre-clinical and clinical test data and analytical and quality control data, patentable or otherwise.</w:t>
      </w:r>
    </w:p>
    <w:p>
      <w:pPr>
        <w:spacing w:after="0" w:line="185" w:lineRule="exact"/>
        <w:rPr>
          <w:sz w:val="20"/>
          <w:szCs w:val="20"/>
          <w:color w:val="auto"/>
        </w:rPr>
      </w:pPr>
    </w:p>
    <w:p>
      <w:pPr>
        <w:jc w:val="both"/>
        <w:ind w:left="680" w:hanging="694"/>
        <w:spacing w:after="0" w:line="241" w:lineRule="auto"/>
        <w:tabs>
          <w:tab w:leader="none" w:pos="660" w:val="left"/>
        </w:tabs>
        <w:rPr>
          <w:sz w:val="20"/>
          <w:szCs w:val="20"/>
          <w:color w:val="auto"/>
        </w:rPr>
      </w:pPr>
      <w:r>
        <w:rPr>
          <w:rFonts w:ascii="Times New Roman" w:cs="Times New Roman" w:eastAsia="Times New Roman" w:hAnsi="Times New Roman"/>
          <w:sz w:val="20"/>
          <w:szCs w:val="20"/>
          <w:color w:val="auto"/>
        </w:rPr>
        <w:t>1.46.</w:t>
        <w:tab/>
        <w:t xml:space="preserve">“ </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any applicable federal, state, local, municipal, foreign, or other law, statute, legislation, constitution, principle of common law, code, treaty ordinance, regulation, rule, or order of any kind whatsoever put into place under the authority of any Governmental Authority, including the FFDCA, Prescription Drug Marketing Act, the Generic Drug Enforcement Act of 1992 (21 U.S.C. §335a et seq.), U.S. Patent Act (35 U.S.C. §1 et seq.), Federal Civil False Claims Act (31 U.S.C. §3729 et seq.), and the Anti-Kickback Statute (42 U.S.C. §1320a-7b et seq.), all as amended from time to time, together with any rules or regulations promulgated thereunder. “Law” will include the applicable regulations and guidance of the FDA and European Union (and national implementations thereof) that constitute GLP, GMP, and GCP (and, if and as appropriate under the circumstances, ICH guidance or other comparable regulation and guidance of any applicable Governmental Authority).</w:t>
      </w:r>
    </w:p>
    <w:p>
      <w:pPr>
        <w:spacing w:after="0" w:line="1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Licensed Compound</w:t>
      </w:r>
      <w:r>
        <w:rPr>
          <w:rFonts w:ascii="Times New Roman" w:cs="Times New Roman" w:eastAsia="Times New Roman" w:hAnsi="Times New Roman"/>
          <w:sz w:val="19"/>
          <w:szCs w:val="19"/>
          <w:color w:val="auto"/>
        </w:rPr>
        <w:t>” means [***].</w:t>
      </w: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3" w:name="page84"/>
    <w:bookmarkEnd w:id="83"/>
    <w:p>
      <w:pPr>
        <w:spacing w:after="0"/>
        <w:tabs>
          <w:tab w:leader="none" w:pos="76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Licensed Compound Materials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80" w:right="20" w:hanging="694"/>
        <w:spacing w:after="0" w:line="274" w:lineRule="auto"/>
        <w:tabs>
          <w:tab w:leader="none" w:pos="66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Licensed Know-How</w:t>
      </w:r>
      <w:r>
        <w:rPr>
          <w:rFonts w:ascii="Times New Roman" w:cs="Times New Roman" w:eastAsia="Times New Roman" w:hAnsi="Times New Roman"/>
          <w:sz w:val="19"/>
          <w:szCs w:val="19"/>
          <w:color w:val="auto"/>
        </w:rPr>
        <w:t>” means any and all Know-How that is Controlled by Mirati as of the Effective Date or at any time during the Term, in each case, that is [***] to research, Develop, Manufacture or Commercialize the Licensed Compound or Licensed Products in the Field and in the Territory. For clarity, Licensed Know-How includes Mirati Sole Inventions.</w:t>
      </w:r>
    </w:p>
    <w:p>
      <w:pPr>
        <w:spacing w:after="0" w:line="1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1.50.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Licensed Patents</w:t>
      </w:r>
      <w:r>
        <w:rPr>
          <w:rFonts w:ascii="Times New Roman" w:cs="Times New Roman" w:eastAsia="Times New Roman" w:hAnsi="Times New Roman"/>
          <w:sz w:val="20"/>
          <w:szCs w:val="20"/>
          <w:color w:val="auto"/>
        </w:rPr>
        <w:t xml:space="preserve">” means (a) the issued patents and pending patent applications listed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plus</w:t>
      </w:r>
    </w:p>
    <w:p>
      <w:pPr>
        <w:spacing w:after="0" w:line="22" w:lineRule="exact"/>
        <w:rPr>
          <w:sz w:val="20"/>
          <w:szCs w:val="20"/>
          <w:color w:val="auto"/>
        </w:rPr>
      </w:pPr>
    </w:p>
    <w:p>
      <w:pPr>
        <w:jc w:val="both"/>
        <w:ind w:left="680" w:firstLine="6"/>
        <w:spacing w:after="0" w:line="238" w:lineRule="auto"/>
        <w:tabs>
          <w:tab w:leader="none" w:pos="95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divisionals, continuations, continuations-in-part thereof or any other patent rights claiming priority directly or indirectly to, or common priority with, any of the issued patents or patent applications identified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and (ii) all patents issuing on any of the foregoing, together with all registrations, reissues, re-examinations, renewals, supplemental protection certificates and extensions of any of the foregoing, and all foreign counterparts thereof, and (b) any other Patent Rights Controlled by Mirati, as of the Effective Date or at any time during the Term, that (i) [***] or (ii) is [***] for the research, Manufacture, use, sale, offer for sale, importation, Development or Commercialization of any Licensed Compound or Licensed Product in the Field in the Territory.</w:t>
      </w:r>
    </w:p>
    <w:p>
      <w:pPr>
        <w:spacing w:after="0" w:line="191" w:lineRule="exact"/>
        <w:rPr>
          <w:sz w:val="20"/>
          <w:szCs w:val="20"/>
          <w:color w:val="auto"/>
        </w:rPr>
      </w:pPr>
    </w:p>
    <w:p>
      <w:pPr>
        <w:jc w:val="both"/>
        <w:ind w:left="680" w:hanging="694"/>
        <w:spacing w:after="0" w:line="247" w:lineRule="auto"/>
        <w:tabs>
          <w:tab w:leader="none" w:pos="660" w:val="left"/>
        </w:tabs>
        <w:rPr>
          <w:sz w:val="20"/>
          <w:szCs w:val="20"/>
          <w:color w:val="auto"/>
        </w:rPr>
      </w:pPr>
      <w:r>
        <w:rPr>
          <w:rFonts w:ascii="Times New Roman" w:cs="Times New Roman" w:eastAsia="Times New Roman" w:hAnsi="Times New Roman"/>
          <w:sz w:val="20"/>
          <w:szCs w:val="20"/>
          <w:color w:val="auto"/>
        </w:rPr>
        <w:t>1.51.</w:t>
        <w:tab/>
        <w:t xml:space="preserve">“ </w:t>
      </w:r>
      <w:r>
        <w:rPr>
          <w:rFonts w:ascii="Times New Roman" w:cs="Times New Roman" w:eastAsia="Times New Roman" w:hAnsi="Times New Roman"/>
          <w:sz w:val="20"/>
          <w:szCs w:val="20"/>
          <w:u w:val="single" w:color="auto"/>
          <w:color w:val="auto"/>
        </w:rPr>
        <w:t>Licensed Product</w:t>
      </w:r>
      <w:r>
        <w:rPr>
          <w:rFonts w:ascii="Times New Roman" w:cs="Times New Roman" w:eastAsia="Times New Roman" w:hAnsi="Times New Roman"/>
          <w:sz w:val="20"/>
          <w:szCs w:val="20"/>
          <w:color w:val="auto"/>
        </w:rPr>
        <w:t>” means any pharmaceutical product containing a Licensed Compound (whether alone as the sole active pharmaceutical ingredient or as a combination with other active pharmaceutical ingredient(s)) in any form, presentation, formulation or dosage form. For clarification, Licensed Product will include any Combination Product.</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Licensed Target</w:t>
      </w:r>
      <w:r>
        <w:rPr>
          <w:rFonts w:ascii="Times New Roman" w:cs="Times New Roman" w:eastAsia="Times New Roman" w:hAnsi="Times New Roman"/>
          <w:sz w:val="19"/>
          <w:szCs w:val="19"/>
          <w:color w:val="auto"/>
        </w:rPr>
        <w:t>” means the core Polycomb Repressive Complex 2 protein (PRC2) [***].</w:t>
      </w:r>
    </w:p>
    <w:p>
      <w:pPr>
        <w:spacing w:after="0" w:line="216" w:lineRule="exact"/>
        <w:rPr>
          <w:sz w:val="20"/>
          <w:szCs w:val="20"/>
          <w:color w:val="auto"/>
        </w:rPr>
      </w:pPr>
    </w:p>
    <w:p>
      <w:pPr>
        <w:jc w:val="both"/>
        <w:ind w:left="680" w:hanging="694"/>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1.53.</w:t>
        <w:tab/>
        <w:t>“</w:t>
      </w:r>
      <w:r>
        <w:rPr>
          <w:rFonts w:ascii="Times New Roman" w:cs="Times New Roman" w:eastAsia="Times New Roman" w:hAnsi="Times New Roman"/>
          <w:sz w:val="20"/>
          <w:szCs w:val="20"/>
          <w:u w:val="single" w:color="auto"/>
          <w:color w:val="auto"/>
        </w:rPr>
        <w:t>Licensed Technology</w:t>
      </w:r>
      <w:r>
        <w:rPr>
          <w:rFonts w:ascii="Times New Roman" w:cs="Times New Roman" w:eastAsia="Times New Roman" w:hAnsi="Times New Roman"/>
          <w:sz w:val="20"/>
          <w:szCs w:val="20"/>
          <w:color w:val="auto"/>
        </w:rPr>
        <w:t>” means collectively, Licensed Patents, Licensed Know-How, including Mirati’s interest in Joint Inventions and Joint Patents.</w:t>
      </w:r>
    </w:p>
    <w:p>
      <w:pPr>
        <w:spacing w:after="0" w:line="159" w:lineRule="exact"/>
        <w:rPr>
          <w:sz w:val="20"/>
          <w:szCs w:val="20"/>
          <w:color w:val="auto"/>
        </w:rPr>
      </w:pPr>
    </w:p>
    <w:p>
      <w:pPr>
        <w:jc w:val="both"/>
        <w:ind w:left="680" w:hanging="694"/>
        <w:spacing w:after="0" w:line="247" w:lineRule="auto"/>
        <w:tabs>
          <w:tab w:leader="none" w:pos="660" w:val="left"/>
        </w:tabs>
        <w:rPr>
          <w:sz w:val="20"/>
          <w:szCs w:val="20"/>
          <w:color w:val="auto"/>
        </w:rPr>
      </w:pPr>
      <w:r>
        <w:rPr>
          <w:rFonts w:ascii="Times New Roman" w:cs="Times New Roman" w:eastAsia="Times New Roman" w:hAnsi="Times New Roman"/>
          <w:sz w:val="20"/>
          <w:szCs w:val="20"/>
          <w:color w:val="auto"/>
        </w:rPr>
        <w:t>1.54.</w:t>
        <w:tab/>
        <w:t>“</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means damages, losses, liabilities, costs (including costs of investigation, defense), fines, penalties, expenses, or amounts paid in settlement (in each case, including reasonable attorneys’ and experts’ fees and expenses), in each case resulting from an Action.</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 European Country</w:t>
      </w:r>
      <w:r>
        <w:rPr>
          <w:rFonts w:ascii="Times New Roman" w:cs="Times New Roman" w:eastAsia="Times New Roman" w:hAnsi="Times New Roman"/>
          <w:sz w:val="19"/>
          <w:szCs w:val="19"/>
          <w:color w:val="auto"/>
        </w:rPr>
        <w:t>” means any of the United Kingdom, France, Germany, Italy or Spain.</w:t>
      </w:r>
    </w:p>
    <w:p>
      <w:pPr>
        <w:spacing w:after="0" w:line="216" w:lineRule="exact"/>
        <w:rPr>
          <w:sz w:val="20"/>
          <w:szCs w:val="20"/>
          <w:color w:val="auto"/>
        </w:rPr>
      </w:pPr>
    </w:p>
    <w:p>
      <w:pPr>
        <w:jc w:val="both"/>
        <w:ind w:left="680" w:hanging="694"/>
        <w:spacing w:after="0" w:line="241" w:lineRule="auto"/>
        <w:tabs>
          <w:tab w:leader="none" w:pos="660" w:val="left"/>
        </w:tabs>
        <w:rPr>
          <w:sz w:val="20"/>
          <w:szCs w:val="20"/>
          <w:color w:val="auto"/>
        </w:rPr>
      </w:pPr>
      <w:r>
        <w:rPr>
          <w:rFonts w:ascii="Times New Roman" w:cs="Times New Roman" w:eastAsia="Times New Roman" w:hAnsi="Times New Roman"/>
          <w:sz w:val="20"/>
          <w:szCs w:val="20"/>
          <w:color w:val="auto"/>
        </w:rPr>
        <w:t>1.56.</w:t>
        <w:tab/>
        <w:t>“</w:t>
      </w:r>
      <w:r>
        <w:rPr>
          <w:rFonts w:ascii="Times New Roman" w:cs="Times New Roman" w:eastAsia="Times New Roman" w:hAnsi="Times New Roman"/>
          <w:sz w:val="20"/>
          <w:szCs w:val="20"/>
          <w:u w:val="single" w:color="auto"/>
          <w:color w:val="auto"/>
        </w:rPr>
        <w:t>Manufacture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Manufacturing</w:t>
      </w:r>
      <w:r>
        <w:rPr>
          <w:rFonts w:ascii="Times New Roman" w:cs="Times New Roman" w:eastAsia="Times New Roman" w:hAnsi="Times New Roman"/>
          <w:sz w:val="20"/>
          <w:szCs w:val="20"/>
          <w:color w:val="auto"/>
        </w:rPr>
        <w:t>” means all activities related to the production of a Licensed Compound or Licensed Product, including the production of any of the following to the extent used in a Licensed Product: any drug substance produced in bulk form for use as an active pharmaceutical ingredient, drug product, compounded or finished final packaged and labeled form, and in intermediate states, including the following activities: reference standard preparation, purification, formulation, scale-up, packaging, quality assurance oversight, quality control testing (including in-process release and stability testing), validation activities directly related to all of the foregoing, and data management and recordkeeping related to all of the foregoing. References to a Person engaging in Manufacturing activities will include having any or all of the foregoing activities performed by a Third Party.</w:t>
      </w:r>
    </w:p>
    <w:p>
      <w:pPr>
        <w:spacing w:after="0" w:line="1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Mirati</w:t>
      </w:r>
      <w:r>
        <w:rPr>
          <w:rFonts w:ascii="Times New Roman" w:cs="Times New Roman" w:eastAsia="Times New Roman" w:hAnsi="Times New Roman"/>
          <w:sz w:val="19"/>
          <w:szCs w:val="19"/>
          <w:color w:val="auto"/>
        </w:rPr>
        <w:t>” has the meaning set forth in the preamble.</w:t>
      </w: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4" w:name="page85"/>
    <w:bookmarkEnd w:id="84"/>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1.58.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Mirati Indemnified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1.59.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Mirati Sole Inventions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Non-Breaching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12.3(a)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ORIC</w:t>
      </w:r>
      <w:r>
        <w:rPr>
          <w:rFonts w:ascii="Times New Roman" w:cs="Times New Roman" w:eastAsia="Times New Roman" w:hAnsi="Times New Roman"/>
          <w:sz w:val="19"/>
          <w:szCs w:val="19"/>
          <w:color w:val="auto"/>
        </w:rPr>
        <w:t>” has the meaning set forth in the preamble.</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ORIC Indemnified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ORIC Patents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7.1(b)</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ORIC Sole Inventions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Component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1.14</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means either Mirati or ORIC;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means Mirati and ORIC, collectively.</w:t>
      </w:r>
    </w:p>
    <w:p>
      <w:pPr>
        <w:spacing w:after="0" w:line="216"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1.67.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Patent Challenge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12.3(d)(i)</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740" w:hanging="694"/>
        <w:spacing w:after="0" w:line="242" w:lineRule="auto"/>
        <w:tabs>
          <w:tab w:leader="none" w:pos="720" w:val="left"/>
        </w:tabs>
        <w:rPr>
          <w:sz w:val="20"/>
          <w:szCs w:val="20"/>
          <w:color w:val="auto"/>
        </w:rPr>
      </w:pPr>
      <w:r>
        <w:rPr>
          <w:rFonts w:ascii="Times New Roman" w:cs="Times New Roman" w:eastAsia="Times New Roman" w:hAnsi="Times New Roman"/>
          <w:sz w:val="20"/>
          <w:szCs w:val="20"/>
          <w:color w:val="auto"/>
        </w:rPr>
        <w:t>1.68.</w:t>
        <w:tab/>
        <w:t xml:space="preserve">“ </w:t>
      </w:r>
      <w:r>
        <w:rPr>
          <w:rFonts w:ascii="Times New Roman" w:cs="Times New Roman" w:eastAsia="Times New Roman" w:hAnsi="Times New Roman"/>
          <w:sz w:val="20"/>
          <w:szCs w:val="20"/>
          <w:u w:val="single" w:color="auto"/>
          <w:color w:val="auto"/>
        </w:rPr>
        <w:t>Patent Rights</w:t>
      </w:r>
      <w:r>
        <w:rPr>
          <w:rFonts w:ascii="Times New Roman" w:cs="Times New Roman" w:eastAsia="Times New Roman" w:hAnsi="Times New Roman"/>
          <w:sz w:val="20"/>
          <w:szCs w:val="20"/>
          <w:color w:val="auto"/>
        </w:rPr>
        <w:t>” means (a) all patents and patent applications (including provisional applications), including all divisionals, continuations, substitutions, continuations-in-part, re-examinations, re-issues, additions, renewals, extensions, confirmations, registrations, any other pre- or post-grant forms of any of the foregoing, (b) any confirmation patent or registration patent or patent of addition, utility models, patent term extensions, and supplemental protection certificates or requests for continued examinations, foreign counterparts, and the like of any of the foregoing, and (c) any and all patents that have issued or in the future issue from the foregoing patent applications, including author certificates, utility models, petty patents, innovation patents and design patents and certificates of invention.</w:t>
      </w:r>
    </w:p>
    <w:p>
      <w:pPr>
        <w:spacing w:after="0" w:line="186" w:lineRule="exact"/>
        <w:rPr>
          <w:sz w:val="20"/>
          <w:szCs w:val="20"/>
          <w:color w:val="auto"/>
        </w:rPr>
      </w:pPr>
    </w:p>
    <w:p>
      <w:pPr>
        <w:jc w:val="both"/>
        <w:ind w:left="740" w:hanging="694"/>
        <w:spacing w:after="0" w:line="269" w:lineRule="auto"/>
        <w:tabs>
          <w:tab w:leader="none" w:pos="720" w:val="left"/>
        </w:tabs>
        <w:rPr>
          <w:sz w:val="20"/>
          <w:szCs w:val="20"/>
          <w:color w:val="auto"/>
        </w:rPr>
      </w:pPr>
      <w:r>
        <w:rPr>
          <w:rFonts w:ascii="Times New Roman" w:cs="Times New Roman" w:eastAsia="Times New Roman" w:hAnsi="Times New Roman"/>
          <w:sz w:val="20"/>
          <w:szCs w:val="20"/>
          <w:color w:val="auto"/>
        </w:rPr>
        <w:t>1.69.</w:t>
        <w:tab/>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general partnership, limited partnership, joint venture, proprietorship or other business organization or a Governmental Authority.</w:t>
      </w:r>
    </w:p>
    <w:p>
      <w:pPr>
        <w:spacing w:after="0" w:line="146" w:lineRule="exact"/>
        <w:rPr>
          <w:sz w:val="20"/>
          <w:szCs w:val="20"/>
          <w:color w:val="auto"/>
        </w:rPr>
      </w:pPr>
    </w:p>
    <w:p>
      <w:pPr>
        <w:jc w:val="both"/>
        <w:ind w:left="740" w:hanging="694"/>
        <w:spacing w:after="0" w:line="249" w:lineRule="auto"/>
        <w:tabs>
          <w:tab w:leader="none" w:pos="720" w:val="left"/>
        </w:tabs>
        <w:rPr>
          <w:sz w:val="20"/>
          <w:szCs w:val="20"/>
          <w:color w:val="auto"/>
        </w:rPr>
      </w:pPr>
      <w:r>
        <w:rPr>
          <w:rFonts w:ascii="Times New Roman" w:cs="Times New Roman" w:eastAsia="Times New Roman" w:hAnsi="Times New Roman"/>
          <w:sz w:val="20"/>
          <w:szCs w:val="20"/>
          <w:color w:val="auto"/>
        </w:rPr>
        <w:t>1.70.</w:t>
        <w:tab/>
        <w:t xml:space="preserve">“ </w:t>
      </w:r>
      <w:r>
        <w:rPr>
          <w:rFonts w:ascii="Times New Roman" w:cs="Times New Roman" w:eastAsia="Times New Roman" w:hAnsi="Times New Roman"/>
          <w:sz w:val="20"/>
          <w:szCs w:val="20"/>
          <w:u w:val="single" w:color="auto"/>
          <w:color w:val="auto"/>
        </w:rPr>
        <w:t>Phase 1 Study</w:t>
      </w:r>
      <w:r>
        <w:rPr>
          <w:rFonts w:ascii="Times New Roman" w:cs="Times New Roman" w:eastAsia="Times New Roman" w:hAnsi="Times New Roman"/>
          <w:sz w:val="20"/>
          <w:szCs w:val="20"/>
          <w:color w:val="auto"/>
        </w:rPr>
        <w:t>” means a Clinical Study of an investigational product in subjects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w:t>
      </w:r>
    </w:p>
    <w:p>
      <w:pPr>
        <w:spacing w:after="0" w:line="180" w:lineRule="exact"/>
        <w:rPr>
          <w:sz w:val="20"/>
          <w:szCs w:val="20"/>
          <w:color w:val="auto"/>
        </w:rPr>
      </w:pPr>
    </w:p>
    <w:p>
      <w:pPr>
        <w:jc w:val="both"/>
        <w:ind w:left="740" w:hanging="694"/>
        <w:spacing w:after="0" w:line="242" w:lineRule="auto"/>
        <w:tabs>
          <w:tab w:leader="none" w:pos="720" w:val="left"/>
        </w:tabs>
        <w:rPr>
          <w:sz w:val="20"/>
          <w:szCs w:val="20"/>
          <w:color w:val="auto"/>
        </w:rPr>
      </w:pPr>
      <w:r>
        <w:rPr>
          <w:rFonts w:ascii="Times New Roman" w:cs="Times New Roman" w:eastAsia="Times New Roman" w:hAnsi="Times New Roman"/>
          <w:sz w:val="20"/>
          <w:szCs w:val="20"/>
          <w:color w:val="auto"/>
        </w:rPr>
        <w:t>1.71.</w:t>
        <w:tab/>
        <w:t>“</w:t>
      </w:r>
      <w:r>
        <w:rPr>
          <w:rFonts w:ascii="Times New Roman" w:cs="Times New Roman" w:eastAsia="Times New Roman" w:hAnsi="Times New Roman"/>
          <w:sz w:val="20"/>
          <w:szCs w:val="20"/>
          <w:u w:val="single" w:color="auto"/>
          <w:color w:val="auto"/>
        </w:rPr>
        <w:t>Phase 2 Study</w:t>
      </w:r>
      <w:r>
        <w:rPr>
          <w:rFonts w:ascii="Times New Roman" w:cs="Times New Roman" w:eastAsia="Times New Roman" w:hAnsi="Times New Roman"/>
          <w:sz w:val="20"/>
          <w:szCs w:val="20"/>
          <w:color w:val="auto"/>
        </w:rPr>
        <w:t>” means a Clinical Study of an investigational product in subjects in the target patient population, with the primary objective of characterizing its activity in a specific disease state as well as generating more detailed safety, tolerability, pharmacokinetics, pharmacodynamics, and dose finding information, as described in 21 C.F.R. §312.21(b), or a comparable Clinical Study prescribed by the relevant Regulatory Authority in a country other than the United States including a human clinical trial that is also designed to satisfy the requirements of 21 C.F.R. §312.21(a) or corresponding foreign regulations and is subsequently optimized or expanded to satisfy the requirements of 21 C.F.R. §312.21(b) (or corresponding foreign regulations) or otherwise to enable a Phase 3 Study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Phase 1 Study/ Phase 2 Study). [***].</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306705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85" w:name="page86"/>
    <w:bookmarkEnd w:id="85"/>
    <w:p>
      <w:pPr>
        <w:jc w:val="both"/>
        <w:ind w:left="680" w:hanging="694"/>
        <w:spacing w:after="0" w:line="246" w:lineRule="auto"/>
        <w:tabs>
          <w:tab w:leader="none" w:pos="660" w:val="left"/>
        </w:tabs>
        <w:rPr>
          <w:sz w:val="20"/>
          <w:szCs w:val="20"/>
          <w:color w:val="auto"/>
        </w:rPr>
      </w:pPr>
      <w:r>
        <w:rPr>
          <w:rFonts w:ascii="Times New Roman" w:cs="Times New Roman" w:eastAsia="Times New Roman" w:hAnsi="Times New Roman"/>
          <w:sz w:val="20"/>
          <w:szCs w:val="20"/>
          <w:color w:val="auto"/>
        </w:rPr>
        <w:t>1.72.</w:t>
        <w:tab/>
        <w:t>“</w:t>
      </w:r>
      <w:r>
        <w:rPr>
          <w:rFonts w:ascii="Times New Roman" w:cs="Times New Roman" w:eastAsia="Times New Roman" w:hAnsi="Times New Roman"/>
          <w:sz w:val="20"/>
          <w:szCs w:val="20"/>
          <w:u w:val="single" w:color="auto"/>
          <w:color w:val="auto"/>
        </w:rPr>
        <w:t>Phase 3 Study</w:t>
      </w:r>
      <w:r>
        <w:rPr>
          <w:rFonts w:ascii="Times New Roman" w:cs="Times New Roman" w:eastAsia="Times New Roman" w:hAnsi="Times New Roman"/>
          <w:sz w:val="20"/>
          <w:szCs w:val="20"/>
          <w:color w:val="auto"/>
        </w:rPr>
        <w:t>” means a Clinical Study of an investigational product in subjects in the target patient population, that incorporates accepted endpoints for confirmation of statistical significance of efficacy and safety with the aim to generate data and results sufficient to support an application submitted to obtain Regulatory Approval, as described in 21 C.F.R. §312.21(c), or a comparable Clinical Study prescribed by the relevant Regulatory Authority in a country other than the United States. [***].</w:t>
      </w:r>
    </w:p>
    <w:p>
      <w:pPr>
        <w:spacing w:after="0" w:line="185" w:lineRule="exact"/>
        <w:rPr>
          <w:sz w:val="20"/>
          <w:szCs w:val="20"/>
          <w:color w:val="auto"/>
        </w:rPr>
      </w:pPr>
    </w:p>
    <w:p>
      <w:pPr>
        <w:jc w:val="both"/>
        <w:ind w:left="680" w:hanging="694"/>
        <w:spacing w:after="0" w:line="247" w:lineRule="auto"/>
        <w:tabs>
          <w:tab w:leader="none" w:pos="660" w:val="left"/>
        </w:tabs>
        <w:rPr>
          <w:sz w:val="20"/>
          <w:szCs w:val="20"/>
          <w:color w:val="auto"/>
        </w:rPr>
      </w:pPr>
      <w:r>
        <w:rPr>
          <w:rFonts w:ascii="Times New Roman" w:cs="Times New Roman" w:eastAsia="Times New Roman" w:hAnsi="Times New Roman"/>
          <w:sz w:val="20"/>
          <w:szCs w:val="20"/>
          <w:color w:val="auto"/>
        </w:rPr>
        <w:t>1.73.</w:t>
        <w:tab/>
        <w:t xml:space="preserve">“ </w:t>
      </w:r>
      <w:r>
        <w:rPr>
          <w:rFonts w:ascii="Times New Roman" w:cs="Times New Roman" w:eastAsia="Times New Roman" w:hAnsi="Times New Roman"/>
          <w:sz w:val="20"/>
          <w:szCs w:val="20"/>
          <w:u w:val="single" w:color="auto"/>
          <w:color w:val="auto"/>
        </w:rPr>
        <w:t>Pricing and Reimbursement Approval</w:t>
      </w:r>
      <w:r>
        <w:rPr>
          <w:rFonts w:ascii="Times New Roman" w:cs="Times New Roman" w:eastAsia="Times New Roman" w:hAnsi="Times New Roman"/>
          <w:sz w:val="20"/>
          <w:szCs w:val="20"/>
          <w:color w:val="auto"/>
        </w:rPr>
        <w:t>” means, with respect to a Licensed Product, the governmental approval, agreement, determination or decision establishing the price or level of reimbursement for such Licensed Product, in a given country in the Territory prior to the sale of such Licensed Product in such jurisdiction in the Territory.</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Prior CDA</w:t>
      </w:r>
      <w:r>
        <w:rPr>
          <w:rFonts w:ascii="Times New Roman" w:cs="Times New Roman" w:eastAsia="Times New Roman" w:hAnsi="Times New Roman"/>
          <w:sz w:val="19"/>
          <w:szCs w:val="19"/>
          <w:color w:val="auto"/>
        </w:rPr>
        <w:t>” means the Mutual Non-Disclosure Agreement executed by the Parties as of July 24, 2019.</w:t>
      </w:r>
    </w:p>
    <w:p>
      <w:pPr>
        <w:spacing w:after="0" w:line="216"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1.75.</w:t>
        <w:tab/>
        <w:t>“</w:t>
      </w:r>
      <w:r>
        <w:rPr>
          <w:rFonts w:ascii="Times New Roman" w:cs="Times New Roman" w:eastAsia="Times New Roman" w:hAnsi="Times New Roman"/>
          <w:sz w:val="20"/>
          <w:szCs w:val="20"/>
          <w:u w:val="single" w:color="auto"/>
          <w:color w:val="auto"/>
        </w:rPr>
        <w:t>Prosecute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Prosecution</w:t>
      </w:r>
      <w:r>
        <w:rPr>
          <w:rFonts w:ascii="Times New Roman" w:cs="Times New Roman" w:eastAsia="Times New Roman" w:hAnsi="Times New Roman"/>
          <w:sz w:val="20"/>
          <w:szCs w:val="20"/>
          <w:color w:val="auto"/>
        </w:rPr>
        <w:t>” means in relation to any Patent Rights, (a) to prepare and file patent applications, including re-examinations or re-issues thereof, and represent applicants or assignees before relevant patent offices or other relevant Governmental Authorities during examination, re-examination and re-issue thereof, in appeal processes and interferences, or any equivalent proceedings, (b) to defend all such applications against Third Party oppositions or other administrative challenges, (c) to secure the grant of any patents arising from such patent application, (d) to maintain in force any issued patent (including through payment of any relevant maintenance fees), and (e) to make all decisions with regard to any of the foregoing activities.</w:t>
      </w:r>
    </w:p>
    <w:p>
      <w:pPr>
        <w:spacing w:after="0" w:line="186" w:lineRule="exact"/>
        <w:rPr>
          <w:sz w:val="20"/>
          <w:szCs w:val="20"/>
          <w:color w:val="auto"/>
        </w:rPr>
      </w:pPr>
    </w:p>
    <w:p>
      <w:pPr>
        <w:jc w:val="both"/>
        <w:ind w:left="680" w:hanging="694"/>
        <w:spacing w:after="0" w:line="254" w:lineRule="auto"/>
        <w:tabs>
          <w:tab w:leader="none" w:pos="660" w:val="left"/>
        </w:tabs>
        <w:rPr>
          <w:sz w:val="20"/>
          <w:szCs w:val="20"/>
          <w:color w:val="auto"/>
        </w:rPr>
      </w:pPr>
      <w:r>
        <w:rPr>
          <w:rFonts w:ascii="Times New Roman" w:cs="Times New Roman" w:eastAsia="Times New Roman" w:hAnsi="Times New Roman"/>
          <w:sz w:val="20"/>
          <w:szCs w:val="20"/>
          <w:color w:val="auto"/>
        </w:rPr>
        <w:t>1.76.</w:t>
        <w:tab/>
        <w:t>“</w:t>
      </w:r>
      <w:r>
        <w:rPr>
          <w:rFonts w:ascii="Times New Roman" w:cs="Times New Roman" w:eastAsia="Times New Roman" w:hAnsi="Times New Roman"/>
          <w:sz w:val="20"/>
          <w:szCs w:val="20"/>
          <w:u w:val="single" w:color="auto"/>
          <w:color w:val="auto"/>
        </w:rPr>
        <w:t>Regulatory Approval</w:t>
      </w:r>
      <w:r>
        <w:rPr>
          <w:rFonts w:ascii="Times New Roman" w:cs="Times New Roman" w:eastAsia="Times New Roman" w:hAnsi="Times New Roman"/>
          <w:sz w:val="20"/>
          <w:szCs w:val="20"/>
          <w:color w:val="auto"/>
        </w:rPr>
        <w:t>” means the final or conditional approval of the applicable Regulatory Authority necessary for the marketing and sale of a Licensed Product in the Field in a country(ies), excluding separate Pricing and Reimbursement Approval.</w:t>
      </w:r>
    </w:p>
    <w:p>
      <w:pPr>
        <w:spacing w:after="0" w:line="161" w:lineRule="exact"/>
        <w:rPr>
          <w:sz w:val="20"/>
          <w:szCs w:val="20"/>
          <w:color w:val="auto"/>
        </w:rPr>
      </w:pPr>
    </w:p>
    <w:p>
      <w:pPr>
        <w:jc w:val="both"/>
        <w:ind w:left="680" w:hanging="694"/>
        <w:spacing w:after="0" w:line="254" w:lineRule="auto"/>
        <w:tabs>
          <w:tab w:leader="none" w:pos="660" w:val="left"/>
        </w:tabs>
        <w:rPr>
          <w:sz w:val="20"/>
          <w:szCs w:val="20"/>
          <w:color w:val="auto"/>
        </w:rPr>
      </w:pPr>
      <w:r>
        <w:rPr>
          <w:rFonts w:ascii="Times New Roman" w:cs="Times New Roman" w:eastAsia="Times New Roman" w:hAnsi="Times New Roman"/>
          <w:sz w:val="20"/>
          <w:szCs w:val="20"/>
          <w:color w:val="auto"/>
        </w:rPr>
        <w:t>1.77.</w:t>
        <w:tab/>
        <w:t xml:space="preserve">“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means any multinational, federal, national, state, provincial or local regulatory agency, department, bureau or other Governmental Authority with authority over the clinical development, Manufacture, marketing or sale of a Licensed Product in a country.</w:t>
      </w:r>
    </w:p>
    <w:p>
      <w:pPr>
        <w:spacing w:after="0" w:line="174" w:lineRule="exact"/>
        <w:rPr>
          <w:sz w:val="20"/>
          <w:szCs w:val="20"/>
          <w:color w:val="auto"/>
        </w:rPr>
      </w:pPr>
    </w:p>
    <w:p>
      <w:pPr>
        <w:jc w:val="both"/>
        <w:ind w:left="680" w:hanging="694"/>
        <w:spacing w:after="0" w:line="241" w:lineRule="auto"/>
        <w:tabs>
          <w:tab w:leader="none" w:pos="660" w:val="left"/>
        </w:tabs>
        <w:rPr>
          <w:sz w:val="20"/>
          <w:szCs w:val="20"/>
          <w:color w:val="auto"/>
        </w:rPr>
      </w:pPr>
      <w:r>
        <w:rPr>
          <w:rFonts w:ascii="Times New Roman" w:cs="Times New Roman" w:eastAsia="Times New Roman" w:hAnsi="Times New Roman"/>
          <w:sz w:val="20"/>
          <w:szCs w:val="20"/>
          <w:color w:val="auto"/>
        </w:rPr>
        <w:t>1.78.</w:t>
        <w:tab/>
        <w:t xml:space="preserve">“ </w:t>
      </w:r>
      <w:r>
        <w:rPr>
          <w:rFonts w:ascii="Times New Roman" w:cs="Times New Roman" w:eastAsia="Times New Roman" w:hAnsi="Times New Roman"/>
          <w:sz w:val="20"/>
          <w:szCs w:val="20"/>
          <w:u w:val="single" w:color="auto"/>
          <w:color w:val="auto"/>
        </w:rPr>
        <w:t>Regulatory Materials</w:t>
      </w:r>
      <w:r>
        <w:rPr>
          <w:rFonts w:ascii="Times New Roman" w:cs="Times New Roman" w:eastAsia="Times New Roman" w:hAnsi="Times New Roman"/>
          <w:sz w:val="20"/>
          <w:szCs w:val="20"/>
          <w:color w:val="auto"/>
        </w:rPr>
        <w:t>” means, with respect to a Licensed Product, (a) all INDs, NDAs, establishment license applications, drug master files, applications for designation as an “Orphan Product” under the Orphan Drug Act, for “Fast Track” status under Section 506 of the FFDCA (21 U.S.C. § 356) or for a Special Protocol Assessment under Section 505(b)(4)(B) and (C) of the FFDCA (21 U.S.C. § 355(b)(4)(B) and (C)) and all other similar filings (including counterparts of any of the foregoing in any country in the Territory), (b) any applications for Regulatory Approval and other applications, filings, dossiers, or similar documents (e.g., pediatric investigation plans) submitted to a Regulatory Authority in any country for the purpose of obtaining Regulatory Approval from that Regulatory Authority, (c) all supplements and amendments to any of the foregoing, and (d) all data, including Clinical Data, and other information contained in, and Regulatory Authority correspondence relating to, any of the foregoing.</w:t>
      </w:r>
    </w:p>
    <w:p>
      <w:pPr>
        <w:spacing w:after="0" w:line="190" w:lineRule="exact"/>
        <w:rPr>
          <w:sz w:val="20"/>
          <w:szCs w:val="20"/>
          <w:color w:val="auto"/>
        </w:rPr>
      </w:pPr>
    </w:p>
    <w:p>
      <w:pPr>
        <w:jc w:val="both"/>
        <w:ind w:left="680" w:hanging="694"/>
        <w:spacing w:after="0" w:line="247" w:lineRule="auto"/>
        <w:tabs>
          <w:tab w:leader="none" w:pos="660" w:val="left"/>
        </w:tabs>
        <w:rPr>
          <w:sz w:val="20"/>
          <w:szCs w:val="20"/>
          <w:color w:val="auto"/>
        </w:rPr>
      </w:pPr>
      <w:r>
        <w:rPr>
          <w:rFonts w:ascii="Times New Roman" w:cs="Times New Roman" w:eastAsia="Times New Roman" w:hAnsi="Times New Roman"/>
          <w:sz w:val="20"/>
          <w:szCs w:val="20"/>
          <w:color w:val="auto"/>
        </w:rPr>
        <w:t>1.79.</w:t>
        <w:tab/>
        <w:t xml:space="preserve">“ </w:t>
      </w:r>
      <w:r>
        <w:rPr>
          <w:rFonts w:ascii="Times New Roman" w:cs="Times New Roman" w:eastAsia="Times New Roman" w:hAnsi="Times New Roman"/>
          <w:sz w:val="20"/>
          <w:szCs w:val="20"/>
          <w:u w:val="single" w:color="auto"/>
          <w:color w:val="auto"/>
        </w:rPr>
        <w:t>Research &amp; Development Plan</w:t>
      </w:r>
      <w:r>
        <w:rPr>
          <w:rFonts w:ascii="Times New Roman" w:cs="Times New Roman" w:eastAsia="Times New Roman" w:hAnsi="Times New Roman"/>
          <w:sz w:val="20"/>
          <w:szCs w:val="20"/>
          <w:color w:val="auto"/>
        </w:rPr>
        <w:t xml:space="preserve">” means the plan for the Development of the Licensed Compounds and Licensed Products in the Territory that is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as may be modified from time to time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6" w:name="page87"/>
    <w:bookmarkEnd w:id="86"/>
    <w:p>
      <w:pPr>
        <w:spacing w:after="0"/>
        <w:tabs>
          <w:tab w:leader="none" w:pos="760" w:val="left"/>
        </w:tabs>
        <w:rPr>
          <w:sz w:val="20"/>
          <w:szCs w:val="20"/>
          <w:color w:val="auto"/>
        </w:rPr>
      </w:pPr>
      <w:r>
        <w:rPr>
          <w:rFonts w:ascii="Times New Roman" w:cs="Times New Roman" w:eastAsia="Times New Roman" w:hAnsi="Times New Roman"/>
          <w:sz w:val="20"/>
          <w:szCs w:val="20"/>
          <w:color w:val="auto"/>
        </w:rPr>
        <w:t>1.80.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Rules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13.2</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Segregate</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jc w:val="both"/>
        <w:ind w:left="680" w:hanging="694"/>
        <w:spacing w:after="0" w:line="259" w:lineRule="auto"/>
        <w:tabs>
          <w:tab w:leader="none" w:pos="66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Senior Officers</w:t>
      </w:r>
      <w:r>
        <w:rPr>
          <w:rFonts w:ascii="Times New Roman" w:cs="Times New Roman" w:eastAsia="Times New Roman" w:hAnsi="Times New Roman"/>
          <w:sz w:val="19"/>
          <w:szCs w:val="19"/>
          <w:color w:val="auto"/>
        </w:rPr>
        <w:t>” means the Chief Executive Officer of each Party. If the position of any of the Senior Officers identified in this definition no longer exists due to a corporate reorganization, corporate restructuring or similar transaction that results in the elimination of the identified position, the applicable title of the Senior Officer set forth herein will be replaced with the title of another executive officer with responsibilities and seniority comparable to the eliminated Senior Officer, and the relevant Party will promptly provide notice of such replacement title to the other Party.</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Sole Inventions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7.1(b)</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Subject Regulatory Materials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12.4(a)(iii)</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80" w:hanging="694"/>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1.85.</w:t>
        <w:tab/>
        <w:t>“</w:t>
      </w:r>
      <w:r>
        <w:rPr>
          <w:rFonts w:ascii="Times New Roman" w:cs="Times New Roman" w:eastAsia="Times New Roman" w:hAnsi="Times New Roman"/>
          <w:sz w:val="20"/>
          <w:szCs w:val="20"/>
          <w:u w:val="single" w:color="auto"/>
          <w:color w:val="auto"/>
        </w:rPr>
        <w:t>Sublicense</w:t>
      </w:r>
      <w:r>
        <w:rPr>
          <w:rFonts w:ascii="Times New Roman" w:cs="Times New Roman" w:eastAsia="Times New Roman" w:hAnsi="Times New Roman"/>
          <w:sz w:val="20"/>
          <w:szCs w:val="20"/>
          <w:color w:val="auto"/>
        </w:rPr>
        <w:t xml:space="preserve">” means a grant of rights from ORIC to a Sublicensee under any of the rights licensed to ORIC by Mirati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680" w:hanging="694"/>
        <w:spacing w:after="0" w:line="244" w:lineRule="auto"/>
        <w:tabs>
          <w:tab w:leader="none" w:pos="660" w:val="left"/>
        </w:tabs>
        <w:rPr>
          <w:sz w:val="20"/>
          <w:szCs w:val="20"/>
          <w:color w:val="auto"/>
        </w:rPr>
      </w:pPr>
      <w:r>
        <w:rPr>
          <w:rFonts w:ascii="Times New Roman" w:cs="Times New Roman" w:eastAsia="Times New Roman" w:hAnsi="Times New Roman"/>
          <w:sz w:val="20"/>
          <w:szCs w:val="20"/>
          <w:color w:val="auto"/>
        </w:rPr>
        <w:t>1.86.</w:t>
        <w:tab/>
        <w:t>“</w:t>
      </w:r>
      <w:r>
        <w:rPr>
          <w:rFonts w:ascii="Times New Roman" w:cs="Times New Roman" w:eastAsia="Times New Roman" w:hAnsi="Times New Roman"/>
          <w:sz w:val="20"/>
          <w:szCs w:val="20"/>
          <w:u w:val="single" w:color="auto"/>
          <w:color w:val="auto"/>
        </w:rPr>
        <w:t>Sublicensee</w:t>
      </w:r>
      <w:r>
        <w:rPr>
          <w:rFonts w:ascii="Times New Roman" w:cs="Times New Roman" w:eastAsia="Times New Roman" w:hAnsi="Times New Roman"/>
          <w:sz w:val="20"/>
          <w:szCs w:val="20"/>
          <w:color w:val="auto"/>
        </w:rPr>
        <w:t xml:space="preserve">” means, with respect to ORIC, a Third Party that is granted (directly or indirectly) a sublicense by ORIC under the rights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this Agreement to (a) Develop and Commercialize or (b) Commercialize Licensed Products, or any further sublicensee of such rights (regardless of the number of tiers, layers or levels of sublicenses of such rights). [***].</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1.87.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1.88.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Territory</w:t>
      </w:r>
      <w:r>
        <w:rPr>
          <w:rFonts w:ascii="Times New Roman" w:cs="Times New Roman" w:eastAsia="Times New Roman" w:hAnsi="Times New Roman"/>
          <w:sz w:val="19"/>
          <w:szCs w:val="19"/>
          <w:color w:val="auto"/>
        </w:rPr>
        <w:t>” means worldwide.</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1.89.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Third Party</w:t>
      </w:r>
      <w:r>
        <w:rPr>
          <w:rFonts w:ascii="Times New Roman" w:cs="Times New Roman" w:eastAsia="Times New Roman" w:hAnsi="Times New Roman"/>
          <w:sz w:val="19"/>
          <w:szCs w:val="19"/>
          <w:color w:val="auto"/>
        </w:rPr>
        <w:t>” means any Person other than a Party or any of its Affiliates.</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1.90.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Third Party Claim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10.3(a)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Third Party Losses</w:t>
      </w:r>
      <w:r>
        <w:rPr>
          <w:rFonts w:ascii="Times New Roman" w:cs="Times New Roman" w:eastAsia="Times New Roman" w:hAnsi="Times New Roman"/>
          <w:sz w:val="19"/>
          <w:szCs w:val="19"/>
          <w:color w:val="auto"/>
        </w:rPr>
        <w:t>” means Losses resulting from an Action by a Third Party.</w:t>
      </w:r>
    </w:p>
    <w:p>
      <w:pPr>
        <w:spacing w:after="0" w:line="216" w:lineRule="exact"/>
        <w:rPr>
          <w:sz w:val="20"/>
          <w:szCs w:val="20"/>
          <w:color w:val="auto"/>
        </w:rPr>
      </w:pPr>
    </w:p>
    <w:p>
      <w:pPr>
        <w:jc w:val="both"/>
        <w:ind w:left="680" w:hanging="694"/>
        <w:spacing w:after="0" w:line="269" w:lineRule="auto"/>
        <w:tabs>
          <w:tab w:leader="none" w:pos="660" w:val="left"/>
        </w:tabs>
        <w:rPr>
          <w:sz w:val="20"/>
          <w:szCs w:val="20"/>
          <w:color w:val="auto"/>
        </w:rPr>
      </w:pPr>
      <w:r>
        <w:rPr>
          <w:rFonts w:ascii="Times New Roman" w:cs="Times New Roman" w:eastAsia="Times New Roman" w:hAnsi="Times New Roman"/>
          <w:sz w:val="20"/>
          <w:szCs w:val="20"/>
          <w:color w:val="auto"/>
        </w:rPr>
        <w:t>1.92.</w:t>
        <w:tab/>
        <w:t>“</w:t>
      </w:r>
      <w:r>
        <w:rPr>
          <w:rFonts w:ascii="Times New Roman" w:cs="Times New Roman" w:eastAsia="Times New Roman" w:hAnsi="Times New Roman"/>
          <w:sz w:val="20"/>
          <w:szCs w:val="20"/>
          <w:u w:val="single" w:color="auto"/>
          <w:color w:val="auto"/>
        </w:rPr>
        <w:t>Trademark</w:t>
      </w:r>
      <w:r>
        <w:rPr>
          <w:rFonts w:ascii="Times New Roman" w:cs="Times New Roman" w:eastAsia="Times New Roman" w:hAnsi="Times New Roman"/>
          <w:sz w:val="20"/>
          <w:szCs w:val="20"/>
          <w:color w:val="auto"/>
        </w:rPr>
        <w:t>” means all registered and unregistered trademarks, service marks, trade dress, trade names, logos, insignias, domain names, symbols, designs, and combinations thereof.</w:t>
      </w:r>
    </w:p>
    <w:p>
      <w:pPr>
        <w:spacing w:after="0" w:line="1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United States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means the United States and its territories, possessions and commonwealths.</w:t>
      </w:r>
    </w:p>
    <w:p>
      <w:pPr>
        <w:spacing w:after="0" w:line="216" w:lineRule="exact"/>
        <w:rPr>
          <w:sz w:val="20"/>
          <w:szCs w:val="20"/>
          <w:color w:val="auto"/>
        </w:rPr>
      </w:pPr>
    </w:p>
    <w:p>
      <w:pPr>
        <w:jc w:val="both"/>
        <w:ind w:left="680" w:hanging="694"/>
        <w:spacing w:after="0" w:line="242" w:lineRule="auto"/>
        <w:tabs>
          <w:tab w:leader="none" w:pos="660" w:val="left"/>
        </w:tabs>
        <w:rPr>
          <w:sz w:val="20"/>
          <w:szCs w:val="20"/>
          <w:color w:val="auto"/>
        </w:rPr>
      </w:pPr>
      <w:r>
        <w:rPr>
          <w:rFonts w:ascii="Times New Roman" w:cs="Times New Roman" w:eastAsia="Times New Roman" w:hAnsi="Times New Roman"/>
          <w:sz w:val="20"/>
          <w:szCs w:val="20"/>
          <w:color w:val="auto"/>
        </w:rPr>
        <w:t>1.94.</w:t>
        <w:tab/>
        <w:t>“</w:t>
      </w:r>
      <w:r>
        <w:rPr>
          <w:rFonts w:ascii="Times New Roman" w:cs="Times New Roman" w:eastAsia="Times New Roman" w:hAnsi="Times New Roman"/>
          <w:sz w:val="20"/>
          <w:szCs w:val="20"/>
          <w:u w:val="single" w:color="auto"/>
          <w:color w:val="auto"/>
        </w:rPr>
        <w:t>Valid Claim</w:t>
      </w:r>
      <w:r>
        <w:rPr>
          <w:rFonts w:ascii="Times New Roman" w:cs="Times New Roman" w:eastAsia="Times New Roman" w:hAnsi="Times New Roman"/>
          <w:sz w:val="20"/>
          <w:szCs w:val="20"/>
          <w:color w:val="auto"/>
        </w:rPr>
        <w:t>” means either: (a) a claim of an issued and unexpired patent included within the Licensed Patents that (i) covers the practice of the relevant Licensed Compound or Licensed Product in the relevant jurisdiction; (ii) has not been irrevocably or unappealably disclaimed or abandoned, or been held unenforceable, unpatentable or invalid by a decision of a court or other Governmental Authority of competent jurisdiction; and (iii) has not been admitted to be invalid or unenforceable through reissue, reexamination, disclaimer, or otherwise, or (b) a claim of a pending patent application included within the Licensed Patents that has not been cancelled, withdrawn or abandoned, or finally disallowed without possibility of appeal or refiling of such application and has not been pending for more than</w:t>
      </w:r>
    </w:p>
    <w:p>
      <w:pPr>
        <w:spacing w:after="0" w:line="18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306705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360" w:right="339" w:bottom="1440" w:gutter="0" w:footer="0" w:header="0"/>
        </w:sectPr>
      </w:pPr>
    </w:p>
    <w:bookmarkStart w:id="87" w:name="page88"/>
    <w:bookmarkEnd w:id="87"/>
    <w:p>
      <w:pPr>
        <w:jc w:val="center"/>
        <w:ind w:right="100"/>
        <w:spacing w:after="0"/>
        <w:rPr>
          <w:sz w:val="20"/>
          <w:szCs w:val="20"/>
          <w:color w:val="auto"/>
        </w:rPr>
      </w:pPr>
      <w:r>
        <w:rPr>
          <w:rFonts w:ascii="Times New Roman" w:cs="Times New Roman" w:eastAsia="Times New Roman" w:hAnsi="Times New Roman"/>
          <w:sz w:val="20"/>
          <w:szCs w:val="20"/>
          <w:color w:val="auto"/>
        </w:rPr>
        <w:t>[***] years from the earliest date to which the patent application containing such claim claims priority.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 GRANT; EXCLUSIVITY</w:t>
      </w:r>
    </w:p>
    <w:p>
      <w:pPr>
        <w:spacing w:after="0" w:line="19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Exclusive License Grant</w:t>
      </w:r>
      <w:r>
        <w:rPr>
          <w:rFonts w:ascii="Times New Roman" w:cs="Times New Roman" w:eastAsia="Times New Roman" w:hAnsi="Times New Roman"/>
          <w:sz w:val="20"/>
          <w:szCs w:val="20"/>
          <w:color w:val="auto"/>
        </w:rPr>
        <w:t xml:space="preserve">. Subject to the terms and conditions of this Agreement, Mirati hereby grants to ORIC a non-transferable (except in accordance with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exclusive (even with respect to Mirati and its Affiliates), sublicensable (subject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royalty-free right and license under the Licensed Technology, to Develop, Manufacture and Commercialize and otherwise, make, have made, use, offer for sale, sell, and import Licensed Compounds and Licensed Products in the Field and in the Territory. Notwithstanding any other provision of this Agreement, for the purposes of the license grant under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with respect to any Licensed Product that is a Combination Product, in no event is a license granted hereunder with respect to any Other Component of such Combination Product.</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2.2.</w:t>
      </w:r>
      <w:r>
        <w:rPr>
          <w:sz w:val="20"/>
          <w:szCs w:val="20"/>
          <w:color w:val="auto"/>
        </w:rPr>
        <w:tab/>
      </w:r>
      <w:r>
        <w:rPr>
          <w:rFonts w:ascii="Times New Roman" w:cs="Times New Roman" w:eastAsia="Times New Roman" w:hAnsi="Times New Roman"/>
          <w:sz w:val="19"/>
          <w:szCs w:val="19"/>
          <w:u w:val="single" w:color="auto"/>
          <w:color w:val="auto"/>
        </w:rPr>
        <w:t>Sublicensing and Subcontracting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9" w:lineRule="auto"/>
        <w:tabs>
          <w:tab w:leader="none" w:pos="19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ORIC Right to Sublicense</w:t>
      </w:r>
      <w:r>
        <w:rPr>
          <w:rFonts w:ascii="Times New Roman" w:cs="Times New Roman" w:eastAsia="Times New Roman" w:hAnsi="Times New Roman"/>
          <w:sz w:val="20"/>
          <w:szCs w:val="20"/>
          <w:color w:val="auto"/>
        </w:rPr>
        <w:t xml:space="preserve">. Subject to the requirements of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ORIC will have the right to grant and authorize sublicenses (through multiple tiers) of the rights granted to ORIC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(i) without Mirati’s prior written consent as follows: (A) to its Affiliates, (B) [***] and (C) to any Third Party contractor to enable each such Third Party contractor to perform activities for the benefit of or on behalf of ORIC or its Affiliate or Sublicensee, as the case may be and (ii) [***].</w:t>
      </w:r>
    </w:p>
    <w:p>
      <w:pPr>
        <w:spacing w:after="0" w:line="166" w:lineRule="exact"/>
        <w:rPr>
          <w:rFonts w:ascii="Times New Roman" w:cs="Times New Roman" w:eastAsia="Times New Roman" w:hAnsi="Times New Roman"/>
          <w:sz w:val="20"/>
          <w:szCs w:val="20"/>
          <w:color w:val="auto"/>
        </w:rPr>
      </w:pPr>
    </w:p>
    <w:p>
      <w:pPr>
        <w:jc w:val="both"/>
        <w:ind w:firstLine="1505"/>
        <w:spacing w:after="0"/>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Sublicense Requirements</w:t>
      </w:r>
      <w:r>
        <w:rPr>
          <w:rFonts w:ascii="Times New Roman" w:cs="Times New Roman" w:eastAsia="Times New Roman" w:hAnsi="Times New Roman"/>
          <w:sz w:val="20"/>
          <w:szCs w:val="20"/>
          <w:color w:val="auto"/>
        </w:rPr>
        <w:t xml:space="preserve">. Each Sublicense granted by ORIC to a Third Party will be in writing and will be consistent with, the terms and conditions of this Agreement. No Sublicense will diminish, reduce or eliminate any obligation of either Party under this Agreement, except to the extent satisfied by the relevant Sublicensee. ORIC shall at all times remain fully responsible for the compliance of its Sublicensees with the provisions of this Agreement expressly applicable to Sublicensees; [***]. Each Sublicense will contain a requirement that the Sublicensee comply with all applicable terms of this Agreement. ORIC shall include in each Sublicense provisions whereby, upon the termination of such Sublicense and, in each case, to the extent Controlled by the applicable Sublicensee as of the effective date of such termination, ORIC obtains the following (or rights substantially similar thereto): [***]. Except to the extent otherwise approved by Mirati (such approval not to be unreasonably withheld, conditioned or delayed), any Sublicense granted hereunder that is materially inconsistent with this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will be null and void. ORIC will provide Mirati with a copy of any sublicense agreement and each amendment thereto, in each case that contains a Sublicense, that it enters into with a Sublicensee within [***] after the execution thereof, provided that any such document [***]. Upon termination of this Agreement, at the written request of any Sublicensee that did not cause the material breach of this Agreement that resulted in such termination and which is a party to a Sublicense that was validly granted by ORIC, such Sublicense will survive the termination of this Agreement, as provided in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Performance by Independent Contractors</w:t>
      </w:r>
      <w:r>
        <w:rPr>
          <w:rFonts w:ascii="Times New Roman" w:cs="Times New Roman" w:eastAsia="Times New Roman" w:hAnsi="Times New Roman"/>
          <w:sz w:val="20"/>
          <w:szCs w:val="20"/>
          <w:color w:val="auto"/>
        </w:rPr>
        <w:t xml:space="preserve">. ORIC may contract or delegate any portion of its obligations hereunder to a contractor subject to the terms and condition of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xml:space="preserve"> and provided that, the contractor undertakes in writing commercially reasonable obligations of confidentiality and non-use regarding Confidential Information, that are substantially the same as those undertaken by the Parties with respect to Confidential Information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thereof.</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Reservation of Rights</w:t>
      </w:r>
      <w:r>
        <w:rPr>
          <w:rFonts w:ascii="Times New Roman" w:cs="Times New Roman" w:eastAsia="Times New Roman" w:hAnsi="Times New Roman"/>
          <w:sz w:val="20"/>
          <w:szCs w:val="20"/>
          <w:color w:val="auto"/>
        </w:rPr>
        <w:t>. No rights, other than those expressly set forth in this Agreement, are granted to either Party under this Agreement, and no additional rights will be deemed granted to either Party by implication, estoppel or otherwise, with respect to any intellectual property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All rights not expressly granted by either Party or its Affiliates to the other Party under this Agreement are reserved.</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Transfer of Licensed Know-How</w:t>
      </w:r>
      <w:r>
        <w:rPr>
          <w:rFonts w:ascii="Times New Roman" w:cs="Times New Roman" w:eastAsia="Times New Roman" w:hAnsi="Times New Roman"/>
          <w:sz w:val="20"/>
          <w:szCs w:val="20"/>
          <w:color w:val="auto"/>
        </w:rPr>
        <w:t>. As promptly as reasonably practicable after the Effective Date, Mirati will, and if applicable, will cause its Affiliates to, use reasonable efforts to disclose and make available to ORIC the Licensed Know-How that exists as of the Effective Date within [***] after the Effective Date, or such time as otherwise mutually agreed by the Parties; provided that if, despite exercising reasonable efforts in connection with such transfer of the Licensed Know-How, Mirati is unable to transfer (or have transferred) all of the Licensed Know-How to ORIC within such timeframe, Mirati shall continue to exercise reasonable efforts to complete the transfer of the Licensed Know-How to ORIC as soon as reasonably practicable. [***]. Following such [***] (but in no event more than an additional [***]), Mirati will, and if applicable, will cause its Affiliates to, use reasonable efforts to provide to ORIC any additional Licensed Know-How Controlled by Mirati identified by, and not previously provided to, ORIC. Mirati will use reasonable efforts to make such Licensed Know-How available in such form as ORIC reasonably requests or, if Mirati so elects, in the form such Licensed Know-How is maintained by Mirati. [***].</w:t>
      </w:r>
    </w:p>
    <w:p>
      <w:pPr>
        <w:spacing w:after="0" w:line="18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Transfer of Licensed Compounds</w:t>
      </w:r>
      <w:r>
        <w:rPr>
          <w:rFonts w:ascii="Times New Roman" w:cs="Times New Roman" w:eastAsia="Times New Roman" w:hAnsi="Times New Roman"/>
          <w:sz w:val="20"/>
          <w:szCs w:val="20"/>
          <w:color w:val="auto"/>
        </w:rPr>
        <w:t xml:space="preserve">. Within [***] after the Effective Date, Mirati will deliver, [***] research grade Licensed Compounds as described in </w:t>
      </w:r>
      <w:r>
        <w:rPr>
          <w:rFonts w:ascii="Times New Roman" w:cs="Times New Roman" w:eastAsia="Times New Roman" w:hAnsi="Times New Roman"/>
          <w:sz w:val="20"/>
          <w:szCs w:val="20"/>
          <w:u w:val="single" w:color="auto"/>
          <w:color w:val="auto"/>
        </w:rPr>
        <w:t>Schedule 2.6</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Licensed Compound Materials</w:t>
      </w:r>
      <w:r>
        <w:rPr>
          <w:rFonts w:ascii="Times New Roman" w:cs="Times New Roman" w:eastAsia="Times New Roman" w:hAnsi="Times New Roman"/>
          <w:sz w:val="20"/>
          <w:szCs w:val="20"/>
          <w:color w:val="auto"/>
        </w:rPr>
        <w:t>”) [***]. ORIC will only use the Licensed Compound Materials for the Development performed by or on behalf of ORIC or its Affiliate or Sublicensee for the Licensed Compounds and Licensed Products; provided that, ORIC shall not use such Licensed Compound Materials in research testing involving human subjects. The Licensed Compound Materials are experimental in nature and are provided “AS IS,” without any warranties as to merchantability or fitness for a particular purpose. ORIC further acknowledges that the Licensed Compound Materials’ properties or characteristics are not known, and ORIC agrees that ORIC will use such Licensed Compound Materials with reasonable care and will remain fully responsible for any losses or injuries incurred by it or its Affiliates or Sublicensees through use of such Licensed Compound Materials.</w:t>
      </w:r>
    </w:p>
    <w:p>
      <w:pPr>
        <w:spacing w:after="0" w:line="17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u w:val="single" w:color="auto"/>
          <w:color w:val="auto"/>
        </w:rPr>
        <w:t>Exclusivity and Alternative Products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900" w:hanging="395"/>
        <w:spacing w:after="0"/>
        <w:tabs>
          <w:tab w:leader="none" w:pos="1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Mirati Exclusivity</w:t>
      </w: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ORIC Exclusivity</w:t>
      </w: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 of Alternative Product Rights</w:t>
      </w:r>
      <w:r>
        <w:rPr>
          <w:rFonts w:ascii="Times New Roman" w:cs="Times New Roman" w:eastAsia="Times New Roman" w:hAnsi="Times New Roman"/>
          <w:sz w:val="20"/>
          <w:szCs w:val="20"/>
          <w:color w:val="auto"/>
        </w:rPr>
        <w:t>. In addition, notwithstanding anything to the contrary in this Agreement, in the event a Party or any of its Affiliates acquires or otherwise obtains rights to research, develop, manufacture or commercialize any Alternative Product as the result of any license, merger, acquisition, reorganization, consolidation or combination with or of a Third Party other than a Change of Control of such Party or its Affiliates (each, an “Acquisition Transaction,” the Party involved in such transaction, the “</w:t>
      </w:r>
      <w:r>
        <w:rPr>
          <w:rFonts w:ascii="Times New Roman" w:cs="Times New Roman" w:eastAsia="Times New Roman" w:hAnsi="Times New Roman"/>
          <w:sz w:val="20"/>
          <w:szCs w:val="20"/>
          <w:u w:val="single" w:color="auto"/>
          <w:color w:val="auto"/>
        </w:rPr>
        <w:t>Acquisition Transaction Party</w:t>
      </w:r>
      <w:r>
        <w:rPr>
          <w:rFonts w:ascii="Times New Roman" w:cs="Times New Roman" w:eastAsia="Times New Roman" w:hAnsi="Times New Roman"/>
          <w:sz w:val="20"/>
          <w:szCs w:val="20"/>
          <w:color w:val="auto"/>
        </w:rPr>
        <w:t>” and the Third Party involved in such transaction, the “</w:t>
      </w:r>
      <w:r>
        <w:rPr>
          <w:rFonts w:ascii="Times New Roman" w:cs="Times New Roman" w:eastAsia="Times New Roman" w:hAnsi="Times New Roman"/>
          <w:sz w:val="20"/>
          <w:szCs w:val="20"/>
          <w:u w:val="single" w:color="auto"/>
          <w:color w:val="auto"/>
        </w:rPr>
        <w:t>Acquisition Third Party</w:t>
      </w:r>
      <w:r>
        <w:rPr>
          <w:rFonts w:ascii="Times New Roman" w:cs="Times New Roman" w:eastAsia="Times New Roman" w:hAnsi="Times New Roman"/>
          <w:sz w:val="20"/>
          <w:szCs w:val="20"/>
          <w:color w:val="auto"/>
        </w:rPr>
        <w:t>”) and [***]. Within [***] after the closing of any Acquisition Transaction, the Acquisition Transaction Party will provide to the other Party a written notice identifying the Acquisition Third Party, describing the Acquisition Transaction in [***], in each case, to the extent permitted by the terms of the applicable Acquisition Transaction, and whether the Acquisition Transaction Party elects clause (i) or (ii) above. If the Acquisition Transaction Party elects [***].</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hereof, “</w:t>
      </w:r>
      <w:r>
        <w:rPr>
          <w:rFonts w:ascii="Times New Roman" w:cs="Times New Roman" w:eastAsia="Times New Roman" w:hAnsi="Times New Roman"/>
          <w:sz w:val="20"/>
          <w:szCs w:val="20"/>
          <w:u w:val="single" w:color="auto"/>
          <w:color w:val="auto"/>
        </w:rPr>
        <w:t>Alternative Product</w:t>
      </w:r>
      <w:r>
        <w:rPr>
          <w:rFonts w:ascii="Times New Roman" w:cs="Times New Roman" w:eastAsia="Times New Roman" w:hAnsi="Times New Roman"/>
          <w:sz w:val="20"/>
          <w:szCs w:val="20"/>
          <w:color w:val="auto"/>
        </w:rPr>
        <w:t>” means [***].</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DEVELOPMENT</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19"/>
          <w:szCs w:val="19"/>
          <w:u w:val="single" w:color="auto"/>
          <w:color w:val="auto"/>
        </w:rPr>
        <w:t>Development Diligence; Development Responsibilities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54" w:lineRule="auto"/>
        <w:tabs>
          <w:tab w:leader="none" w:pos="18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Development Diligence</w:t>
      </w:r>
      <w:r>
        <w:rPr>
          <w:rFonts w:ascii="Times New Roman" w:cs="Times New Roman" w:eastAsia="Times New Roman" w:hAnsi="Times New Roman"/>
          <w:sz w:val="20"/>
          <w:szCs w:val="20"/>
          <w:color w:val="auto"/>
        </w:rPr>
        <w:t>. ORIC (directly, or with or through one or more of its Affiliates, Sublicensees or contractors) will use Commercially Reasonable Efforts to Develop, and obtain and maintain Regulatory Approval of, at least one Licensed Product in each Indication set forth in the Development Plan in the United States, the Major European Countries and Japan.</w:t>
      </w:r>
    </w:p>
    <w:p>
      <w:pPr>
        <w:spacing w:after="0" w:line="160"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Development Responsibilities</w:t>
      </w:r>
      <w:r>
        <w:rPr>
          <w:rFonts w:ascii="Times New Roman" w:cs="Times New Roman" w:eastAsia="Times New Roman" w:hAnsi="Times New Roman"/>
          <w:sz w:val="19"/>
          <w:szCs w:val="19"/>
          <w:color w:val="auto"/>
        </w:rPr>
        <w:t>. Subject to the terms and conditions of this Agreement, as between the Parties, ORIC will have the sole right and responsibility, at its own expense, for managing and conducting all activities relating to the Development of the Licensed Compound and Licensed Product, including for the purpose of obtaining Regulatory Approval in the Field and in the Territory. As between the Parties, ORIC will be responsible for the day-to-day implementation of any Development activities for which it (or any of its Affiliates) is assigned responsibility under this Agreement (including the Research &amp; Development Plan), and will keep Mirati [***] as to the progress of such activities. ORIC will conduct its Development activities in good scientific manner and in compliance with applicable Law, including Laws regarding environmental, safety and industrial hygiene, and GLP, GCP, current standards for pharmacovigilance practice, and all applicable requirements relating to the protection of human subjects, in each case, to the extent applicable to a given activity.</w:t>
      </w:r>
    </w:p>
    <w:p>
      <w:pPr>
        <w:spacing w:after="0" w:line="17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Research &amp; Development Plan</w:t>
      </w:r>
      <w:r>
        <w:rPr>
          <w:rFonts w:ascii="Times New Roman" w:cs="Times New Roman" w:eastAsia="Times New Roman" w:hAnsi="Times New Roman"/>
          <w:sz w:val="20"/>
          <w:szCs w:val="20"/>
          <w:color w:val="auto"/>
        </w:rPr>
        <w:t>. During the Term, ORIC will use Commercially Reasonable Efforts to conduct all research and Development activities set forth in the Research &amp; Development Plan. [***].</w:t>
      </w:r>
    </w:p>
    <w:p>
      <w:pPr>
        <w:spacing w:after="0" w:line="15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3.3.</w:t>
      </w:r>
      <w:r>
        <w:rPr>
          <w:sz w:val="20"/>
          <w:szCs w:val="20"/>
          <w:color w:val="auto"/>
        </w:rPr>
        <w:tab/>
      </w:r>
      <w:r>
        <w:rPr>
          <w:rFonts w:ascii="Times New Roman" w:cs="Times New Roman" w:eastAsia="Times New Roman" w:hAnsi="Times New Roman"/>
          <w:sz w:val="19"/>
          <w:szCs w:val="19"/>
          <w:u w:val="single" w:color="auto"/>
          <w:color w:val="auto"/>
        </w:rPr>
        <w:t>Development Records and Reporting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7" w:lineRule="auto"/>
        <w:tabs>
          <w:tab w:leader="none" w:pos="19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ORIC will maintain complete and accurate records of all work conducted by or on behalf of ORIC in furtherance of seeking Regulatory Approval for any Licensed Product in the Field in the Territory. Such records will be maintained in sufficient detail and in good scientific manner appropriate for patent and regulatory purposes and in accordance with applicable Laws.</w:t>
      </w:r>
    </w:p>
    <w:p>
      <w:pPr>
        <w:spacing w:after="0" w:line="180"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0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xml:space="preserve">. No later than [***] during the Term, ORIC will provide Mirati with [***] written reports summarizing the [***] Development activities it has performed, or caused to be performed, since the preceding report, its [***] Development activities in process, and the future material Development activities it expects to initiate in the following [***], and the status of any [***] Manufacturing activities that directly impact such Development activities. Each such report will contain sufficient detail to enable Mirati to assess ORIC’s compliance with its obligations set forth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ORIC will respond to Mirati’s [***] questions or requests for additional information relating to such activities in a timely manner. In addition, upon Mirati’s request, [***], ORIC’s senior executives responsible for the Development of the Licensed Products will meet with Mirati’s senior executives to discuss ORIC’s or its Affiliates’ or Sublicensees’ Development of such Licensed Products.</w:t>
      </w:r>
    </w:p>
    <w:p>
      <w:pPr>
        <w:spacing w:after="0" w:line="19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3.4.</w:t>
      </w:r>
      <w:r>
        <w:rPr>
          <w:sz w:val="20"/>
          <w:szCs w:val="20"/>
          <w:color w:val="auto"/>
        </w:rPr>
        <w:tab/>
      </w:r>
      <w:r>
        <w:rPr>
          <w:rFonts w:ascii="Times New Roman" w:cs="Times New Roman" w:eastAsia="Times New Roman" w:hAnsi="Times New Roman"/>
          <w:sz w:val="19"/>
          <w:szCs w:val="19"/>
          <w:u w:val="single" w:color="auto"/>
          <w:color w:val="auto"/>
        </w:rPr>
        <w:t>Regulatory Submissions and Approvals</w:t>
      </w:r>
    </w:p>
    <w:p>
      <w:pPr>
        <w:spacing w:after="0" w:line="216" w:lineRule="exact"/>
        <w:rPr>
          <w:sz w:val="20"/>
          <w:szCs w:val="20"/>
          <w:color w:val="auto"/>
        </w:rPr>
      </w:pPr>
    </w:p>
    <w:p>
      <w:pPr>
        <w:ind w:right="20" w:firstLine="1505"/>
        <w:spacing w:after="0" w:line="269" w:lineRule="auto"/>
        <w:tabs>
          <w:tab w:leader="none" w:pos="18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Responsibilities</w:t>
      </w:r>
      <w:r>
        <w:rPr>
          <w:rFonts w:ascii="Times New Roman" w:cs="Times New Roman" w:eastAsia="Times New Roman" w:hAnsi="Times New Roman"/>
          <w:sz w:val="20"/>
          <w:szCs w:val="20"/>
          <w:color w:val="auto"/>
        </w:rPr>
        <w:t>. As between the Parties, ORIC will have the sole right and responsibility, at its sole cost and expense, for seeking and attempting to obtain Regulatory Approval for the Licensed Products in the Field in the Territory.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0" w:name="page91"/>
    <w:bookmarkEnd w:id="90"/>
    <w:p>
      <w:pPr>
        <w:ind w:firstLine="1505"/>
        <w:spacing w:after="0" w:line="269"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Regulatory Approvals</w:t>
      </w:r>
      <w:r>
        <w:rPr>
          <w:rFonts w:ascii="Times New Roman" w:cs="Times New Roman" w:eastAsia="Times New Roman" w:hAnsi="Times New Roman"/>
          <w:sz w:val="20"/>
          <w:szCs w:val="20"/>
          <w:color w:val="auto"/>
        </w:rPr>
        <w:t>. ORIC will own all Regulatory Materials, including all submissions and applications for Regulatory Approvals, for the Licensed Products in the Field in the Territory.</w:t>
      </w:r>
    </w:p>
    <w:p>
      <w:pPr>
        <w:spacing w:after="0" w:line="15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0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Cooperation</w:t>
      </w:r>
      <w:r>
        <w:rPr>
          <w:rFonts w:ascii="Times New Roman" w:cs="Times New Roman" w:eastAsia="Times New Roman" w:hAnsi="Times New Roman"/>
          <w:sz w:val="20"/>
          <w:szCs w:val="20"/>
          <w:color w:val="auto"/>
        </w:rPr>
        <w:t xml:space="preserve">. ORIC will keep Mirati [***] informed with regard to regulatory activities with respect to Licensed Products in the Field in the Territory. ORIC will provide Mirati with copies of any [***] documents or other [***] correspondence pertaining to the Development or Regulatory Approval of Licensed Products received by or submitted to Regulatory Authorities in the Territory, including any meeting minutes from [***] meetings or discussions with Regulatory Authorities pertaining to Development of the Licensed Products in the Field in the Territory, to the extent [***] by Mirati. Notwithstanding this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above, (i) with respect to any Licensed Product that is a Combination Product, the provisions of this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shall not apply with respect to any Other Component of such Combination Product, (ii) the second sentence of this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shall apply solely to the extent ORIC or its Affiliate Controls such documentation or other information and (iii) [***].</w:t>
      </w:r>
    </w:p>
    <w:p>
      <w:pPr>
        <w:spacing w:after="0" w:line="191"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6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Pricing and Reimbursement Approvals</w:t>
      </w:r>
      <w:r>
        <w:rPr>
          <w:rFonts w:ascii="Times New Roman" w:cs="Times New Roman" w:eastAsia="Times New Roman" w:hAnsi="Times New Roman"/>
          <w:sz w:val="20"/>
          <w:szCs w:val="20"/>
          <w:color w:val="auto"/>
        </w:rPr>
        <w:t>. As between the Parties, ORIC will have the exclusive right and responsibility to seek and attempt to obtain Pricing and Reimbursement Approvals for the Licensed Products in the Field in the Territory. ORIC will keep Mirati [***] informed with regard to any Pricing and Reimbursement Approval proceedings for the Licensed Products in the Field in the Territory.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MANUFACTURE, SUPPLY AND COMMERCIALIZATION</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Manufacturing</w:t>
      </w:r>
      <w:r>
        <w:rPr>
          <w:rFonts w:ascii="Times New Roman" w:cs="Times New Roman" w:eastAsia="Times New Roman" w:hAnsi="Times New Roman"/>
          <w:sz w:val="20"/>
          <w:szCs w:val="20"/>
          <w:color w:val="auto"/>
        </w:rPr>
        <w:t>. As between the Parties, ORIC will have the sole right and responsibility, at its sole cost and expense, for Manufacturing and supplying Licensed Compounds and the Licensed Products for the Development and Commercialization of the Licensed Compounds and the Licensed Products in the Territory.</w:t>
      </w:r>
    </w:p>
    <w:p>
      <w:pPr>
        <w:spacing w:after="0" w:line="16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4.2.</w:t>
      </w:r>
      <w:r>
        <w:rPr>
          <w:sz w:val="20"/>
          <w:szCs w:val="20"/>
          <w:color w:val="auto"/>
        </w:rPr>
        <w:tab/>
      </w:r>
      <w:r>
        <w:rPr>
          <w:rFonts w:ascii="Times New Roman" w:cs="Times New Roman" w:eastAsia="Times New Roman" w:hAnsi="Times New Roman"/>
          <w:sz w:val="19"/>
          <w:szCs w:val="19"/>
          <w:u w:val="single" w:color="auto"/>
          <w:color w:val="auto"/>
        </w:rPr>
        <w:t>Commercialization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2"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Commercialization Diligence</w:t>
      </w:r>
      <w:r>
        <w:rPr>
          <w:rFonts w:ascii="Times New Roman" w:cs="Times New Roman" w:eastAsia="Times New Roman" w:hAnsi="Times New Roman"/>
          <w:sz w:val="20"/>
          <w:szCs w:val="20"/>
          <w:color w:val="auto"/>
        </w:rPr>
        <w:t>. Following receipt of Regulatory Approval (and, with respect to the Major European Countries, Pricing and Reimbursement Approval) for a Licensed Product in the Field in each of the United States, the Major European Countries and Japan, ORIC (directly, or with or through one or more of its Affiliates, Sublicensees or contractors) will use Commercially Reasonable Efforts to Commercialize such Licensed Product for at least [***] Indication in the Field in such country in the Territory. As between the Parties, ORIC will have the sole right and responsibility for, at its expense, and will have sole discretion with respect to, Commercializing the Licensed Products in the Field in the Territory.</w:t>
      </w:r>
    </w:p>
    <w:p>
      <w:pPr>
        <w:spacing w:after="0" w:line="188"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Commercialization Plan</w:t>
      </w:r>
      <w:r>
        <w:rPr>
          <w:rFonts w:ascii="Times New Roman" w:cs="Times New Roman" w:eastAsia="Times New Roman" w:hAnsi="Times New Roman"/>
          <w:sz w:val="20"/>
          <w:szCs w:val="20"/>
          <w:color w:val="auto"/>
        </w:rPr>
        <w:t>. [***], ORIC will prepare and deliver to Mirati for review a [***] written plan that summarizes the [***] Commercialization activities (including any [***]) to be undertaken by ORIC or its Affiliate or Sublicensees with respect to such Licensed Product in the Field in the Territory (the “</w:t>
      </w:r>
      <w:r>
        <w:rPr>
          <w:rFonts w:ascii="Times New Roman" w:cs="Times New Roman" w:eastAsia="Times New Roman" w:hAnsi="Times New Roman"/>
          <w:sz w:val="20"/>
          <w:szCs w:val="20"/>
          <w:u w:val="single" w:color="auto"/>
          <w:color w:val="auto"/>
        </w:rPr>
        <w:t>Commercialization Plan</w:t>
      </w:r>
      <w:r>
        <w:rPr>
          <w:rFonts w:ascii="Times New Roman" w:cs="Times New Roman" w:eastAsia="Times New Roman" w:hAnsi="Times New Roman"/>
          <w:sz w:val="20"/>
          <w:szCs w:val="20"/>
          <w:color w:val="auto"/>
        </w:rPr>
        <w:t xml:space="preserve">”). ORIC shall consider in [***] any [***] comments provided to ORIC by Mirati on such Commercialization Plan. ORIC will provide Mirati with a copy of any [***] amendments to the Commercialization Plan. ORIC’s obligations pursuant to this </w:t>
      </w:r>
      <w:r>
        <w:rPr>
          <w:rFonts w:ascii="Times New Roman" w:cs="Times New Roman" w:eastAsia="Times New Roman" w:hAnsi="Times New Roman"/>
          <w:sz w:val="20"/>
          <w:szCs w:val="20"/>
          <w:u w:val="single" w:color="auto"/>
          <w:color w:val="auto"/>
        </w:rPr>
        <w:t>Section 4.2(b)</w:t>
      </w:r>
      <w:r>
        <w:rPr>
          <w:rFonts w:ascii="Times New Roman" w:cs="Times New Roman" w:eastAsia="Times New Roman" w:hAnsi="Times New Roman"/>
          <w:sz w:val="20"/>
          <w:szCs w:val="20"/>
          <w:color w:val="auto"/>
        </w:rPr>
        <w:t xml:space="preserve"> shall cease to apply if at any time during the Term, Mirati or any of its Affiliates directly or indirectly develops or commercializes any Alternative Product anywhere in the Territory.</w:t>
      </w:r>
    </w:p>
    <w:p>
      <w:pPr>
        <w:spacing w:after="0" w:line="170" w:lineRule="exact"/>
        <w:rPr>
          <w:rFonts w:ascii="Times New Roman" w:cs="Times New Roman" w:eastAsia="Times New Roman" w:hAnsi="Times New Roman"/>
          <w:sz w:val="20"/>
          <w:szCs w:val="20"/>
          <w:color w:val="auto"/>
        </w:rPr>
      </w:pPr>
    </w:p>
    <w:p>
      <w:pPr>
        <w:ind w:right="20" w:firstLine="1505"/>
        <w:spacing w:after="0" w:line="269" w:lineRule="auto"/>
        <w:tabs>
          <w:tab w:leader="none" w:pos="190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Obligations</w:t>
      </w:r>
      <w:r>
        <w:rPr>
          <w:rFonts w:ascii="Times New Roman" w:cs="Times New Roman" w:eastAsia="Times New Roman" w:hAnsi="Times New Roman"/>
          <w:sz w:val="20"/>
          <w:szCs w:val="20"/>
          <w:color w:val="auto"/>
        </w:rPr>
        <w:t>. [***], ORIC will provide Mirati with [***] written reports summarizing ORIC’s material Commercialization activities for such Licensed Product performed to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both"/>
        <w:spacing w:after="0" w:line="254" w:lineRule="auto"/>
        <w:rPr>
          <w:sz w:val="20"/>
          <w:szCs w:val="20"/>
          <w:color w:val="auto"/>
        </w:rPr>
      </w:pPr>
      <w:r>
        <w:rPr>
          <w:rFonts w:ascii="Times New Roman" w:cs="Times New Roman" w:eastAsia="Times New Roman" w:hAnsi="Times New Roman"/>
          <w:sz w:val="20"/>
          <w:szCs w:val="20"/>
          <w:color w:val="auto"/>
        </w:rPr>
        <w:t>(or updating such report for activities performed since the last such report was given hereunder, as applicable), and the future material Commercialization activities it expects to initiate in the following [***], and the status of any material Manufacturing activities that directly impact such Commercialization activities. [***].</w:t>
      </w:r>
    </w:p>
    <w:p>
      <w:pPr>
        <w:spacing w:after="0" w:line="174" w:lineRule="exact"/>
        <w:rPr>
          <w:sz w:val="20"/>
          <w:szCs w:val="20"/>
          <w:color w:val="auto"/>
        </w:rPr>
      </w:pPr>
    </w:p>
    <w:p>
      <w:pPr>
        <w:ind w:left="1900" w:hanging="395"/>
        <w:spacing w:after="0"/>
        <w:tabs>
          <w:tab w:leader="none" w:pos="19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GOVERNANCE; COLLABORATION STEERING COMMITTEE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Formation; Purposes and Principles</w:t>
      </w:r>
      <w:r>
        <w:rPr>
          <w:rFonts w:ascii="Times New Roman" w:cs="Times New Roman" w:eastAsia="Times New Roman" w:hAnsi="Times New Roman"/>
          <w:sz w:val="20"/>
          <w:szCs w:val="20"/>
          <w:color w:val="auto"/>
        </w:rPr>
        <w:t>. Within [***] after the Effective Date), Mirati and ORIC will form a collaboration steering committee (the “</w:t>
      </w:r>
      <w:r>
        <w:rPr>
          <w:rFonts w:ascii="Times New Roman" w:cs="Times New Roman" w:eastAsia="Times New Roman" w:hAnsi="Times New Roman"/>
          <w:sz w:val="20"/>
          <w:szCs w:val="20"/>
          <w:u w:val="single" w:color="auto"/>
          <w:color w:val="auto"/>
        </w:rPr>
        <w:t>CSC</w:t>
      </w:r>
      <w:r>
        <w:rPr>
          <w:rFonts w:ascii="Times New Roman" w:cs="Times New Roman" w:eastAsia="Times New Roman" w:hAnsi="Times New Roman"/>
          <w:sz w:val="20"/>
          <w:szCs w:val="20"/>
          <w:color w:val="auto"/>
        </w:rPr>
        <w:t>”) to facilitate information sharing between the Parties with respect to the Development of the Licensed Products.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Specific Responsibilities</w:t>
      </w:r>
      <w:r>
        <w:rPr>
          <w:rFonts w:ascii="Times New Roman" w:cs="Times New Roman" w:eastAsia="Times New Roman" w:hAnsi="Times New Roman"/>
          <w:sz w:val="20"/>
          <w:szCs w:val="20"/>
          <w:color w:val="auto"/>
        </w:rPr>
        <w:t>. In addition to its overall responsibility to facilitate information sharing between the Parties with respect to the Development activities under this Agreement, the CSC will:</w:t>
      </w:r>
    </w:p>
    <w:p>
      <w:pPr>
        <w:spacing w:after="0" w:line="159" w:lineRule="exact"/>
        <w:rPr>
          <w:sz w:val="20"/>
          <w:szCs w:val="20"/>
          <w:color w:val="auto"/>
        </w:rPr>
      </w:pPr>
    </w:p>
    <w:p>
      <w:pPr>
        <w:ind w:left="1900" w:hanging="395"/>
        <w:spacing w:after="0"/>
        <w:tabs>
          <w:tab w:leader="none" w:pos="19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proposed amendments or revisions to the Research &amp; Development Plan; and</w:t>
      </w:r>
    </w:p>
    <w:p>
      <w:pPr>
        <w:spacing w:after="0" w:line="215" w:lineRule="exact"/>
        <w:rPr>
          <w:rFonts w:ascii="Times New Roman" w:cs="Times New Roman" w:eastAsia="Times New Roman" w:hAnsi="Times New Roman"/>
          <w:sz w:val="20"/>
          <w:szCs w:val="20"/>
          <w:color w:val="auto"/>
        </w:rPr>
      </w:pPr>
    </w:p>
    <w:p>
      <w:pPr>
        <w:ind w:right="40" w:firstLine="1505"/>
        <w:spacing w:after="0" w:line="255"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information with respect to the Development of the Licensed Products by or on behalf of ORIC in the Territory, and review and discuss ORIC’s activities and progress under the Research &amp; Development Plan; and</w:t>
      </w:r>
    </w:p>
    <w:p>
      <w:pPr>
        <w:spacing w:after="0" w:line="172"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such other functions as are assigned to it in this Agreement or as appropriate to further the purposes of this Agreement, to the extent agreed to in writing by the Parties.</w:t>
      </w:r>
    </w:p>
    <w:p>
      <w:pPr>
        <w:spacing w:after="0" w:line="15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Membership</w:t>
      </w:r>
      <w:r>
        <w:rPr>
          <w:rFonts w:ascii="Times New Roman" w:cs="Times New Roman" w:eastAsia="Times New Roman" w:hAnsi="Times New Roman"/>
          <w:sz w:val="20"/>
          <w:szCs w:val="20"/>
          <w:color w:val="auto"/>
        </w:rPr>
        <w:t xml:space="preserve">. The CSC will be composed of a total of [***] representatives of each Party, which will be appointed by each of Mirati and ORIC, respectively. Each individual appointed by a Party as a representative to the CSC will be an employee of such Party with sufficient seniority within the applicable Party to provide meaningful input with respect to matters within the scope of the CSC’s responsibilities, and have knowledge and expertise in the Development of compounds and products similar to the Licensed Compound and Licensed Products under this Agreement. The CSC may change its size from time to time by consent of the Parties, [***] unless otherwise agreed by the Parties in writing. Each Party may replace any of its CSC representatives at any time upon written notice to the other Party, which notice may be given by e-mail, sent to the other Party. The CSC will be chaired by [***]. The chairperson will be responsible for (a) calling and conducting meetings, (b) preparing and circulating an agenda in advance of each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chairperson will include any agenda items proposed by either Party on such agenda, (c) preparing minutes of each meeting that reflect the material matters discussed and action items identified at such meetings promptly thereafter, and (d) sending draft meeting minutes to each member of the CSC for review and approval [***] after each CSC meeting. Each CSC representative will have [***] from receipt in which to comment on and to approve or provide comments to the minutes (such approval not to be unreasonably withheld, conditioned or delayed). If a representative, within such time period, does not notify the CSC chairperson that he/she does not approve of the minutes, the minutes will be deemed to have been approved by such representative. Each CSC representative will be subject to confidentiality obligations no less stringent than those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Meetings</w:t>
      </w:r>
      <w:r>
        <w:rPr>
          <w:rFonts w:ascii="Times New Roman" w:cs="Times New Roman" w:eastAsia="Times New Roman" w:hAnsi="Times New Roman"/>
          <w:sz w:val="20"/>
          <w:szCs w:val="20"/>
          <w:color w:val="auto"/>
        </w:rPr>
        <w:t>. The CSC will hold [***] during each Calendar Year during the Term for so long as the CSC exists, unless the Parties mutually agree in writing to a different frequency. No later than [***] prior to any meeting of the CSC (or such shorter time period as the Parties may agree),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chairperson will prepare and circulate an agenda for such meeting. The CSC may meet in person or by audio or video conference as its representatives may mutually agree. Other representatives of the Parties, their Affiliates and Third Parties involved in the Development, Manufacture, or Commercialization of Licensed Products may be invited by the members of the CSC to attend meetings as observers;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each such representative is subject to confidentiality obligations no less stringent than those set forth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(b) the Party wishing any such representative to attend a CSC meeting has provided reasonable advance notice to the other Party and (c) the other Party has given its prior written approval.</w:t>
      </w:r>
    </w:p>
    <w:p>
      <w:pPr>
        <w:spacing w:after="0" w:line="17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5.5. </w:t>
      </w:r>
      <w:r>
        <w:rPr>
          <w:rFonts w:ascii="Times New Roman" w:cs="Times New Roman" w:eastAsia="Times New Roman" w:hAnsi="Times New Roman"/>
          <w:sz w:val="20"/>
          <w:szCs w:val="20"/>
          <w:u w:val="single" w:color="auto"/>
          <w:color w:val="auto"/>
        </w:rPr>
        <w:t>No Decision-Making Authority</w:t>
      </w:r>
      <w:r>
        <w:rPr>
          <w:rFonts w:ascii="Times New Roman" w:cs="Times New Roman" w:eastAsia="Times New Roman" w:hAnsi="Times New Roman"/>
          <w:sz w:val="20"/>
          <w:szCs w:val="20"/>
          <w:color w:val="auto"/>
        </w:rPr>
        <w:t>. The CSC will be purely advisory and will have no decision-making authority. For clarity, (a) the CSC is not a forum for dispute resolution and (b) each Party will retain the rights, powers and discretion granted to it hereunder, and the CSC will not be delegated or vested with any such rights, powers or discretion.</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u w:val="single" w:color="auto"/>
          <w:color w:val="auto"/>
        </w:rPr>
        <w:t>Disband of CSC</w:t>
      </w:r>
      <w:r>
        <w:rPr>
          <w:rFonts w:ascii="Times New Roman" w:cs="Times New Roman" w:eastAsia="Times New Roman" w:hAnsi="Times New Roman"/>
          <w:sz w:val="20"/>
          <w:szCs w:val="20"/>
          <w:color w:val="auto"/>
        </w:rPr>
        <w:t>. Unless otherwise agreed by the Parties, upon the Initiation of the [***] for a Licensed Product, the CSC will have no further responsibilities and will disband.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PROVISIONS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Equity Investment</w:t>
      </w:r>
      <w:r>
        <w:rPr>
          <w:rFonts w:ascii="Times New Roman" w:cs="Times New Roman" w:eastAsia="Times New Roman" w:hAnsi="Times New Roman"/>
          <w:sz w:val="20"/>
          <w:szCs w:val="20"/>
          <w:color w:val="auto"/>
        </w:rPr>
        <w:t>. ORIC will issue to Mirati shares of common stock of ORIC in accordance with the terms set forth in the Stock Issuance Agreement.</w:t>
      </w:r>
    </w:p>
    <w:p>
      <w:pPr>
        <w:spacing w:after="0" w:line="15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INTELLECTUAL PROPERTY OWNERSHIP,</w:t>
      </w:r>
    </w:p>
    <w:p>
      <w:pPr>
        <w:ind w:left="3720"/>
        <w:spacing w:after="0"/>
        <w:rPr>
          <w:sz w:val="20"/>
          <w:szCs w:val="20"/>
          <w:color w:val="auto"/>
        </w:rPr>
      </w:pPr>
      <w:r>
        <w:rPr>
          <w:rFonts w:ascii="Times New Roman" w:cs="Times New Roman" w:eastAsia="Times New Roman" w:hAnsi="Times New Roman"/>
          <w:sz w:val="20"/>
          <w:szCs w:val="20"/>
          <w:b w:val="1"/>
          <w:bCs w:val="1"/>
          <w:color w:val="auto"/>
        </w:rPr>
        <w:t>PROTECTION AND RELATED MATTERS</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505"/>
        <w:spacing w:after="0" w:line="269" w:lineRule="auto"/>
        <w:tabs>
          <w:tab w:leader="none" w:pos="18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only to the rights expressly granted to ORIC under this Agreement, and except with respect to Joint Patents and Joint Inventions, Mirati will retain all rights, title and interests in and to the Licensed Patents and Licensed Know-How.</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Obligation</w:t>
      </w: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firstLine="1505"/>
        <w:spacing w:after="0" w:line="255"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Inventorship</w:t>
      </w:r>
      <w:r>
        <w:rPr>
          <w:rFonts w:ascii="Times New Roman" w:cs="Times New Roman" w:eastAsia="Times New Roman" w:hAnsi="Times New Roman"/>
          <w:sz w:val="20"/>
          <w:szCs w:val="20"/>
          <w:color w:val="auto"/>
        </w:rPr>
        <w:t>. Inventorship for inventions made in the course of the performance of this Agreement will be determined in accordance with United States patent laws for determining inventorship.</w:t>
      </w:r>
    </w:p>
    <w:p>
      <w:pPr>
        <w:spacing w:after="0" w:line="17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7.2.</w:t>
      </w:r>
      <w:r>
        <w:rPr>
          <w:sz w:val="20"/>
          <w:szCs w:val="20"/>
          <w:color w:val="auto"/>
        </w:rPr>
        <w:tab/>
      </w:r>
      <w:r>
        <w:rPr>
          <w:rFonts w:ascii="Times New Roman" w:cs="Times New Roman" w:eastAsia="Times New Roman" w:hAnsi="Times New Roman"/>
          <w:sz w:val="19"/>
          <w:szCs w:val="19"/>
          <w:u w:val="single" w:color="auto"/>
          <w:color w:val="auto"/>
        </w:rPr>
        <w:t>Prosecution and Maintenance of the Licensed Patents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Prosecution by ORIC</w:t>
      </w: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Step-In Right</w:t>
      </w:r>
      <w:r>
        <w:rPr>
          <w:rFonts w:ascii="Times New Roman" w:cs="Times New Roman" w:eastAsia="Times New Roman" w:hAnsi="Times New Roman"/>
          <w:sz w:val="20"/>
          <w:szCs w:val="20"/>
          <w:color w:val="auto"/>
        </w:rPr>
        <w:t>.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Omitted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both"/>
        <w:ind w:firstLine="1505"/>
        <w:spacing w:after="0" w:line="249" w:lineRule="auto"/>
        <w:tabs>
          <w:tab w:leader="none" w:pos="190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 in Prosecution</w:t>
      </w:r>
      <w:r>
        <w:rPr>
          <w:rFonts w:ascii="Times New Roman" w:cs="Times New Roman" w:eastAsia="Times New Roman" w:hAnsi="Times New Roman"/>
          <w:sz w:val="20"/>
          <w:szCs w:val="20"/>
          <w:color w:val="auto"/>
        </w:rPr>
        <w:t>. Each Party will, and will cause its Affiliates to, reasonably cooperate with the other Party with respect to the Prosecution of Licensed Patents and Joint Patents pursuant to this Section 7.2, including providing any necessary powers of attorney, complying with any applicable duty of candor or disclosure with a patent office and executing any other required documents or instruments for such Prosecution.</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Prosecution and Maintenance of ORIC Patents</w:t>
      </w:r>
      <w:r>
        <w:rPr>
          <w:rFonts w:ascii="Times New Roman" w:cs="Times New Roman" w:eastAsia="Times New Roman" w:hAnsi="Times New Roman"/>
          <w:sz w:val="20"/>
          <w:szCs w:val="20"/>
          <w:color w:val="auto"/>
        </w:rPr>
        <w:t>. As between the Parties, [***].</w:t>
      </w:r>
    </w:p>
    <w:p>
      <w:pPr>
        <w:spacing w:after="0" w:line="20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 Extensions; Orange Book Listings; Patent Certifications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82"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 Term Extension</w:t>
      </w:r>
      <w:r>
        <w:rPr>
          <w:rFonts w:ascii="Times New Roman" w:cs="Times New Roman" w:eastAsia="Times New Roman" w:hAnsi="Times New Roman"/>
          <w:sz w:val="20"/>
          <w:szCs w:val="20"/>
          <w:color w:val="auto"/>
        </w:rPr>
        <w:t>. If elections with respect to obtaining patent term extension or supplemental protection certificates or their equivalents in any country with respect to any Licensed Product becomes available, upon Regulatory Approval or otherwise, [***].</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Exclusivity and Orange Book Listings</w:t>
      </w:r>
      <w:r>
        <w:rPr>
          <w:rFonts w:ascii="Times New Roman" w:cs="Times New Roman" w:eastAsia="Times New Roman" w:hAnsi="Times New Roman"/>
          <w:sz w:val="20"/>
          <w:szCs w:val="20"/>
          <w:color w:val="auto"/>
        </w:rPr>
        <w:t>. With respect to data exclusivity periods (such as those periods listed in the Orange Book (including any available pediatric extensions) or periods under national implementations of Article 10.1(a)(iii) of Directive 2001/EC/83, and all equivalents in any country), [***].</w:t>
      </w:r>
    </w:p>
    <w:p>
      <w:pPr>
        <w:spacing w:after="0" w:line="160"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Patent Certification</w:t>
      </w:r>
      <w:r>
        <w:rPr>
          <w:rFonts w:ascii="Times New Roman" w:cs="Times New Roman" w:eastAsia="Times New Roman" w:hAnsi="Times New Roman"/>
          <w:sz w:val="20"/>
          <w:szCs w:val="20"/>
          <w:color w:val="auto"/>
        </w:rPr>
        <w:t>. [***].</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7.3.</w:t>
      </w:r>
      <w:r>
        <w:rPr>
          <w:sz w:val="20"/>
          <w:szCs w:val="20"/>
          <w:color w:val="auto"/>
        </w:rPr>
        <w:tab/>
      </w:r>
      <w:r>
        <w:rPr>
          <w:rFonts w:ascii="Times New Roman" w:cs="Times New Roman" w:eastAsia="Times New Roman" w:hAnsi="Times New Roman"/>
          <w:sz w:val="19"/>
          <w:szCs w:val="19"/>
          <w:u w:val="single" w:color="auto"/>
          <w:color w:val="auto"/>
        </w:rPr>
        <w:t>Third Party Infringement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9"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Each Party will promptly notify the other in writing of any (i) apparent, threatened or actual infringement by a Third Party of any Licensed Patent or Joint Patent, or (ii) unauthorized use or misappropriation of any Licensed Know-How, in each case ((i) and (ii)), by a Third Party (each, an “</w:t>
      </w:r>
      <w:r>
        <w:rPr>
          <w:rFonts w:ascii="Times New Roman" w:cs="Times New Roman" w:eastAsia="Times New Roman" w:hAnsi="Times New Roman"/>
          <w:sz w:val="20"/>
          <w:szCs w:val="20"/>
          <w:u w:val="single" w:color="auto"/>
          <w:color w:val="auto"/>
        </w:rPr>
        <w:t>Infringement</w:t>
      </w:r>
      <w:r>
        <w:rPr>
          <w:rFonts w:ascii="Times New Roman" w:cs="Times New Roman" w:eastAsia="Times New Roman" w:hAnsi="Times New Roman"/>
          <w:sz w:val="20"/>
          <w:szCs w:val="20"/>
          <w:color w:val="auto"/>
        </w:rPr>
        <w:t>”) of which it becomes aware. Each Party will provide the other Party with all evidence in such Party’s possession or control with respect to such Infringement.</w:t>
      </w:r>
    </w:p>
    <w:p>
      <w:pPr>
        <w:spacing w:after="0" w:line="16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xml:space="preserve">. In any Infringement Action brought under or with respect to the Licensed Patents or Joint Patents pursuant to </w:t>
      </w:r>
      <w:r>
        <w:rPr>
          <w:rFonts w:ascii="Times New Roman" w:cs="Times New Roman" w:eastAsia="Times New Roman" w:hAnsi="Times New Roman"/>
          <w:sz w:val="20"/>
          <w:szCs w:val="20"/>
          <w:u w:val="single" w:color="auto"/>
          <w:color w:val="auto"/>
        </w:rPr>
        <w:t>Section 7.3(b)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each Party will, and will cause its Affiliates to, reasonably cooperate with each other, in good faith, relative to the other Party’s efforts to protect the Licensed Patents and Joint Patents and will join such suit as a party, if requested by the other Party. [***].</w:t>
      </w:r>
    </w:p>
    <w:p>
      <w:pPr>
        <w:spacing w:after="0" w:line="166"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0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7.3(f)</w:t>
      </w:r>
      <w:r>
        <w:rPr>
          <w:rFonts w:ascii="Times New Roman" w:cs="Times New Roman" w:eastAsia="Times New Roman" w:hAnsi="Times New Roman"/>
          <w:sz w:val="20"/>
          <w:szCs w:val="20"/>
          <w:color w:val="auto"/>
        </w:rPr>
        <w:t xml:space="preserve">, each Party will be solely responsible for all of its expenses arising from an Infringement Action. For the avoidance of doubt, the Controlling Party will not be responsible for the other Party’s internal expenses (e.g., FTEs) incurred as a result of the other Party’s cooperation with the enforcement Action as provided in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The non-Controlling Party with respect to an Infringement Action will be entitled to participate in such Infringement Action with separate representation in such matter by counsel of its own choice and at its own expense, but such Party will at all times cooperate fully with the Party bringing such Action.</w:t>
      </w:r>
    </w:p>
    <w:p>
      <w:pPr>
        <w:spacing w:after="0" w:line="184" w:lineRule="exact"/>
        <w:rPr>
          <w:rFonts w:ascii="Times New Roman" w:cs="Times New Roman" w:eastAsia="Times New Roman" w:hAnsi="Times New Roman"/>
          <w:sz w:val="20"/>
          <w:szCs w:val="20"/>
          <w:color w:val="auto"/>
        </w:rPr>
      </w:pPr>
    </w:p>
    <w:p>
      <w:pPr>
        <w:ind w:firstLine="1505"/>
        <w:spacing w:after="0" w:line="255"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Allocation of Recoveries</w:t>
      </w:r>
      <w:r>
        <w:rPr>
          <w:rFonts w:ascii="Times New Roman" w:cs="Times New Roman" w:eastAsia="Times New Roman" w:hAnsi="Times New Roman"/>
          <w:sz w:val="20"/>
          <w:szCs w:val="20"/>
          <w:color w:val="auto"/>
        </w:rPr>
        <w:t>. Any settlements, damages or monetary awards recovered by either Party pursuant to any Infringement Action with respect to the Licensed Patents or Joint Patents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both"/>
        <w:spacing w:after="0" w:line="269" w:lineRule="auto"/>
        <w:rPr>
          <w:sz w:val="20"/>
          <w:szCs w:val="20"/>
          <w:color w:val="auto"/>
        </w:rPr>
      </w:pPr>
      <w:r>
        <w:rPr>
          <w:rFonts w:ascii="Times New Roman" w:cs="Times New Roman" w:eastAsia="Times New Roman" w:hAnsi="Times New Roman"/>
          <w:sz w:val="20"/>
          <w:szCs w:val="20"/>
          <w:color w:val="auto"/>
        </w:rPr>
        <w:t>will, after reimbursing the Parties for their reasonable expenses in making such recovery (which amounts will be allocated pro rata if insufficient to cover the totality of such expenses), be split as follows: [***].</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Claimed Infringement</w:t>
      </w:r>
      <w:r>
        <w:rPr>
          <w:rFonts w:ascii="Times New Roman" w:cs="Times New Roman" w:eastAsia="Times New Roman" w:hAnsi="Times New Roman"/>
          <w:sz w:val="20"/>
          <w:szCs w:val="20"/>
          <w:color w:val="auto"/>
        </w:rPr>
        <w:t>. Each Party will promptly notify the other Party if a Third Party brings any Action against either of them alleging patent infringement by ORIC or Mirati or any of their respective Affiliates or Sublicensees with respect to the Development, Manufacture or Commercialization of any Licensed Compound or Licensed Product (any such Action, an “</w:t>
      </w:r>
      <w:r>
        <w:rPr>
          <w:rFonts w:ascii="Times New Roman" w:cs="Times New Roman" w:eastAsia="Times New Roman" w:hAnsi="Times New Roman"/>
          <w:sz w:val="20"/>
          <w:szCs w:val="20"/>
          <w:u w:val="single" w:color="auto"/>
          <w:color w:val="auto"/>
        </w:rPr>
        <w:t>Infringement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in the Territory and the Parties shall promptly confer to consider the claim or assertion and the appropriate course of action. [***].</w:t>
      </w:r>
    </w:p>
    <w:p>
      <w:pPr>
        <w:spacing w:after="0" w:line="16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7.5.</w:t>
      </w:r>
      <w:r>
        <w:rPr>
          <w:sz w:val="20"/>
          <w:szCs w:val="20"/>
          <w:color w:val="auto"/>
        </w:rPr>
        <w:tab/>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u w:val="single" w:color="auto"/>
          <w:color w:val="auto"/>
        </w:rPr>
        <w:t>Patent Marking</w:t>
      </w:r>
      <w:r>
        <w:rPr>
          <w:rFonts w:ascii="Times New Roman" w:cs="Times New Roman" w:eastAsia="Times New Roman" w:hAnsi="Times New Roman"/>
          <w:sz w:val="20"/>
          <w:szCs w:val="20"/>
          <w:color w:val="auto"/>
        </w:rPr>
        <w:t>. ORIC will mark, and will cause all of its Affiliates and Sublicensees to mark, Licensed Products with all Licensed Patents in accordance with applicable Law, which marking obligation will continue to the extent and for as long as required under applicable Law.</w:t>
      </w:r>
    </w:p>
    <w:p>
      <w:pPr>
        <w:spacing w:after="0" w:line="17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7.7.</w:t>
      </w:r>
      <w:r>
        <w:rPr>
          <w:sz w:val="20"/>
          <w:szCs w:val="20"/>
          <w:color w:val="auto"/>
        </w:rPr>
        <w:tab/>
      </w:r>
      <w:r>
        <w:rPr>
          <w:rFonts w:ascii="Times New Roman" w:cs="Times New Roman" w:eastAsia="Times New Roman" w:hAnsi="Times New Roman"/>
          <w:sz w:val="20"/>
          <w:szCs w:val="20"/>
          <w:u w:val="single" w:color="auto"/>
          <w:color w:val="auto"/>
        </w:rPr>
        <w:t>New Technology</w:t>
      </w:r>
      <w:r>
        <w:rPr>
          <w:rFonts w:ascii="Times New Roman" w:cs="Times New Roman" w:eastAsia="Times New Roman" w:hAnsi="Times New Roman"/>
          <w:sz w:val="20"/>
          <w:szCs w:val="20"/>
          <w:color w:val="auto"/>
        </w:rPr>
        <w: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CONFIDENTIALITY AND PUBLICITY</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54" w:lineRule="auto"/>
        <w:tabs>
          <w:tab w:leader="none" w:pos="19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Obligation</w:t>
      </w:r>
      <w:r>
        <w:rPr>
          <w:rFonts w:ascii="Times New Roman" w:cs="Times New Roman" w:eastAsia="Times New Roman" w:hAnsi="Times New Roman"/>
          <w:sz w:val="20"/>
          <w:szCs w:val="20"/>
          <w:color w:val="auto"/>
        </w:rPr>
        <w:t>. During the Term and for a period of [***] after any termination or expiration of this Agreement, each Party agrees to, and will cause its Affiliates, Sublicensees and contractors to, keep in confidence and not to disclose to any Third Party, or use for any purpose, except to exercise its rights or perform its obligations under this Agreement or as otherwise permitted in this Agreement, any Confidential Information of the other Party, without the prior written consent of such disclosing Party.</w:t>
      </w:r>
    </w:p>
    <w:p>
      <w:pPr>
        <w:spacing w:after="0" w:line="173"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Permitted Disclosures</w:t>
      </w:r>
      <w:r>
        <w:rPr>
          <w:rFonts w:ascii="Times New Roman" w:cs="Times New Roman" w:eastAsia="Times New Roman" w:hAnsi="Times New Roman"/>
          <w:sz w:val="20"/>
          <w:szCs w:val="20"/>
          <w:color w:val="auto"/>
        </w:rPr>
        <w:t xml:space="preserve">. Each Party agrees that it and its Affiliates will provide or permit access to the other Party’s Confidential Information only to the receiving Party’s employees, consultants, advisors and Sublicensees, and to the employees, consultants and advisors of the receiving Party’s Affiliates, in each case on a need to know basis and provided that any such individual is subject to obligations of confidentiality and non-use with respect to such Confidential Information no less stringent than the obligations of confidentiality and non-use of the receiving Party pursuant to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Party will remain responsible for any failure by its Affiliates and Sublicensees, and its and its Affiliates’ respective employees, consultants and advisors, to treat such Confidential Information as required under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as if such Affiliates, employees, consultants, advisors and Sublicensees were parties directly bound to the requirements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Limitation</w:t>
      </w:r>
      <w:r>
        <w:rPr>
          <w:rFonts w:ascii="Times New Roman" w:cs="Times New Roman" w:eastAsia="Times New Roman" w:hAnsi="Times New Roman"/>
          <w:sz w:val="20"/>
          <w:szCs w:val="20"/>
          <w:color w:val="auto"/>
        </w:rPr>
        <w:t xml:space="preserve">. Notwithstanding anything to the contrary herein, each Party may use and disclose the other Party’s Confidential Information as follows: (i) under appropriate written confidentiality and non-use obligations no less stringent than those in this Agreement (but of duration customary in confidentiality agreements entered into for a similar purpose), to its Affiliates, </w:t>
      </w:r>
      <w:r>
        <w:rPr>
          <w:rFonts w:ascii="Times New Roman" w:cs="Times New Roman" w:eastAsia="Times New Roman" w:hAnsi="Times New Roman"/>
          <w:sz w:val="20"/>
          <w:szCs w:val="20"/>
          <w:i w:val="1"/>
          <w:iCs w:val="1"/>
          <w:color w:val="auto"/>
        </w:rPr>
        <w:t>bona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fide </w:t>
      </w:r>
      <w:r>
        <w:rPr>
          <w:rFonts w:ascii="Times New Roman" w:cs="Times New Roman" w:eastAsia="Times New Roman" w:hAnsi="Times New Roman"/>
          <w:sz w:val="20"/>
          <w:szCs w:val="20"/>
          <w:color w:val="auto"/>
        </w:rPr>
        <w:t>potential or actual collaborators, licensors, Sublicensees, licensees, or strategic partners and to employees, directors, agents, consultants,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advisers of any other Third Parties, (ii) to its financial advisors, attorneys and accountants,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actual or potential acquisition partners, financing sources or investors and underwriters on a need to know basis, in each case under appropriate confidentiality and non-use obligations (which may include professional ethical obligations) no less stringent than those in this Agreement (but of duration customary in confidentiality agreements entered into for a similar purpose);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Party will remain responsible for any failure by any of the foregoing individuals to treat such Confidential Information as required under Section 8.1 as if such individuals were parties directly bound to the requirements of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(iii) as required by any court or other governmental body or as otherwise required by applicable Laws (including any such disclosures as are required by the rules or regulations of the United States Securities and Exchange Commission or similar Regulatory Authority in a country other than the United States or of any stock exchange or listing entity);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notice is promptly given to the other Party and the receiving Party cooperates with reasonable requests from the other Party to seek a protective order or other appropriate remedy to protect the Confidential Information or (iv) [***]. Notwithstanding anything to the contrary contained in this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Confidential Information that is permitted or required to be disclosed will remain otherwise subject to the confidentiality and non-use provisions of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If either Party concludes that a copy of this Agreement must be filed with the United States Securities and Exchange Commission or equivalent foreign agency in a country other than the United States, then such Party will, a reasonable time (and in no event less than [***]) prior to any such filing, provide the other Party with a copy of such agreement showing any provisions hereof as to which the Party proposes to request confidential treatment, will provide the other Party with an opportunity to comment on any such proposed redactions and to suggest additional redactions, and will take such Party’s reasonable comments into consideration before filing such agreement and use Commercially Reasonable Efforts to have terms identified by such other Party afforded confidential treatment by the applicable agency.</w:t>
      </w:r>
    </w:p>
    <w:p>
      <w:pPr>
        <w:spacing w:after="0" w:line="178" w:lineRule="exact"/>
        <w:rPr>
          <w:sz w:val="20"/>
          <w:szCs w:val="20"/>
          <w:color w:val="auto"/>
        </w:rPr>
      </w:pPr>
    </w:p>
    <w:p>
      <w:pPr>
        <w:jc w:val="both"/>
        <w:ind w:firstLine="1505"/>
        <w:spacing w:after="0" w:line="249" w:lineRule="auto"/>
        <w:tabs>
          <w:tab w:leader="none" w:pos="189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Secrecy of Licensed Know-How</w:t>
      </w:r>
      <w:r>
        <w:rPr>
          <w:rFonts w:ascii="Times New Roman" w:cs="Times New Roman" w:eastAsia="Times New Roman" w:hAnsi="Times New Roman"/>
          <w:sz w:val="20"/>
          <w:szCs w:val="20"/>
          <w:color w:val="auto"/>
        </w:rPr>
        <w:t xml:space="preserve">. Without limiting the generality of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during the Term each Party will protect, and will cause its Affiliates and its Sublicensees and its and their respective officers, directors, employees, and agents to protect, the secrecy and confidentiality of the Licensed Know-How and unpublished Licensed Patents using at least the same degree of care as it uses to prevent the disclosure of its own other confidential information of like importance and in any event a reasonable duty of care.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xml:space="preserve">. The Parties acknowledge the importance of supporting each other’s efforts to publicly disclose results and significant developments regarding any Licensed Product in the Field in the Territory, and each Party may make such disclosures from time to time, subject to the terms and conditions of this Agreement, including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Such disclosures may include significant events in the Development process with respect to Licensed Products, or Commercialization activities with respect to Licensed Products.</w:t>
      </w:r>
    </w:p>
    <w:p>
      <w:pPr>
        <w:spacing w:after="0" w:line="185" w:lineRule="exact"/>
        <w:rPr>
          <w:sz w:val="20"/>
          <w:szCs w:val="20"/>
          <w:color w:val="auto"/>
        </w:rPr>
      </w:pPr>
    </w:p>
    <w:p>
      <w:pPr>
        <w:jc w:val="both"/>
        <w:ind w:firstLine="1505"/>
        <w:spacing w:after="0" w:line="242" w:lineRule="auto"/>
        <w:tabs>
          <w:tab w:leader="none" w:pos="189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disclosures permitted in accordance with Section 8.1, whenever either Party elects to make any public disclosure regarding this Agreement, including significant events in the Development or Commercialization of the Licensed Products in the Territory, it will first notify the other Party of such planned press release or public announcement and provide a draft for review no less than</w:t>
      </w:r>
    </w:p>
    <w:p>
      <w:pPr>
        <w:spacing w:after="0" w:line="1"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advance of issuing such press release or making such public announcement (or, with respect to press releases and public</w:t>
      </w:r>
    </w:p>
    <w:p>
      <w:pPr>
        <w:jc w:val="both"/>
        <w:spacing w:after="0" w:line="252" w:lineRule="auto"/>
        <w:rPr>
          <w:sz w:val="20"/>
          <w:szCs w:val="20"/>
          <w:color w:val="auto"/>
        </w:rPr>
      </w:pPr>
      <w:r>
        <w:rPr>
          <w:rFonts w:ascii="Times New Roman" w:cs="Times New Roman" w:eastAsia="Times New Roman" w:hAnsi="Times New Roman"/>
          <w:sz w:val="19"/>
          <w:szCs w:val="19"/>
          <w:color w:val="auto"/>
        </w:rPr>
        <w:t>announcements that are required by applicable Laws, with as much advance notice as possible under the circumstances if it is not possible to provide notice at least [***] in advance). Each Party will have the right to review and comment on any such planned press release or public announcement proposed by the other Party with respect to Licensed Products in the Territory, or that includes Confidential Information of the other Party; provided, however, that (A) the reviewing Party will [***], if any, as soon as reasonably possible; (B) the Party desiring to make such public disclosure will [***] and, if requested, remove the reviewing Party’s Confidential Information from such public disclosure; and</w:t>
      </w:r>
    </w:p>
    <w:p>
      <w:pPr>
        <w:spacing w:after="0" w:line="1" w:lineRule="exact"/>
        <w:rPr>
          <w:sz w:val="20"/>
          <w:szCs w:val="20"/>
          <w:color w:val="auto"/>
        </w:rPr>
      </w:pPr>
    </w:p>
    <w:p>
      <w:pPr>
        <w:jc w:val="both"/>
        <w:ind w:firstLine="8"/>
        <w:spacing w:after="0" w:line="237" w:lineRule="auto"/>
        <w:tabs>
          <w:tab w:leader="none" w:pos="32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Party desiring to make such public disclosure may issue such press release or public announcement without such prior review by the other Party if (1) the contents of such press release or public announcement have previously been made public other than through a breach of this Agreement by such Party, and (2) such press release or public announcement is consistent with the previously issued press release or other publicly available information; and provided, further, that the other Party will have the right to review, but not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approve, any press release or public announcement that the proposing Party determines is required by applicable Laws based on the advice of counsel, which public disclosures are subject to </w:t>
      </w:r>
      <w:r>
        <w:rPr>
          <w:rFonts w:ascii="Times New Roman" w:cs="Times New Roman" w:eastAsia="Times New Roman" w:hAnsi="Times New Roman"/>
          <w:sz w:val="20"/>
          <w:szCs w:val="20"/>
          <w:u w:val="single" w:color="auto"/>
          <w:color w:val="auto"/>
        </w:rPr>
        <w:t>Section 8.2(b)</w:t>
      </w:r>
      <w:r>
        <w:rPr>
          <w:rFonts w:ascii="Times New Roman" w:cs="Times New Roman" w:eastAsia="Times New Roman" w:hAnsi="Times New Roman"/>
          <w:sz w:val="20"/>
          <w:szCs w:val="20"/>
          <w:color w:val="auto"/>
        </w:rPr>
        <w:t>. The Party reviewing a press release provided under this Section 8.2(a) will review such press release and provide comments, if any, within [***] after its receipt thereof.</w:t>
      </w:r>
    </w:p>
    <w:p>
      <w:pPr>
        <w:spacing w:after="0" w:line="174" w:lineRule="exact"/>
        <w:rPr>
          <w:sz w:val="20"/>
          <w:szCs w:val="20"/>
          <w:color w:val="auto"/>
        </w:rPr>
      </w:pPr>
    </w:p>
    <w:p>
      <w:pPr>
        <w:jc w:val="both"/>
        <w:ind w:firstLine="1505"/>
        <w:spacing w:after="0" w:line="256" w:lineRule="auto"/>
        <w:tabs>
          <w:tab w:leader="none" w:pos="189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principles to be observed in such disclosures will include accuracy, compliance with applicable Laws and regulatory guidance documents, reasonable sensitivity to potential negative reactions of Regulatory Authorities, the desirability to obtain Patent Rights where applicable and the need to keep investors informed regarding the business of the Party making such public disclosure. Nothing in this Section 8.2 will restrict a Party from making a disclosure required by Laws as reasonably determined by such Party’s counsel, including disclosures required by any Laws relating to the public sale of securities (as provided in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 provided, however, that such disclosure will not include more than the minimum amount of Confidential Information required by such applicable Laws, and the Parties will use reasonable efforts to seek confidential treatment of Confidential Information to be included in such disclosures.</w:t>
      </w:r>
    </w:p>
    <w:p>
      <w:pPr>
        <w:spacing w:after="0" w:line="177"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ORIC proposes to publish or present the results of Development or Commercialization carried out on a Licensed Product, including any oral presentation or abstract, that contains Clinical Data or other results of a Clinical Study of a Licensed Product, such publication or presentation will be subject to the prior review by Mirati for [***] and protection of Mirati’s Confidential Information. ORIC will provide to Mirati the opportunity to review any proposed abstracts, manuscripts or summaries of presentations that cover the results of Development or Commercialization of Licensed Products during the Term. Mirati may respond in writing promptly and in no event later than [***] after receipt of the proposed material with a request to remove from such proposed publication any Confidential Information of Mirati, a request [***]. In the event of any such reasonable request, ORIC agrees [***], and ORIC will remove from such proposed publication any Confidential Information of Mirati as requested by Mirati. [***]. Notwithstanding the foregoing, neither Mirati nor any of its Affiliates shall have the right to publish, publicly present, or otherwise publicly disclose information or data relating to any Licensed Compound or Licensed Product, including any information or data included in the Licensed Know-How, unless ORIC consents to such publication, public presentation or other public disclosure.</w:t>
      </w:r>
    </w:p>
    <w:p>
      <w:pPr>
        <w:spacing w:after="0" w:line="194" w:lineRule="exact"/>
        <w:rPr>
          <w:sz w:val="20"/>
          <w:szCs w:val="20"/>
          <w:color w:val="auto"/>
        </w:rPr>
      </w:pPr>
    </w:p>
    <w:p>
      <w:pPr>
        <w:ind w:right="20" w:firstLine="1505"/>
        <w:spacing w:after="0" w:line="269" w:lineRule="auto"/>
        <w:tabs>
          <w:tab w:leader="none" w:pos="189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publications made by ORIC relating to any Licensed Compound or Licensed Product will be prepared, presented, and published in accordance with pharmaceutical industry accepted guidelines..</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xml:space="preserve">. Given the nature of the Confidential Information and the competitive damage that could result to a Party upon unauthorized disclosure, use or transfer of its Confidential Information to any Third Party, the Parties agree that monetary damages may not be a sufficient remedy for any breach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In addition to all other remedies, a Party will be entitled to seek specific performance and injunctive and other equitable relief as a remedy for any breach or threatened breach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CERTAIN COVENANTS</w:t>
      </w:r>
    </w:p>
    <w:p>
      <w:pPr>
        <w:spacing w:after="0" w:line="194" w:lineRule="exact"/>
        <w:rPr>
          <w:sz w:val="20"/>
          <w:szCs w:val="20"/>
          <w:color w:val="auto"/>
        </w:rPr>
      </w:pPr>
    </w:p>
    <w:p>
      <w:pPr>
        <w:ind w:left="760"/>
        <w:spacing w:after="0"/>
        <w:tabs>
          <w:tab w:leader="none" w:pos="2000" w:val="left"/>
          <w:tab w:leader="none" w:pos="5440" w:val="left"/>
        </w:tabs>
        <w:rPr>
          <w:sz w:val="20"/>
          <w:szCs w:val="20"/>
          <w:color w:val="auto"/>
        </w:rPr>
      </w:pPr>
      <w:r>
        <w:rPr>
          <w:rFonts w:ascii="Times New Roman" w:cs="Times New Roman" w:eastAsia="Times New Roman" w:hAnsi="Times New Roman"/>
          <w:sz w:val="20"/>
          <w:szCs w:val="20"/>
          <w:color w:val="auto"/>
        </w:rPr>
        <w:t>Section 9.1.</w:t>
      </w:r>
      <w:r>
        <w:rPr>
          <w:sz w:val="20"/>
          <w:szCs w:val="20"/>
          <w:color w:val="auto"/>
        </w:rPr>
        <w:tab/>
      </w:r>
      <w:r>
        <w:rPr>
          <w:rFonts w:ascii="Times New Roman" w:cs="Times New Roman" w:eastAsia="Times New Roman" w:hAnsi="Times New Roman"/>
          <w:sz w:val="20"/>
          <w:szCs w:val="20"/>
          <w:u w:val="single" w:color="auto"/>
          <w:color w:val="auto"/>
        </w:rPr>
        <w:t>Mutual Representations and Warranties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Each Party represents and warrants to the other Party that, as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Date:</w:t>
      </w:r>
    </w:p>
    <w:p>
      <w:pPr>
        <w:spacing w:after="0" w:line="194" w:lineRule="exact"/>
        <w:rPr>
          <w:sz w:val="20"/>
          <w:szCs w:val="20"/>
          <w:color w:val="auto"/>
        </w:rPr>
      </w:pPr>
    </w:p>
    <w:p>
      <w:pPr>
        <w:jc w:val="both"/>
        <w:ind w:firstLine="1505"/>
        <w:spacing w:after="0" w:line="247" w:lineRule="auto"/>
        <w:tabs>
          <w:tab w:leader="none" w:pos="19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It is a corporation duly organized, validly existing, and in good standing under the Laws of the jurisdiction of its organization, and has all requisite power and authority, corporate or otherwise, to execute, deliver, and perform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both"/>
        <w:ind w:firstLine="1505"/>
        <w:spacing w:after="0" w:line="249"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It has full right, power and authority to enter into this Agreement and to perform its respective obligations under this Agreement, it has the right to grant to the other the licenses and sublicenses granted pursuant to this Agreement, and this Agreement and the performance by such Party of this Agreement do not violate such Party’s charter documents, bylaws or other organizational documents.</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Except for any Regulatory Approvals, Regulatory Materials, manufacturing approvals or similar approvals necessary for the Development, Manufacture or Commercialization of Licensed Products, all necessary consents, approvals and authorizations of all Governmental Authorities and other Persons required to be obtained by it in connection with the execution, delivery and performance of this Agreement have been obtained.</w:t>
      </w:r>
    </w:p>
    <w:p>
      <w:pPr>
        <w:spacing w:after="0" w:line="18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 The performance of such Party’s obligations under this Agreement (as contemplated as of the Effective Date) and the licenses and sublicenses to be granted by such Party pursuant to this Agreement (i) do not conflict with or violate any requirement of Laws applicable to such Party, (ii) do not conflict with or violate any order, writ, judgment, injunction, decree, determination, or award of any court or governmental agency presently in effect applicable to such Party, and (iii) [***].</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47" w:lineRule="auto"/>
        <w:tabs>
          <w:tab w:leader="none" w:pos="19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Agreement is a legal and valid obligation binding upon it and is enforceable against it in accordance with its terms, subject to the general principles of equity and subject to bankruptcy, insolvency, moratorium, judicial principles affecting the availability of specific performance and other similar Laws affecting the enforcement of creditors’ rights generally.</w:t>
      </w:r>
    </w:p>
    <w:p>
      <w:pPr>
        <w:spacing w:after="0" w:line="181"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Additional Representations, Warranties and Covenants of Mirati</w:t>
      </w:r>
      <w:r>
        <w:rPr>
          <w:rFonts w:ascii="Times New Roman" w:cs="Times New Roman" w:eastAsia="Times New Roman" w:hAnsi="Times New Roman"/>
          <w:sz w:val="20"/>
          <w:szCs w:val="20"/>
          <w:color w:val="auto"/>
        </w:rPr>
        <w:t>. Mirati represents, warrants and covenants to ORIC that, as of the Effective Date:</w:t>
      </w:r>
    </w:p>
    <w:p>
      <w:pPr>
        <w:spacing w:after="0" w:line="159" w:lineRule="exact"/>
        <w:rPr>
          <w:sz w:val="20"/>
          <w:szCs w:val="20"/>
          <w:color w:val="auto"/>
        </w:rPr>
      </w:pPr>
    </w:p>
    <w:p>
      <w:pPr>
        <w:ind w:left="1900" w:hanging="395"/>
        <w:spacing w:after="0"/>
        <w:tabs>
          <w:tab w:leader="none" w:pos="19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Licensed Patents</w:t>
      </w:r>
      <w:r>
        <w:rPr>
          <w:rFonts w:ascii="Times New Roman" w:cs="Times New Roman" w:eastAsia="Times New Roman" w:hAnsi="Times New Roman"/>
          <w:sz w:val="20"/>
          <w:szCs w:val="20"/>
          <w:color w:val="auto"/>
        </w:rPr>
        <w:t>. All Patent Rights Controlled by Mirati as of the Effective date that [***].</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Licensed Compounds</w:t>
      </w:r>
      <w:r>
        <w:rPr>
          <w:rFonts w:ascii="Times New Roman" w:cs="Times New Roman" w:eastAsia="Times New Roman" w:hAnsi="Times New Roman"/>
          <w:sz w:val="20"/>
          <w:szCs w:val="20"/>
          <w:color w:val="auto"/>
        </w:rPr>
        <w:t>. [***].</w:t>
      </w:r>
    </w:p>
    <w:p>
      <w:pPr>
        <w:spacing w:after="0" w:line="202"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Licensed Patents</w:t>
      </w:r>
      <w:r>
        <w:rPr>
          <w:rFonts w:ascii="Times New Roman" w:cs="Times New Roman" w:eastAsia="Times New Roman" w:hAnsi="Times New Roman"/>
          <w:sz w:val="20"/>
          <w:szCs w:val="20"/>
          <w:color w:val="auto"/>
        </w:rPr>
        <w:t>. Mirati is the sole and exclusive owner of the entire right, title and interest in and to each of the Licensed Patents. Each of the Licensed Patents and each element of the Licensed Know-How is, as of the Effective Date, free and clear of any claims, liens, charges or encumbrances and Mirati shall not permit the Licensed Technology to be encumbered by any claims, liens, claims, charges or other encumbrances of any kind during the term of the Agreement. Mirati is not aware of any facts that would affect Mirati’s ownership of any of the Licensed Patents, or the patentability or enforceability of any claims in any of the Licensed Patents.</w:t>
      </w:r>
    </w:p>
    <w:p>
      <w:pPr>
        <w:spacing w:after="0" w:line="170"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Prosecution of Licensed Patents</w:t>
      </w:r>
      <w:r>
        <w:rPr>
          <w:rFonts w:ascii="Times New Roman" w:cs="Times New Roman" w:eastAsia="Times New Roman" w:hAnsi="Times New Roman"/>
          <w:sz w:val="20"/>
          <w:szCs w:val="20"/>
          <w:color w:val="auto"/>
        </w:rPr>
        <w:t>. All Licensed Patents have been Prosecuted in the respective patent offices in good faith and in accordance with applicable Laws.</w:t>
      </w:r>
    </w:p>
    <w:p>
      <w:pPr>
        <w:spacing w:after="0" w:line="15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 Party Challenges</w:t>
      </w:r>
      <w:r>
        <w:rPr>
          <w:rFonts w:ascii="Times New Roman" w:cs="Times New Roman" w:eastAsia="Times New Roman" w:hAnsi="Times New Roman"/>
          <w:sz w:val="20"/>
          <w:szCs w:val="20"/>
          <w:color w:val="auto"/>
        </w:rPr>
        <w:t>. There are no Actions, claims, judgments, or settlements against Mirati or any of its Affiliates relating to the Licensed Patents or the Licensed Know-How, or amounts payable with respect thereto. No claim or litigation has been received by Mirati or its Affiliates or, to Mirati’s knowledge, threatened by any Person (i) alleging that the Licensed Patents are invalid or unenforceable, (ii) challenging Mirati’s ownership of the Licensed Technology (i.e., alleging that a Third Party has a right or interest in or to the Licensed Technology) or the inventorship of any of the Licensed Patents or (iii) alleging infringement of the Patent Rights or misappropriation of the Know-How of any Third Party in connection with the discovery, Development, Manufacture or Commercialization of Licensed Compounds or Licensed Products by or on behalf of or under the authority of Mirati or any of its Affiliates prior to the Effective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both"/>
        <w:ind w:firstLine="1505"/>
        <w:spacing w:after="0" w:line="245"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Non-Infringement of Third Party IP</w:t>
      </w:r>
      <w:r>
        <w:rPr>
          <w:rFonts w:ascii="Times New Roman" w:cs="Times New Roman" w:eastAsia="Times New Roman" w:hAnsi="Times New Roman"/>
          <w:sz w:val="20"/>
          <w:szCs w:val="20"/>
          <w:color w:val="auto"/>
        </w:rPr>
        <w:t>. To Mirati’s [***], the Development or Manufacture of the Licensed Products, as conducted by Mirati or its Affiliates or its or their respective licensees prior to the Effective Date did not infringe any Patent Right (in the case of pending Patent Rights, evaluating them as if issued) or misappropriate or otherwise violate or misappropriate any Know-How or other intellectual property right of any Person. No written claim of Infringement or other violation of any intellectual property right of any Third Party has been received by Mirati, or, to Mirati’s [***], threatened, against Mirati or any of its Affiliates in connection with the discovery, Development, Manufacture or Commercialization of Licensed Compounds or Licensed Products.</w:t>
      </w:r>
    </w:p>
    <w:p>
      <w:pPr>
        <w:spacing w:after="0" w:line="170"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Litigation</w:t>
      </w:r>
      <w:r>
        <w:rPr>
          <w:rFonts w:ascii="Times New Roman" w:cs="Times New Roman" w:eastAsia="Times New Roman" w:hAnsi="Times New Roman"/>
          <w:sz w:val="20"/>
          <w:szCs w:val="20"/>
          <w:color w:val="auto"/>
        </w:rPr>
        <w:t>. There are no (and there have not been any) Actions, judgments or settlements against or owed by Mirati or its Affiliates or to Mirati’s knowledge, its or their respective licensees, or pending litigation against Mirati or its Affiliates or to Mirati’s knowledge, its or their respective licensees, or to Mirati’s knowledge litigation threatened against Mirati or its Affiliates or its or their respective licensees, in each case, related to any Licensed Compound, Licensed Product or Licensed-Know-How, including any such litigation relating to any Regulatory Materials or Regulatory Approvals Controlled by Mirati, its Affiliates or its licensees as of the Effective Date.</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 Party Infringement</w:t>
      </w:r>
      <w:r>
        <w:rPr>
          <w:rFonts w:ascii="Times New Roman" w:cs="Times New Roman" w:eastAsia="Times New Roman" w:hAnsi="Times New Roman"/>
          <w:sz w:val="20"/>
          <w:szCs w:val="20"/>
          <w:color w:val="auto"/>
        </w:rPr>
        <w:t>. Mirati is not aware of any infringement of any Licensed Patent or misappropriation of any Licensed Know-How by any Third Party nor has Mirati received any written notice regarding such infringement or misappropriation. There are no (and there have not been any) Actions asserted by Mirati or its Affiliates or to Mirati’s knowledge, its or their respective licensees and Mirati has not provided notice to any Third Party alleging the infringement of any Licensed Patent or misappropriation of any Licensed Know-How.</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Invention Assignments</w:t>
      </w:r>
      <w:r>
        <w:rPr>
          <w:rFonts w:ascii="Times New Roman" w:cs="Times New Roman" w:eastAsia="Times New Roman" w:hAnsi="Times New Roman"/>
          <w:sz w:val="20"/>
          <w:szCs w:val="20"/>
          <w:color w:val="auto"/>
        </w:rPr>
        <w:t>. All employees, consultants and Third-Party contractors of Mirati or any of its Affiliates performing activities relating to the Licensed Compounds or Licensed Products, or otherwise involved in the generation of the Licensed Know-How or any inventions covered by the Licensed Patents, have assigned and have executed an agreement assigning its entire right, title, and interest in and to such inventions and other information, data, materials, know-how and other subject matter, whether or not patentable, and all intellectual property rights in and to the foregoing, to Mirati as the sole owner thereof.</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Inventors</w:t>
      </w:r>
      <w:r>
        <w:rPr>
          <w:rFonts w:ascii="Times New Roman" w:cs="Times New Roman" w:eastAsia="Times New Roman" w:hAnsi="Times New Roman"/>
          <w:sz w:val="20"/>
          <w:szCs w:val="20"/>
          <w:color w:val="auto"/>
        </w:rPr>
        <w:t>. Each of the Licensed Patents names the true and correct inventors. Each Person who has or has had any ownership rights in or to any Licensed Patents has executed a written and enforceable assignment document assigning their entire right, title and interest in and to such Patent Right to Mirati (“Patent Assignment Documents”), and all such Patent Assignment Documents relating to any United States patent or patent application within such Patent Rights have been duly recorded at the United States Patent and Trademark Office. Mirati has provided to ORIC true and correct copies of all such Patent Assignment Documents.</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 Funding</w:t>
      </w:r>
      <w:r>
        <w:rPr>
          <w:rFonts w:ascii="Times New Roman" w:cs="Times New Roman" w:eastAsia="Times New Roman" w:hAnsi="Times New Roman"/>
          <w:sz w:val="20"/>
          <w:szCs w:val="20"/>
          <w:color w:val="auto"/>
        </w:rPr>
        <w:t>. None of the inventions claimed or covered by the Licensed Patents (i) were conceived, discovered, developed or otherwise made in connection with any research activities funded, in whole or in part, by the federal government of the United States or any agency thereof; (ii) is a “subject invention” as that term is described in 35 U.S.C. §201(e); (iii) is otherwise subject to the provisions of 35 U.S.C. §§200-212, as amended, or any regulations promulgated pursuant thereto; and (iv) are the subject of any licenses, options or other rights of any Governmental Authority, within or outside the United States.</w:t>
      </w:r>
    </w:p>
    <w:p>
      <w:pPr>
        <w:spacing w:after="0" w:line="171" w:lineRule="exact"/>
        <w:rPr>
          <w:rFonts w:ascii="Times New Roman" w:cs="Times New Roman" w:eastAsia="Times New Roman" w:hAnsi="Times New Roman"/>
          <w:sz w:val="20"/>
          <w:szCs w:val="20"/>
          <w:color w:val="auto"/>
        </w:rPr>
      </w:pPr>
    </w:p>
    <w:p>
      <w:pPr>
        <w:ind w:firstLine="1505"/>
        <w:spacing w:after="0" w:line="269" w:lineRule="auto"/>
        <w:tabs>
          <w:tab w:leader="none" w:pos="19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Mirati has conducted, and to Mirati’s [***], its contractors and consultants have conducted, all its Development activities relating to the Licensed Compound or Licensed Product(s) in accordance with applicable Laws.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u w:val="single" w:color="auto"/>
          <w:color w:val="auto"/>
        </w:rPr>
        <w:t>Additional Representations, Warranties and Covenants of ORIC</w:t>
      </w:r>
      <w:r>
        <w:rPr>
          <w:rFonts w:ascii="Times New Roman" w:cs="Times New Roman" w:eastAsia="Times New Roman" w:hAnsi="Times New Roman"/>
          <w:sz w:val="20"/>
          <w:szCs w:val="20"/>
          <w:color w:val="auto"/>
        </w:rPr>
        <w:t>. ORIC represents, warrants and covenants to Mirati that, as of the Effective Date:</w:t>
      </w:r>
    </w:p>
    <w:p>
      <w:pPr>
        <w:spacing w:after="0" w:line="159" w:lineRule="exact"/>
        <w:rPr>
          <w:sz w:val="20"/>
          <w:szCs w:val="20"/>
          <w:color w:val="auto"/>
        </w:rPr>
      </w:pPr>
    </w:p>
    <w:p>
      <w:pPr>
        <w:ind w:right="20" w:firstLine="1505"/>
        <w:spacing w:after="0" w:line="269"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ORIC will and will use reasonable efforts to cause its Affiliates and Sublicensees to, comply in all material respects with all applicable Laws in exercising their rights and fulfilling their obligations under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 ORIC will conduct its Development, and Commercialization activities relating to the Licensed Compound or Licensed Product(s) in accordance with applicable Laws, and will use reasonable efforts to cause all permitted collaborators and Sublicensees hereunder to comply with such applicable Laws.</w:t>
      </w:r>
    </w:p>
    <w:p>
      <w:pPr>
        <w:spacing w:after="0" w:line="18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ORIC is solvent and has the ability to perform all of its obligations due as of the Effective Date.</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 xml:space="preserve">, ORIC will comply with all applicable Laws concerning bribery, money laundering, or corrupt practices or which in any manner prohibit the giving of anything of value to any official, agent, or employee of any government, political party, or public international organization, candidate for public office, health care professional, or to any officer, director, employee, or representative of any other organization specifically including the U.S. Foreign Corrupt Practices Act, and the UK Bribery Act, in each case, in connection with the activities conducted pursuant to this Agreement. In any agreement entered into after the Effective Date, ORIC will [***] to require any contractors, subcontractors, Sublicensees, or other Persons that provide services to ORIC in connection with this Agreement to comply with ORIC’s obligations under this </w:t>
      </w:r>
      <w:r>
        <w:rPr>
          <w:rFonts w:ascii="Times New Roman" w:cs="Times New Roman" w:eastAsia="Times New Roman" w:hAnsi="Times New Roman"/>
          <w:sz w:val="20"/>
          <w:szCs w:val="20"/>
          <w:u w:val="single" w:color="auto"/>
          <w:color w:val="auto"/>
        </w:rPr>
        <w:t>Section 9.3(d)</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No Debarment</w:t>
      </w:r>
      <w:r>
        <w:rPr>
          <w:rFonts w:ascii="Times New Roman" w:cs="Times New Roman" w:eastAsia="Times New Roman" w:hAnsi="Times New Roman"/>
          <w:sz w:val="20"/>
          <w:szCs w:val="20"/>
          <w:color w:val="auto"/>
        </w:rPr>
        <w:t>. Each Party represents and warrants that neither it nor any of its or its Affiliates’ employees or agents performing under this Agreement has ever been, or is currently: (a) debarred under 21 U.S.C. § 335a or by any Regulatory Authority; (b) excluded, debarred, suspended, or otherwise ineligible to participate in federal health care programs or in federal procurement or non-procurement programs; (c) listed on the FDA’s Disqualified and Restricted Lists for clinical investigators; or (d) convicted of a criminal offense that falls within the scope of 42 U.S.C. § 1320a-7(a), but has not yet been excluded, debarred, suspended, or otherwise declared ineligible. Each Party further covenants that if, during the Term of this Agreement, it becomes aware that it or any of its or its Affiliates’ employees or agents performing under this Agreement is the subject of any investigation or proceeding that could lead to that Party becoming a debarred entity or individual, an excluded entity or individual or a convicted entity or individual, such Party will promptly notify the other Party.</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9.5.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Mirati will not, during the term of this Agreement, grant any rights in the Licensed Technology that conflict or are inconsistent with the rights granted to ORIC under this Agreement or that would otherwise prevent ORIC from exercising its rights or performing its obligations under this Agreement on an exclusive basis.</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u w:val="single" w:color="auto"/>
          <w:color w:val="auto"/>
        </w:rPr>
        <w:t>No Other Warranties</w:t>
      </w:r>
      <w:r>
        <w:rPr>
          <w:rFonts w:ascii="Times New Roman" w:cs="Times New Roman" w:eastAsia="Times New Roman" w:hAnsi="Times New Roman"/>
          <w:sz w:val="20"/>
          <w:szCs w:val="20"/>
          <w:color w:val="auto"/>
        </w:rPr>
        <w:t xml:space="preserve">. EXCEPT AS EXPRESSLY STATED IN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NEITHER PARTY MAKES ANY REPRESENTATIONS OR EXTENDS ANY WARRANTIES OF ANY KIND, EITHER EXPRESS OR IMPLIED, STATUTORY OR OTHERWISE, INCLUDING WARRANTIES OF TITLE, NON-INFRINGEMENT OR NON-MISAPPROPRIATION OF THIRD PARTY INTELLECTUAL PROPERTY WITH RESPECT TO THE LICENSED PRODUCT, VALIDITY, ENFORCEABILITY, MERCHANTABILITY AND FITNESS FOR A PARTICULAR PURPOSE.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DAMAGES</w:t>
      </w:r>
    </w:p>
    <w:p>
      <w:pPr>
        <w:spacing w:after="0" w:line="19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Indemnification by Mirati</w:t>
      </w:r>
      <w:r>
        <w:rPr>
          <w:rFonts w:ascii="Times New Roman" w:cs="Times New Roman" w:eastAsia="Times New Roman" w:hAnsi="Times New Roman"/>
          <w:sz w:val="20"/>
          <w:szCs w:val="20"/>
          <w:color w:val="auto"/>
        </w:rPr>
        <w:t>. Mirati will defend, indemnify and hold harmless ORIC, its Affiliates and their respective directors, officers, employees and agents (each, an “</w:t>
      </w:r>
      <w:r>
        <w:rPr>
          <w:rFonts w:ascii="Times New Roman" w:cs="Times New Roman" w:eastAsia="Times New Roman" w:hAnsi="Times New Roman"/>
          <w:sz w:val="20"/>
          <w:szCs w:val="20"/>
          <w:u w:val="single" w:color="auto"/>
          <w:color w:val="auto"/>
        </w:rPr>
        <w:t>ORIC Indemnified Party</w:t>
      </w:r>
      <w:r>
        <w:rPr>
          <w:rFonts w:ascii="Times New Roman" w:cs="Times New Roman" w:eastAsia="Times New Roman" w:hAnsi="Times New Roman"/>
          <w:sz w:val="20"/>
          <w:szCs w:val="20"/>
          <w:color w:val="auto"/>
        </w:rPr>
        <w:t xml:space="preserve">”), from, against and in respect of any and all Third Party Losses incurred or suffered by any ORIC Indemnified Party to the extent resulting from: (a) any breach of any representation or warranty made by Mirati in this Agreement, or any breach by Mirati of any obligation, covenant or agreement in this Agreement; (b) the gross negligence or intentional misconduct of, or violation of Laws by, Mirati or any of its Affiliates, sublicensees, or contractors, or any of their respective directors, officers, employees and agents, in performing Mirati’s obligations or exercising Mirati’s rights under this Agreement; (c) the research, Development, Commercialization (including promotion, advertising, offering for sale, sale or other disposition), transfer, importation or exportation, Manufacture, labeling, handling or storage, or use of, or exposure to, the Licensed Compound or any Licensed Products by or under the authority of Mirati or any of its Affiliates, sublicensees, subcontractors, agents and consultants or contractors; or (d) Mirati’s (or its Affiliates’ or sublicensees’) use or practice of the Licensed Technology;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Mirati’s obligations pursuant to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will not apply to the extent such Third Party Losses result from any act or omission for which ORIC has an obligation to indemnify Mirati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Indemnification by ORIC</w:t>
      </w:r>
      <w:r>
        <w:rPr>
          <w:rFonts w:ascii="Times New Roman" w:cs="Times New Roman" w:eastAsia="Times New Roman" w:hAnsi="Times New Roman"/>
          <w:sz w:val="20"/>
          <w:szCs w:val="20"/>
          <w:color w:val="auto"/>
        </w:rPr>
        <w:t>. ORIC will defend, indemnify and hold harmless Mirati, its Affiliates and their respective directors, officers, employees and agents (each, a “</w:t>
      </w:r>
      <w:r>
        <w:rPr>
          <w:rFonts w:ascii="Times New Roman" w:cs="Times New Roman" w:eastAsia="Times New Roman" w:hAnsi="Times New Roman"/>
          <w:sz w:val="20"/>
          <w:szCs w:val="20"/>
          <w:u w:val="single" w:color="auto"/>
          <w:color w:val="auto"/>
        </w:rPr>
        <w:t>Mirati Indemnified Party</w:t>
      </w:r>
      <w:r>
        <w:rPr>
          <w:rFonts w:ascii="Times New Roman" w:cs="Times New Roman" w:eastAsia="Times New Roman" w:hAnsi="Times New Roman"/>
          <w:sz w:val="20"/>
          <w:szCs w:val="20"/>
          <w:color w:val="auto"/>
        </w:rPr>
        <w:t xml:space="preserve">”) from, against and in respect of any and all Third Party Losses incurred or suffered by any Mirati Indemnified Party to the extent resulting from: (a) any breach of any representation or warranty made by ORIC in this Agreement, or any breach by ORIC of any obligation, covenant or agreement in this Agreement, (b) the gross negligence or intentional misconduct of, or violation of Laws by, ORIC, any of its Affiliates, Sublicensees or contractors, or any of their respective directors, officers, employees and agents, in performing ORIC’s obligations or exercising ORIC’s rights under this Agreement, (c) the Development, Commercialization (including promotion, advertising, offering for sale, sale or other disposition), transfer, importation or exportation, Manufacture, labeling, handling or storage, or use of, or exposure to, the Licensed Compound or any Licensed Products by or under the authority of ORIC or any of its Affiliates, Sublicensees, subcontractors, agents and consultants or contractors; or (d) ORIC’s (or its Affiliates’ or Sublicensees’) use or practice of the Licensed Technology;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ORIC’s obligations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will not apply to the extent such Third Party Losses result from any act or omission for which Mirati has an obligation to indemnify ORIC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Claims for Indemnification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2" w:lineRule="auto"/>
        <w:tabs>
          <w:tab w:leader="none" w:pos="18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An Indemnified Party entitled to indemnification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Section 10.2 will give prompt written notification to the Indemnifying Party from whom indemnification is sought of the commencement of any Action by a Third Party for which indemnification may be sought (a “</w:t>
      </w:r>
      <w:r>
        <w:rPr>
          <w:rFonts w:ascii="Times New Roman" w:cs="Times New Roman" w:eastAsia="Times New Roman" w:hAnsi="Times New Roman"/>
          <w:sz w:val="20"/>
          <w:szCs w:val="20"/>
          <w:u w:val="single" w:color="auto"/>
          <w:color w:val="auto"/>
        </w:rPr>
        <w:t>Third Party Claim</w:t>
      </w:r>
      <w:r>
        <w:rPr>
          <w:rFonts w:ascii="Times New Roman" w:cs="Times New Roman" w:eastAsia="Times New Roman" w:hAnsi="Times New Roman"/>
          <w:sz w:val="20"/>
          <w:szCs w:val="20"/>
          <w:color w:val="auto"/>
        </w:rPr>
        <w:t xml:space="preserve">”) or, if earlier, upon the assertion of such Third Party Claim by a Third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failure by an Indemnified Party to give notice of a Third Party Claim as provided in this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will not relieve the Indemnifying Party of its indemnification obligation under this Agreement, except and only to the extent that such Indemnifying Party is materially prejudiced as a result of such failure to give notice.</w:t>
      </w:r>
    </w:p>
    <w:p>
      <w:pPr>
        <w:spacing w:after="0" w:line="188"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Defense</w:t>
      </w:r>
      <w:r>
        <w:rPr>
          <w:rFonts w:ascii="Times New Roman" w:cs="Times New Roman" w:eastAsia="Times New Roman" w:hAnsi="Times New Roman"/>
          <w:sz w:val="20"/>
          <w:szCs w:val="20"/>
          <w:color w:val="auto"/>
        </w:rPr>
        <w:t xml:space="preserve">. Within thirty (30) days after delivery of a notice of any Third Party Claim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10.3(a)</w:t>
      </w:r>
      <w:r>
        <w:rPr>
          <w:rFonts w:ascii="Times New Roman" w:cs="Times New Roman" w:eastAsia="Times New Roman" w:hAnsi="Times New Roman"/>
          <w:sz w:val="20"/>
          <w:szCs w:val="20"/>
          <w:color w:val="auto"/>
        </w:rPr>
        <w:t xml:space="preserve">, the Indemnifying Party may, upon written notice thereof to the Indemnified Party and subject to the terms of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assume sole control of the defense of such Third Party Claim with counsel reasonably satisfactory to the Indemnified Party. If the Indemnifying Party does not assume control of such defense, the Indemnified Party may control such defense (with counsel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1" w:name="page102"/>
    <w:bookmarkEnd w:id="101"/>
    <w:p>
      <w:pPr>
        <w:ind w:right="20"/>
        <w:spacing w:after="0" w:line="269" w:lineRule="auto"/>
        <w:rPr>
          <w:sz w:val="20"/>
          <w:szCs w:val="20"/>
          <w:color w:val="auto"/>
        </w:rPr>
      </w:pPr>
      <w:r>
        <w:rPr>
          <w:rFonts w:ascii="Times New Roman" w:cs="Times New Roman" w:eastAsia="Times New Roman" w:hAnsi="Times New Roman"/>
          <w:sz w:val="20"/>
          <w:szCs w:val="20"/>
          <w:color w:val="auto"/>
        </w:rPr>
        <w:t>reasonably selected by the Indemnified Party and reasonably acceptable to the Indemnifying Party. The Party not controlling such defense may participate therein at its own expense with counsel of its choosing.</w:t>
      </w:r>
    </w:p>
    <w:p>
      <w:pPr>
        <w:spacing w:after="0" w:line="159" w:lineRule="exact"/>
        <w:rPr>
          <w:sz w:val="20"/>
          <w:szCs w:val="20"/>
          <w:color w:val="auto"/>
        </w:rPr>
      </w:pPr>
    </w:p>
    <w:p>
      <w:pPr>
        <w:jc w:val="both"/>
        <w:ind w:firstLine="1505"/>
        <w:spacing w:after="0" w:line="243" w:lineRule="auto"/>
        <w:tabs>
          <w:tab w:leader="none" w:pos="190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Party controlling the defense of any Third Party Claim will keep the other Party advised of the status and material developments of such Third Party Claim and the defense thereof and will reasonably consider recommendations made by the other Party with respect thereto. The other Party will reasonably cooperate with the Party controlling such defense and its Affiliates and agents in defense of the Third Party Claim as reasonably requested by such Party, with all out-of-pocket costs of such cooperation to be borne by the Party controlling such defense.</w:t>
      </w:r>
    </w:p>
    <w:p>
      <w:pPr>
        <w:spacing w:after="0" w:line="18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Indemnified Party will not agree to any settlement of such Third Party Claim without the prior written consent of the Indemnifying Party, which consent will not be unreasonably withheld, conditioned or delayed. The Indemnifying Party will not, without the prior written consent of the Indemnified Party, which will not be unreasonably withheld, conditioned or delayed (unless such compromise or settlement involves (i) any admission of legal wrongdoing by the Indemnified Party, (ii) any payment by the Indemnified Party that is not indemnified under this Agreement, or (iii) the imposition of any equitable relief against the Indemnified Party (in which case, (i) through (iii), the Indemnified Party may withhold its consent to such settlement [***])), agree to any settlement of such Third Party Claim or consent to any judgment in respect thereof that does not include a complete and unconditional release of the Indemnified Party from all liability with respect thereto or that imposes any liability or obligation on the Indemnified Party (other than a monetary obligation on the Indemnifying Party).</w:t>
      </w:r>
    </w:p>
    <w:p>
      <w:pPr>
        <w:spacing w:after="0" w:line="18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Mitigation of Loss</w:t>
      </w:r>
      <w:r>
        <w:rPr>
          <w:rFonts w:ascii="Times New Roman" w:cs="Times New Roman" w:eastAsia="Times New Roman" w:hAnsi="Times New Roman"/>
          <w:sz w:val="20"/>
          <w:szCs w:val="20"/>
          <w:color w:val="auto"/>
        </w:rPr>
        <w:t xml:space="preserve">. Each Indemnified Party will take and will procure that its Affiliates take all such reasonable steps and actions as are necessary or as the Indemnifying Party may reasonably require in order to mitigate any Third Party Claims (or potential losses or damages)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Nothing in this Agreement will or will be deemed to relieve any Party of any common law or other duty to mitigate any losses incurred by it.</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During the Term and [***], ORIC, at its own expense, will maintain liability insurance in an amount consistent with industry standards, but in no event will such insurance be in an amount less than [***] per occurrence/ [***] annual aggregate. In addition, commencing with the First Commercial Sale of a Licensed Product and continuing while such Licensed Product is being Commercialized hereunder and for a period of at least [***] thereafter, ORIC will maintain product liability insurance in an amount not less than [***] per occurrence and annual aggregate. ORIC will maintain clinical trial insurance in compliance with Law in each jurisdiction in which a Clinical Study of a Licensed Product is conducted. ORIC will provide a certificate of insurance evidencing such coverage to Mirati upon its written request, and [***]. ORIC will notify Mirati [***] in advance of cancelation of any such insurance. For clarity, ORIC may self-insure, in whole or in part, the insurance requirements described in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LIMITATION OF LIABILITY</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No Consequential or Punitive Damages.</w:t>
      </w:r>
      <w:r>
        <w:rPr>
          <w:rFonts w:ascii="Times New Roman" w:cs="Times New Roman" w:eastAsia="Times New Roman" w:hAnsi="Times New Roman"/>
          <w:sz w:val="20"/>
          <w:szCs w:val="20"/>
          <w:color w:val="auto"/>
        </w:rPr>
        <w:t xml:space="preserve"> [***], NEITHER PARTY NOR ANY OF ITS AFFILIATES WILL BE LIABLE FOR INDIRECT, INCIDENTAL, CONSEQUENTIAL, SPECIAL, EXEMPLARY, OR PUNITIVE DAMAGES ARISING OUT OF THIS AGREEMENT OR THE EXERCISE OF ITS RIGHTS OR THE PERFORMANCE OF ITS OBLIGATIONS HEREUNDER, INCLUDING ANY LOST PROFITS ARISING OUT OF THIS AGREEMENT, IN EACH CASE HOWEVER CAUSED AND ON ANY THEORY OF LIABILITY, WHETHER IN CONTRACT, TORT,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NEGLIGENCE, BREACH OF STATUTORY DUTY OR OTHERWISE, REGARDLESS OF ANY NOTICE OF SUCH DAMAGES.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11.2.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12.1.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Unless terminated earlier in accordance with this ARTICLE XII, this Agreement will become effective as of the Effective Date and will continue in full force and effect on a Licensed Product-by-Licensed Product and country-by-country basis until the later of (a) the expiration of the last-to-expire Licensed Patent that contains a Valid Claim that Covers such Licensed Product or the Licensed Compound contained in such Licensed Product in such country or (b) the tenth (10th) anniversary of the First Commercial Sale of such Licensed Product in such country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12.2. </w:t>
      </w:r>
      <w:r>
        <w:rPr>
          <w:rFonts w:ascii="Times New Roman" w:cs="Times New Roman" w:eastAsia="Times New Roman" w:hAnsi="Times New Roman"/>
          <w:sz w:val="20"/>
          <w:szCs w:val="20"/>
          <w:u w:val="single" w:color="auto"/>
          <w:color w:val="auto"/>
        </w:rPr>
        <w:t>Paid-Up License Upon End of Term</w:t>
      </w:r>
      <w:r>
        <w:rPr>
          <w:rFonts w:ascii="Times New Roman" w:cs="Times New Roman" w:eastAsia="Times New Roman" w:hAnsi="Times New Roman"/>
          <w:sz w:val="20"/>
          <w:szCs w:val="20"/>
          <w:color w:val="auto"/>
        </w:rPr>
        <w:t xml:space="preserve">. Upon the expiration of the Term with respect to a given Licensed Product in a given country in the Territory, the licenses and rights of reference granted to ORIC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will survive and become perpetual, irrevocable and fully paid-up, and will remain royalty free, with respect to such Licensed Product (and the Licensed Compound(s) included therein) in such country.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12.3.  </w:t>
      </w:r>
      <w:r>
        <w:rPr>
          <w:rFonts w:ascii="Times New Roman" w:cs="Times New Roman" w:eastAsia="Times New Roman" w:hAnsi="Times New Roman"/>
          <w:sz w:val="20"/>
          <w:szCs w:val="20"/>
          <w:u w:val="single" w:color="auto"/>
          <w:color w:val="auto"/>
        </w:rPr>
        <w:t>Early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41" w:lineRule="auto"/>
        <w:tabs>
          <w:tab w:leader="none" w:pos="19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Material Breach</w:t>
      </w:r>
      <w:r>
        <w:rPr>
          <w:rFonts w:ascii="Times New Roman" w:cs="Times New Roman" w:eastAsia="Times New Roman" w:hAnsi="Times New Roman"/>
          <w:sz w:val="20"/>
          <w:szCs w:val="20"/>
          <w:color w:val="auto"/>
        </w:rPr>
        <w:t>. Upon (i) any material breach of this Agreement by Mirati or (ii) any material breach of this Agreement by ORIC (the Party so allegedly breaching being the “</w:t>
      </w:r>
      <w:r>
        <w:rPr>
          <w:rFonts w:ascii="Times New Roman" w:cs="Times New Roman" w:eastAsia="Times New Roman" w:hAnsi="Times New Roman"/>
          <w:sz w:val="20"/>
          <w:szCs w:val="20"/>
          <w:u w:val="single" w:color="auto"/>
          <w:color w:val="auto"/>
        </w:rPr>
        <w:t>Breaching Party</w:t>
      </w:r>
      <w:r>
        <w:rPr>
          <w:rFonts w:ascii="Times New Roman" w:cs="Times New Roman" w:eastAsia="Times New Roman" w:hAnsi="Times New Roman"/>
          <w:sz w:val="20"/>
          <w:szCs w:val="20"/>
          <w:color w:val="auto"/>
        </w:rPr>
        <w:t>”), the other Party (the “</w:t>
      </w:r>
      <w:r>
        <w:rPr>
          <w:rFonts w:ascii="Times New Roman" w:cs="Times New Roman" w:eastAsia="Times New Roman" w:hAnsi="Times New Roman"/>
          <w:sz w:val="20"/>
          <w:szCs w:val="20"/>
          <w:u w:val="single" w:color="auto"/>
          <w:color w:val="auto"/>
        </w:rPr>
        <w:t>Non-Breaching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xml:space="preserve">”) will have the right, but not the obligation, to terminate this Agreement in its entirety by providing ninety (90) days’ written notice to the Breaching Party, which notice will, in each case (A) expressly reference this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(B) reasonably describe the alleged breach which is the basis of such termination, and (C) clearly state the Non-Breaching Party’s intent to terminate this Agreement if the alleged breach is not cured within the applicable cure period. Subject to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the termination will become effective at the end of the notice period unless the Breaching Party cures such breach during such notice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Non-Breaching Party may, by notice to the Breaching Party, designate a later date for such termination in order to facilitate an orderly transition of activities relating to Licensed Products.</w:t>
      </w:r>
    </w:p>
    <w:p>
      <w:pPr>
        <w:spacing w:after="0" w:line="18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0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ORIC for Convenience</w:t>
      </w:r>
      <w:r>
        <w:rPr>
          <w:rFonts w:ascii="Times New Roman" w:cs="Times New Roman" w:eastAsia="Times New Roman" w:hAnsi="Times New Roman"/>
          <w:sz w:val="20"/>
          <w:szCs w:val="20"/>
          <w:color w:val="auto"/>
        </w:rPr>
        <w:t>. ORIC will have the right to terminate this Agreement in its entirety for convenience, without cause, and for any or no reason (a) on not less than upon ninety (90) day’s prior written notice to Mirati if such notice is provided prior to ORIC’s receipt of the first Regulatory Approval for a Licensed Product, and (b) on not less than six (6) months’ prior written notice to Mirati if such notice is provided following ORIC’s receipt of the first Regulatory Approval for a Licensed Product.</w:t>
      </w:r>
    </w:p>
    <w:p>
      <w:pPr>
        <w:spacing w:after="0" w:line="18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0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Bankruptcy</w:t>
      </w:r>
      <w:r>
        <w:rPr>
          <w:rFonts w:ascii="Times New Roman" w:cs="Times New Roman" w:eastAsia="Times New Roman" w:hAnsi="Times New Roman"/>
          <w:sz w:val="20"/>
          <w:szCs w:val="20"/>
          <w:color w:val="auto"/>
        </w:rPr>
        <w:t xml:space="preserve">. This Agreement may be terminated, to the extent permitted by applicable Laws, by either Party upon written notice to the other Party in the event of such other Party’s filing or institution of bankruptcy, reorganization, liquidation or receivership proceedings, or upon an assignment of a substantial portion of the assets of such other Party for the benefit of creditors by the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any involuntary bankruptcy, reorganization, liquidation or receivership proceeding such right to terminate will only become effective if the Party subject to such proceeding consents to the involuntary bankruptcy or such proceeding is not dismissed within ninety (90) days after the filing thereof.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ind w:left="1900" w:hanging="395"/>
        <w:spacing w:after="0"/>
        <w:tabs>
          <w:tab w:leader="none" w:pos="19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 Challenge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55" w:lineRule="auto"/>
        <w:tabs>
          <w:tab w:leader="none" w:pos="2642"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Mirati has the right to terminate this Agreement upon written notice to ORIC in the event that ORIC or any of its Affiliates or Sublicensees directly or indirectly challenges in a legal or administrative proceeding the patentability, enforceability or validity of any Licensed Patent (a “</w:t>
      </w:r>
      <w:r>
        <w:rPr>
          <w:rFonts w:ascii="Times New Roman" w:cs="Times New Roman" w:eastAsia="Times New Roman" w:hAnsi="Times New Roman"/>
          <w:sz w:val="19"/>
          <w:szCs w:val="19"/>
          <w:u w:val="single" w:color="auto"/>
          <w:color w:val="auto"/>
        </w:rPr>
        <w:t>Patent Challenge</w:t>
      </w:r>
      <w:r>
        <w:rPr>
          <w:rFonts w:ascii="Times New Roman" w:cs="Times New Roman" w:eastAsia="Times New Roman" w:hAnsi="Times New Roman"/>
          <w:sz w:val="19"/>
          <w:szCs w:val="19"/>
          <w:color w:val="auto"/>
        </w:rPr>
        <w:t xml:space="preserve">”); provided that this </w:t>
      </w:r>
      <w:r>
        <w:rPr>
          <w:rFonts w:ascii="Times New Roman" w:cs="Times New Roman" w:eastAsia="Times New Roman" w:hAnsi="Times New Roman"/>
          <w:sz w:val="19"/>
          <w:szCs w:val="19"/>
          <w:u w:val="single" w:color="auto"/>
          <w:color w:val="auto"/>
        </w:rPr>
        <w:t>Section 12.3(d)</w:t>
      </w:r>
      <w:r>
        <w:rPr>
          <w:rFonts w:ascii="Times New Roman" w:cs="Times New Roman" w:eastAsia="Times New Roman" w:hAnsi="Times New Roman"/>
          <w:sz w:val="19"/>
          <w:szCs w:val="19"/>
          <w:color w:val="auto"/>
        </w:rPr>
        <w:t xml:space="preserve"> will not apply to (and Mirati will not have the right to terminate this Agreement under this </w:t>
      </w:r>
      <w:r>
        <w:rPr>
          <w:rFonts w:ascii="Times New Roman" w:cs="Times New Roman" w:eastAsia="Times New Roman" w:hAnsi="Times New Roman"/>
          <w:sz w:val="19"/>
          <w:szCs w:val="19"/>
          <w:u w:val="single" w:color="auto"/>
          <w:color w:val="auto"/>
        </w:rPr>
        <w:t>Section 12.3(d)</w:t>
      </w:r>
      <w:r>
        <w:rPr>
          <w:rFonts w:ascii="Times New Roman" w:cs="Times New Roman" w:eastAsia="Times New Roman" w:hAnsi="Times New Roman"/>
          <w:sz w:val="19"/>
          <w:szCs w:val="19"/>
          <w:color w:val="auto"/>
        </w:rPr>
        <w:t xml:space="preserve"> for) any Patent Challenge if (i) such Patent Challenge is first made by ORIC or any of its Affiliates or Sublicensees in defense of a claim of patent infringement brought by Mirati under the applicable Patent Rights, (ii) the applicable Patent Challenge is permanently dismissed or withdrawn within ninety (90) days after Mirati’s notice to ORIC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12.3(d)</w:t>
      </w:r>
      <w:r>
        <w:rPr>
          <w:rFonts w:ascii="Times New Roman" w:cs="Times New Roman" w:eastAsia="Times New Roman" w:hAnsi="Times New Roman"/>
          <w:sz w:val="19"/>
          <w:szCs w:val="19"/>
          <w:color w:val="auto"/>
        </w:rPr>
        <w:t xml:space="preserve"> or (iii) with respect to any Patent Challenge by a Sublicensee, ORIC (A) causes such Patent Challenge to be terminated or dismissed (or in the case of ex-parte proceedings, multi-party proceedings, or other Patent Challenges in which the challenging party does not have the power to unilaterally cause the Patent Challenge to be withdrawn, causes such Sublicensee to withdraw as a party from such Patent Challenge and to cease actively assisting any other party to such Patent Challenge), or (B) terminates such Sublicensee’s sublicense to the Patent Rights being challenged by the Sublicensee, in each case, within ninety (90) days of Mirati’s notice to ORIC under this </w:t>
      </w:r>
      <w:r>
        <w:rPr>
          <w:rFonts w:ascii="Times New Roman" w:cs="Times New Roman" w:eastAsia="Times New Roman" w:hAnsi="Times New Roman"/>
          <w:sz w:val="19"/>
          <w:szCs w:val="19"/>
          <w:u w:val="single" w:color="auto"/>
          <w:color w:val="auto"/>
        </w:rPr>
        <w:t>Section 12.3(d)</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firstLine="2254"/>
        <w:spacing w:after="0" w:line="244" w:lineRule="auto"/>
        <w:tabs>
          <w:tab w:leader="none" w:pos="264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ORIC acknowledges and agrees that this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is reasonable, valid and necessary for the adequate protection of Mirati’s interest in and to the Licensed Patents, and that Mirati would not have granted to ORIC the licenses under those Licensed Patents, without this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Mirati will have the right, at any time in its sole discretion, to strike this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from this Agreement, and Mirati will have no liability whatsoever as a result of the presence or absence of this this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Cessation of Development</w:t>
      </w:r>
      <w:r>
        <w:rPr>
          <w:rFonts w:ascii="Times New Roman" w:cs="Times New Roman" w:eastAsia="Times New Roman" w:hAnsi="Times New Roman"/>
          <w:sz w:val="20"/>
          <w:szCs w:val="20"/>
          <w:color w:val="auto"/>
        </w:rPr>
        <w:t>. Without prejudice to any other remedies available to it at law or in equity (including for any breach of the terms hereof), if (a) ORIC does not conduct, or cause to be conducted, or otherwise ceases or abandons all Development activities with respect to all Licensed Compounds and Licensed Products for a period of [***] at any time during the Term or (b) ORIC has not commenced any [***] Development activities with respect to any Licensed Compound or Licensed Product on or after the [***] of the Effective Date, then, in each case ((a) and (b)), Mirati will have the right to terminate this Agreement in its entirety with 90 days’ written notice to ORIC, unless within such 90 day period ORIC provides to Mirati suitable documentation evidencing that ORIC has resumed (if such termination is pursuant to clause (a)), or commenced (if such termination is pursuant to clause (b)), material Development activities with respect to any Licensed Compound or Licensed Product.</w:t>
      </w:r>
    </w:p>
    <w:p>
      <w:pPr>
        <w:spacing w:after="0" w:line="19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Section 12.4. </w:t>
      </w:r>
      <w:r>
        <w:rPr>
          <w:rFonts w:ascii="Times New Roman" w:cs="Times New Roman" w:eastAsia="Times New Roman" w:hAnsi="Times New Roman"/>
          <w:sz w:val="20"/>
          <w:szCs w:val="20"/>
          <w:u w:val="single" w:color="auto"/>
          <w:color w:val="auto"/>
        </w:rPr>
        <w:t>Effects of Termination</w:t>
      </w:r>
      <w:r>
        <w:rPr>
          <w:rFonts w:ascii="Times New Roman" w:cs="Times New Roman" w:eastAsia="Times New Roman" w:hAnsi="Times New Roman"/>
          <w:sz w:val="20"/>
          <w:szCs w:val="20"/>
          <w:color w:val="auto"/>
        </w:rPr>
        <w:t>. All of the following effects of termination (but not expiration) are in addition to the other rights and remedies that may be available to either of the Parties under this Agreement and will not be construed to limit any such rights or remedies.</w:t>
      </w:r>
    </w:p>
    <w:p>
      <w:pPr>
        <w:spacing w:after="0" w:line="181" w:lineRule="exact"/>
        <w:rPr>
          <w:sz w:val="20"/>
          <w:szCs w:val="20"/>
          <w:color w:val="auto"/>
        </w:rPr>
      </w:pPr>
    </w:p>
    <w:p>
      <w:pPr>
        <w:jc w:val="both"/>
        <w:ind w:firstLine="1505"/>
        <w:spacing w:after="0" w:line="254" w:lineRule="auto"/>
        <w:tabs>
          <w:tab w:leader="none" w:pos="18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Effects of Termination by Mirati for Cause or by ORIC for Convenience</w:t>
      </w:r>
      <w:r>
        <w:rPr>
          <w:rFonts w:ascii="Times New Roman" w:cs="Times New Roman" w:eastAsia="Times New Roman" w:hAnsi="Times New Roman"/>
          <w:sz w:val="20"/>
          <w:szCs w:val="20"/>
          <w:color w:val="auto"/>
        </w:rPr>
        <w:t xml:space="preserve">. Upon termination of this Agreement in its entirety by Mirati pursuant to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12.3(c), Section 12.3(d)</w:t>
      </w:r>
      <w:r>
        <w:rPr>
          <w:rFonts w:ascii="Times New Roman" w:cs="Times New Roman" w:eastAsia="Times New Roman" w:hAnsi="Times New Roman"/>
          <w:sz w:val="20"/>
          <w:szCs w:val="20"/>
          <w:color w:val="auto"/>
        </w:rPr>
        <w:t xml:space="preserve"> or Section 12.3(e), or by ORIC pursuant to </w:t>
      </w:r>
      <w:r>
        <w:rPr>
          <w:rFonts w:ascii="Times New Roman" w:cs="Times New Roman" w:eastAsia="Times New Roman" w:hAnsi="Times New Roman"/>
          <w:sz w:val="20"/>
          <w:szCs w:val="20"/>
          <w:u w:val="single" w:color="auto"/>
          <w:color w:val="auto"/>
        </w:rPr>
        <w:t>Section 12.3(b)</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12.4(a)</w:t>
      </w:r>
      <w:r>
        <w:rPr>
          <w:rFonts w:ascii="Times New Roman" w:cs="Times New Roman" w:eastAsia="Times New Roman" w:hAnsi="Times New Roman"/>
          <w:sz w:val="20"/>
          <w:szCs w:val="20"/>
          <w:color w:val="auto"/>
        </w:rPr>
        <w:t xml:space="preserve"> shall apply.</w:t>
      </w:r>
    </w:p>
    <w:p>
      <w:pPr>
        <w:spacing w:after="0" w:line="174" w:lineRule="exact"/>
        <w:rPr>
          <w:rFonts w:ascii="Times New Roman" w:cs="Times New Roman" w:eastAsia="Times New Roman" w:hAnsi="Times New Roman"/>
          <w:sz w:val="20"/>
          <w:szCs w:val="20"/>
          <w:color w:val="auto"/>
        </w:rPr>
      </w:pPr>
    </w:p>
    <w:p>
      <w:pPr>
        <w:jc w:val="both"/>
        <w:ind w:firstLine="2254"/>
        <w:spacing w:after="0" w:line="242" w:lineRule="auto"/>
        <w:tabs>
          <w:tab w:leader="none" w:pos="265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Reversion of Rights</w:t>
      </w:r>
      <w:r>
        <w:rPr>
          <w:rFonts w:ascii="Times New Roman" w:cs="Times New Roman" w:eastAsia="Times New Roman" w:hAnsi="Times New Roman"/>
          <w:sz w:val="20"/>
          <w:szCs w:val="20"/>
          <w:color w:val="auto"/>
        </w:rPr>
        <w:t xml:space="preserve">. All rights granted to ORIC under the Licensed Technology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terminate; provided that, notwithstanding such termination, any sublicense granted to a Sublicensee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prior to the effective date of termination of this Agreement shall survive if the relevant Sublicensee or Affiliate agrees in writing to be bound by the applicable terms of this Agreement (in which event, such Person will be deemed a direct licensee of Mirati). Subject to any such surviving sublicense and the terms of this </w:t>
      </w:r>
      <w:r>
        <w:rPr>
          <w:rFonts w:ascii="Times New Roman" w:cs="Times New Roman" w:eastAsia="Times New Roman" w:hAnsi="Times New Roman"/>
          <w:sz w:val="20"/>
          <w:szCs w:val="20"/>
          <w:u w:val="single" w:color="auto"/>
          <w:color w:val="auto"/>
        </w:rPr>
        <w:t>Section 12.4(a)</w:t>
      </w:r>
      <w:r>
        <w:rPr>
          <w:rFonts w:ascii="Times New Roman" w:cs="Times New Roman" w:eastAsia="Times New Roman" w:hAnsi="Times New Roman"/>
          <w:sz w:val="20"/>
          <w:szCs w:val="20"/>
          <w:color w:val="auto"/>
        </w:rPr>
        <w:t>, Mirati will have the right, in its sole discretion, to Develop, Manufacture and Commercialize the Licensed Compounds and Licensed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spacing w:after="0" w:line="269" w:lineRule="auto"/>
        <w:rPr>
          <w:sz w:val="20"/>
          <w:szCs w:val="20"/>
          <w:color w:val="auto"/>
        </w:rPr>
      </w:pPr>
      <w:r>
        <w:rPr>
          <w:rFonts w:ascii="Times New Roman" w:cs="Times New Roman" w:eastAsia="Times New Roman" w:hAnsi="Times New Roman"/>
          <w:sz w:val="20"/>
          <w:szCs w:val="20"/>
          <w:color w:val="auto"/>
        </w:rPr>
        <w:t>Products. For the avoidance of doubt, the duties and obligations of Mirati with respect to any surviving Sublicense will not be greater than the duties and obligations of Mirati under this Agreement.</w:t>
      </w:r>
    </w:p>
    <w:p>
      <w:pPr>
        <w:spacing w:after="0" w:line="159" w:lineRule="exact"/>
        <w:rPr>
          <w:sz w:val="20"/>
          <w:szCs w:val="20"/>
          <w:color w:val="auto"/>
        </w:rPr>
      </w:pPr>
    </w:p>
    <w:p>
      <w:pPr>
        <w:jc w:val="both"/>
        <w:ind w:firstLine="2254"/>
        <w:spacing w:after="0" w:line="242" w:lineRule="auto"/>
        <w:tabs>
          <w:tab w:leader="none" w:pos="264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Winding Down of Activities</w:t>
      </w:r>
      <w:r>
        <w:rPr>
          <w:rFonts w:ascii="Times New Roman" w:cs="Times New Roman" w:eastAsia="Times New Roman" w:hAnsi="Times New Roman"/>
          <w:sz w:val="20"/>
          <w:szCs w:val="20"/>
          <w:color w:val="auto"/>
        </w:rPr>
        <w:t>. If there are any on-going Development or Commercialization activities being conducted by or on behalf of ORIC at termination of this Agreement, the Parties will negotiate in good faith and adopt a plan to (A) wind-down such activities in an orderly fashion or (B) at Mirati’s election, promptly transition such activities from ORIC to Mirati or its designee, with due regard for patient safety and the rights of any subjects that are participants in any Clinical Studies of the Licensed Products, and take any actions it deems reasonably necessary or appropriate to avoid any human health or safety problems and in compliance with all applicable Laws.</w:t>
      </w:r>
    </w:p>
    <w:p>
      <w:pPr>
        <w:spacing w:after="0" w:line="188" w:lineRule="exact"/>
        <w:rPr>
          <w:rFonts w:ascii="Times New Roman" w:cs="Times New Roman" w:eastAsia="Times New Roman" w:hAnsi="Times New Roman"/>
          <w:sz w:val="20"/>
          <w:szCs w:val="20"/>
          <w:color w:val="auto"/>
        </w:rPr>
      </w:pPr>
    </w:p>
    <w:p>
      <w:pPr>
        <w:jc w:val="both"/>
        <w:ind w:firstLine="2254"/>
        <w:spacing w:after="0" w:line="239" w:lineRule="auto"/>
        <w:tabs>
          <w:tab w:leader="none" w:pos="264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Regulatory Materials</w:t>
      </w:r>
      <w:r>
        <w:rPr>
          <w:rFonts w:ascii="Times New Roman" w:cs="Times New Roman" w:eastAsia="Times New Roman" w:hAnsi="Times New Roman"/>
          <w:sz w:val="20"/>
          <w:szCs w:val="20"/>
          <w:color w:val="auto"/>
        </w:rPr>
        <w:t>. ORIC will and hereby does, and will cause its Affiliates to, effective as of the effective date of termination, assign to Mirati all of its rights, title, and interests in and to all Regulatory Materials, filings for Pricing and Reimbursement Approval, Regulatory Approvals, Clinical Data and other material documentation, in each case, (A) as in existence as of such date, (B) to the extent allowed under applicable Law, and (C) to the extent pertaining to a Licensed Compound or Licensed Product, as such Licensed Compound or Licensed Product exists at such time (“</w:t>
      </w:r>
      <w:r>
        <w:rPr>
          <w:rFonts w:ascii="Times New Roman" w:cs="Times New Roman" w:eastAsia="Times New Roman" w:hAnsi="Times New Roman"/>
          <w:sz w:val="20"/>
          <w:szCs w:val="20"/>
          <w:u w:val="single" w:color="auto"/>
          <w:color w:val="auto"/>
        </w:rPr>
        <w:t>Subject Regulatory Materials</w:t>
      </w:r>
      <w:r>
        <w:rPr>
          <w:rFonts w:ascii="Times New Roman" w:cs="Times New Roman" w:eastAsia="Times New Roman" w:hAnsi="Times New Roman"/>
          <w:sz w:val="20"/>
          <w:szCs w:val="20"/>
          <w:color w:val="auto"/>
        </w:rPr>
        <w:t>”). To the extent assignment pursuant to the preceding sentence is delayed or is not permitted by the applicable Regulatory Authority, ORIC will and hereby does, and will cause its Affiliates to, effective as of the effective date of termination, grant to Mirati an exclusive and irrevocable right of access and right of reference to such Subject Regulatory Materials. ORIC will, and will cause its Affiliates to, take all reasonable steps necessary to transfer ownership of all such Subject Regulatory Materials to Mirati, including submitting to each applicable Regulatory Authority a letter or other necessary documentation (with a copy to Mirati) notifying such Regulatory Authority of the transfer of such ownership of each Regulatory Approval within the Subject Regulatory Materials, and will reasonably cooperate with Mirati to make the benefits of such Subject Regulatory Materials available to Mirati or its designee(s).</w:t>
      </w:r>
    </w:p>
    <w:p>
      <w:pPr>
        <w:spacing w:after="0" w:line="19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5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Patent Rights related to Licensed Compounds</w:t>
      </w:r>
      <w:r>
        <w:rPr>
          <w:rFonts w:ascii="Times New Roman" w:cs="Times New Roman" w:eastAsia="Times New Roman" w:hAnsi="Times New Roman"/>
          <w:sz w:val="20"/>
          <w:szCs w:val="20"/>
          <w:color w:val="auto"/>
        </w:rPr>
        <w:t>. ORIC will and hereby does, effective as of the effective date of termination, assign to Mirati all of ORIC’s rights, title and interests in and to all ORIC Patents in existence as of such date and containing claims that recite as a claim element a Licensed Compound by chemical structure, generically or specifically, or by chemical name (including any claimed polymorph or salt of a Licensed Compound).</w:t>
      </w:r>
    </w:p>
    <w:p>
      <w:pPr>
        <w:spacing w:after="0" w:line="179" w:lineRule="exact"/>
        <w:rPr>
          <w:rFonts w:ascii="Times New Roman" w:cs="Times New Roman" w:eastAsia="Times New Roman" w:hAnsi="Times New Roman"/>
          <w:sz w:val="20"/>
          <w:szCs w:val="20"/>
          <w:color w:val="auto"/>
        </w:rPr>
      </w:pPr>
    </w:p>
    <w:p>
      <w:pPr>
        <w:jc w:val="both"/>
        <w:ind w:firstLine="2254"/>
        <w:spacing w:after="0" w:line="253" w:lineRule="auto"/>
        <w:tabs>
          <w:tab w:leader="none" w:pos="264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Grant to Mirati</w:t>
      </w:r>
      <w:r>
        <w:rPr>
          <w:rFonts w:ascii="Times New Roman" w:cs="Times New Roman" w:eastAsia="Times New Roman" w:hAnsi="Times New Roman"/>
          <w:sz w:val="19"/>
          <w:szCs w:val="19"/>
          <w:color w:val="auto"/>
        </w:rPr>
        <w:t xml:space="preserve">. Effective as of the effective date of termination of this Agreement, ORIC hereby grants, and will cause its Affiliates to grant, to Mirati a royalty-free, fully-paid up, worldwide, irrevocable, perpetual, non-transferable (except in accordance with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exclusive (even as to ORIC or its Affiliates) license and right of reference, [***], under (i) ORIC’s rights in and to any and all ORIC Sole Inventions, Joint Inventions, Joint Patents and ORIC Patents in existence as of the effective date of termination that are not assigned to Mirati pursuant to </w:t>
      </w:r>
      <w:r>
        <w:rPr>
          <w:rFonts w:ascii="Times New Roman" w:cs="Times New Roman" w:eastAsia="Times New Roman" w:hAnsi="Times New Roman"/>
          <w:sz w:val="19"/>
          <w:szCs w:val="19"/>
          <w:u w:val="single" w:color="auto"/>
          <w:color w:val="auto"/>
        </w:rPr>
        <w:t>Section 12.4(a)(iv)</w:t>
      </w:r>
      <w:r>
        <w:rPr>
          <w:rFonts w:ascii="Times New Roman" w:cs="Times New Roman" w:eastAsia="Times New Roman" w:hAnsi="Times New Roman"/>
          <w:sz w:val="19"/>
          <w:szCs w:val="19"/>
          <w:color w:val="auto"/>
        </w:rPr>
        <w:t xml:space="preserve">, (ii) any Patent Rights and Know-How Controlled by ORIC or its Affiliates as of the effective date of termination that are [***], the Development, Manufacture or Commercialization of the Licensed Products in the Territory, in each case ((i) and (ii)), [***] Mirati to Develop, Manufacture, Commercialize and otherwise, make, have made, use, offer for sale, sell, and import Licensed Compounds and Licensed Products, as each such Licensed Compound or Licensed Product exists at such time, for any and all Indications and uses, including diagnostic uses, in the Territory. Notwithstanding the terms of this </w:t>
      </w:r>
      <w:r>
        <w:rPr>
          <w:rFonts w:ascii="Times New Roman" w:cs="Times New Roman" w:eastAsia="Times New Roman" w:hAnsi="Times New Roman"/>
          <w:sz w:val="19"/>
          <w:szCs w:val="19"/>
          <w:u w:val="single" w:color="auto"/>
          <w:color w:val="auto"/>
        </w:rPr>
        <w:t>Section 12.4(a)</w:t>
      </w:r>
      <w:r>
        <w:rPr>
          <w:rFonts w:ascii="Times New Roman" w:cs="Times New Roman" w:eastAsia="Times New Roman" w:hAnsi="Times New Roman"/>
          <w:sz w:val="19"/>
          <w:szCs w:val="19"/>
          <w:color w:val="auto"/>
        </w:rPr>
        <w:t xml:space="preserve"> above, with respect to any such Patent Rights and Know-How that is Controlled by ORIC or its Affiliates as of the effective date of termination of this Agreement pursuant to an agreement with a Third Party, the rights and licenses granted to Mirati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12.4(a)</w:t>
      </w:r>
      <w:r>
        <w:rPr>
          <w:rFonts w:ascii="Times New Roman" w:cs="Times New Roman" w:eastAsia="Times New Roman" w:hAnsi="Times New Roman"/>
          <w:sz w:val="19"/>
          <w:szCs w:val="19"/>
          <w:color w:val="auto"/>
        </w:rPr>
        <w:t xml:space="preserve"> shall be subject to (A) the terms of such agreement and (B) Mirati promptly paying all amounts due under any such agreement as a result of the grant to Mirati, or Mirati’s exercise, of the rights granted thereunder. In the event ORIC or its Affiliate desires to terminate 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spacing w:after="0" w:line="269" w:lineRule="auto"/>
        <w:rPr>
          <w:sz w:val="20"/>
          <w:szCs w:val="20"/>
          <w:color w:val="auto"/>
        </w:rPr>
      </w:pPr>
      <w:r>
        <w:rPr>
          <w:rFonts w:ascii="Times New Roman" w:cs="Times New Roman" w:eastAsia="Times New Roman" w:hAnsi="Times New Roman"/>
          <w:sz w:val="20"/>
          <w:szCs w:val="20"/>
          <w:color w:val="auto"/>
        </w:rPr>
        <w:t>modify any such agreement in a manner that would adversely affect Mirati’s exercise of the rights granted thereunder, ORIC shall promptly notify Mirati in writing and use reasonable efforts to [***].</w:t>
      </w:r>
    </w:p>
    <w:p>
      <w:pPr>
        <w:spacing w:after="0" w:line="1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(vi) </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Upon termination of this Agreement, Mirati will have the</w:t>
      </w:r>
    </w:p>
    <w:p>
      <w:pPr>
        <w:spacing w:after="0" w:line="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right, but not the obligation, to purchase all of ORIC and its Affiliates’ remaining inventory of Licensed Compounds and Licensed Products held as of the effective date of termination of this Agreement at a price equal to ORIC’s [***].</w:t>
      </w:r>
    </w:p>
    <w:p>
      <w:pPr>
        <w:spacing w:after="0" w:line="182" w:lineRule="exact"/>
        <w:rPr>
          <w:sz w:val="20"/>
          <w:szCs w:val="20"/>
          <w:color w:val="auto"/>
        </w:rPr>
      </w:pPr>
    </w:p>
    <w:p>
      <w:pPr>
        <w:jc w:val="both"/>
        <w:ind w:firstLine="2254"/>
        <w:spacing w:after="0" w:line="244" w:lineRule="auto"/>
        <w:tabs>
          <w:tab w:leader="none" w:pos="265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Effective as of the date of termination, ORIC will assign to Mirati all of ORIC’s worldwide right, title and interest in and to any Trademarks that is specific to and solely used for any Licensed Products (it being understood that the foregoing will not include any Trademarks that contain the corporate or business name(s) or logo(s) of ORIC or any of its Affiliates or Sublicensees).</w:t>
      </w:r>
    </w:p>
    <w:p>
      <w:pPr>
        <w:spacing w:after="0" w:line="185" w:lineRule="exact"/>
        <w:rPr>
          <w:rFonts w:ascii="Times New Roman" w:cs="Times New Roman" w:eastAsia="Times New Roman" w:hAnsi="Times New Roman"/>
          <w:sz w:val="20"/>
          <w:szCs w:val="20"/>
          <w:color w:val="auto"/>
        </w:rPr>
      </w:pPr>
    </w:p>
    <w:p>
      <w:pPr>
        <w:jc w:val="both"/>
        <w:ind w:firstLine="2254"/>
        <w:spacing w:after="0" w:line="243" w:lineRule="auto"/>
        <w:tabs>
          <w:tab w:leader="none" w:pos="303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 Party Agreements</w:t>
      </w:r>
      <w:r>
        <w:rPr>
          <w:rFonts w:ascii="Times New Roman" w:cs="Times New Roman" w:eastAsia="Times New Roman" w:hAnsi="Times New Roman"/>
          <w:sz w:val="20"/>
          <w:szCs w:val="20"/>
          <w:color w:val="auto"/>
        </w:rPr>
        <w:t>. Upon Mirati’s request, ORIC agrees to [***] with Mirati with respect to the assignment and transfer to Mirati of ORIC’s right, title and interest in and to any agreements between ORIC or any of its Affiliates and Third Parties that relate solely to the Development, Manufacture or Commercialization of any Licensed Compound or Licensed Product (including any Third Party licenses or sublicenses). For any such agreement that does not relate solely to the Development, Manufacture or Commercialization of Licensed Compounds or Licensed Products, ORIC will [***] to Mirati the benefits of such agreement.</w:t>
      </w:r>
    </w:p>
    <w:p>
      <w:pPr>
        <w:spacing w:after="0" w:line="185"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6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Assistance</w:t>
      </w:r>
      <w:r>
        <w:rPr>
          <w:rFonts w:ascii="Times New Roman" w:cs="Times New Roman" w:eastAsia="Times New Roman" w:hAnsi="Times New Roman"/>
          <w:sz w:val="20"/>
          <w:szCs w:val="20"/>
          <w:color w:val="auto"/>
        </w:rPr>
        <w:t xml:space="preserve">. ORIC will execute all documents as may be reasonably requested by Mirati to the extent reasonably necessary in order to give effect to this </w:t>
      </w:r>
      <w:r>
        <w:rPr>
          <w:rFonts w:ascii="Times New Roman" w:cs="Times New Roman" w:eastAsia="Times New Roman" w:hAnsi="Times New Roman"/>
          <w:sz w:val="20"/>
          <w:szCs w:val="20"/>
          <w:u w:val="single" w:color="auto"/>
          <w:color w:val="auto"/>
        </w:rPr>
        <w:t>Section 12.4(a)</w:t>
      </w:r>
      <w:r>
        <w:rPr>
          <w:rFonts w:ascii="Times New Roman" w:cs="Times New Roman" w:eastAsia="Times New Roman" w:hAnsi="Times New Roman"/>
          <w:sz w:val="20"/>
          <w:szCs w:val="20"/>
          <w:color w:val="auto"/>
        </w:rPr>
        <w:t xml:space="preserve">. The Parties [***] incurred by ORIC in performing its obligations pursuant to this </w:t>
      </w:r>
      <w:r>
        <w:rPr>
          <w:rFonts w:ascii="Times New Roman" w:cs="Times New Roman" w:eastAsia="Times New Roman" w:hAnsi="Times New Roman"/>
          <w:sz w:val="20"/>
          <w:szCs w:val="20"/>
          <w:u w:val="single" w:color="auto"/>
          <w:color w:val="auto"/>
        </w:rPr>
        <w:t>Section 12.4(a)</w:t>
      </w:r>
      <w:r>
        <w:rPr>
          <w:rFonts w:ascii="Times New Roman" w:cs="Times New Roman" w:eastAsia="Times New Roman" w:hAnsi="Times New Roman"/>
          <w:sz w:val="20"/>
          <w:szCs w:val="20"/>
          <w:color w:val="auto"/>
        </w:rPr>
        <w:t xml:space="preserve"> such that Mirati bears [***] of such costs and ORIC bears [***] of such costs; provided that, in the event this Agreement is terminated by Mirati pursuant to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12.3(d)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12.3(e),</w:t>
      </w:r>
      <w:r>
        <w:rPr>
          <w:rFonts w:ascii="Times New Roman" w:cs="Times New Roman" w:eastAsia="Times New Roman" w:hAnsi="Times New Roman"/>
          <w:sz w:val="20"/>
          <w:szCs w:val="20"/>
          <w:color w:val="auto"/>
        </w:rPr>
        <w:t xml:space="preserve"> ORIC [***]. Notwithstanding any other provision of this Agreement, for the purposes of the rights and licenses granted to Mirati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12.4(a)</w:t>
      </w:r>
      <w:r>
        <w:rPr>
          <w:rFonts w:ascii="Times New Roman" w:cs="Times New Roman" w:eastAsia="Times New Roman" w:hAnsi="Times New Roman"/>
          <w:sz w:val="20"/>
          <w:szCs w:val="20"/>
          <w:color w:val="auto"/>
        </w:rPr>
        <w:t xml:space="preserve"> with respect to any Licensed Product that is a Combination Product, in no event is any right or license granted hereunder with respect to any Other Component of such Combination Product.</w:t>
      </w:r>
    </w:p>
    <w:p>
      <w:pPr>
        <w:spacing w:after="0" w:line="185" w:lineRule="exact"/>
        <w:rPr>
          <w:rFonts w:ascii="Times New Roman" w:cs="Times New Roman" w:eastAsia="Times New Roman" w:hAnsi="Times New Roman"/>
          <w:sz w:val="20"/>
          <w:szCs w:val="20"/>
          <w:color w:val="auto"/>
        </w:rPr>
      </w:pPr>
    </w:p>
    <w:p>
      <w:pPr>
        <w:jc w:val="both"/>
        <w:ind w:firstLine="2254"/>
        <w:spacing w:after="0" w:line="244" w:lineRule="auto"/>
        <w:tabs>
          <w:tab w:leader="none" w:pos="269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Patent Information</w:t>
      </w:r>
      <w:r>
        <w:rPr>
          <w:rFonts w:ascii="Times New Roman" w:cs="Times New Roman" w:eastAsia="Times New Roman" w:hAnsi="Times New Roman"/>
          <w:sz w:val="20"/>
          <w:szCs w:val="20"/>
          <w:color w:val="auto"/>
        </w:rPr>
        <w:t>. ORIC, if requested in writing by Mirati, will provide any and all (i) material correspondence with the relevant patent offices pertaining to ORIC’s Prosecution of the Licensed Patents, Joint Patents and ORIC Patents to the extent within ORIC’s possession and control and not previously provided to Mirati during the course of the Agreement and (ii) a report detailing the status of all Licensed Patents, Joint Patents and ORIC Patents at the time of termination or expiration.</w:t>
      </w:r>
    </w:p>
    <w:p>
      <w:pPr>
        <w:spacing w:after="0" w:line="185" w:lineRule="exact"/>
        <w:rPr>
          <w:rFonts w:ascii="Times New Roman" w:cs="Times New Roman" w:eastAsia="Times New Roman" w:hAnsi="Times New Roman"/>
          <w:sz w:val="20"/>
          <w:szCs w:val="20"/>
          <w:color w:val="auto"/>
        </w:rPr>
      </w:pPr>
    </w:p>
    <w:p>
      <w:pPr>
        <w:jc w:val="both"/>
        <w:ind w:firstLine="2254"/>
        <w:spacing w:after="0" w:line="241" w:lineRule="auto"/>
        <w:tabs>
          <w:tab w:leader="none" w:pos="264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Confidential Information</w:t>
      </w:r>
      <w:r>
        <w:rPr>
          <w:rFonts w:ascii="Times New Roman" w:cs="Times New Roman" w:eastAsia="Times New Roman" w:hAnsi="Times New Roman"/>
          <w:sz w:val="20"/>
          <w:szCs w:val="20"/>
          <w:color w:val="auto"/>
        </w:rPr>
        <w:t xml:space="preserve">. Within thirty (30) days after the effective date of termination (but not expiration) of this Agreement in its entirety, each Party will, and cause its Affiliates to (i) destroy all tangible items solely comprising, bearing or containing any Confidential Information of the other Party that are in such first Party’s or its Affiliates’ possession or Control, and provide written certification of such destruction, or (ii) prepare such tangible items of the other Party’s Confidential Information for shipment to such other Party, as such other Party may direct;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any event, (A) each Party may retain copies of the Confidential Information of the other Party to the extent necessary to perform its obligations or exercise its rights that survive expiration or termination of this Agreement; (B) each Party may retain one copy of the Confidential Information of the other Party in its secure legal archives solely for purposes of monitoring compliance with its continuing obligations hereunder and (C) neither Party shall be required to transfer or destroy any electronically stored Confidential Information made as a matter of the receiving Party’s routine information technology backup.</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ind w:right="20" w:firstLine="1505"/>
        <w:spacing w:after="0" w:line="269" w:lineRule="auto"/>
        <w:tabs>
          <w:tab w:leader="none" w:pos="190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xml:space="preserve">. Each Party will use reasonable efforts to cause its Affiliates, Sublicensees and contractors to comply with the obligations in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12.5. </w:t>
      </w: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 Expiration or termination of this Agreement for any reason will not release either Party from any obligation or liability which, on the effective date of such expiration or termination, has already accrued to the other Party or which is attributable to a period prior to such expiration or termination.</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12.6.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and Articles 11, 13 and 14 will survive any expiration or termination of this Agreement in its entirety for any reason. Furthermore, any other provisions required to interpret the Parties’ rights and obligations under this Agreement, including applicable definitions in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will survive to the extent required. Except as otherwise expressly provided in this Agreement, including this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all rights and obligations of the Parties under this Agreement will terminate upon expiration or termination of this Agreement in its entirety for any reason.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DISPUTE RESOLUTION</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13.1. </w:t>
      </w:r>
      <w:r>
        <w:rPr>
          <w:rFonts w:ascii="Times New Roman" w:cs="Times New Roman" w:eastAsia="Times New Roman" w:hAnsi="Times New Roman"/>
          <w:sz w:val="20"/>
          <w:szCs w:val="20"/>
          <w:u w:val="single" w:color="auto"/>
          <w:color w:val="auto"/>
        </w:rPr>
        <w:t>Dispute Resolution; Escalation</w:t>
      </w:r>
      <w:r>
        <w:rPr>
          <w:rFonts w:ascii="Times New Roman" w:cs="Times New Roman" w:eastAsia="Times New Roman" w:hAnsi="Times New Roman"/>
          <w:sz w:val="20"/>
          <w:szCs w:val="20"/>
          <w:color w:val="auto"/>
        </w:rPr>
        <w:t xml:space="preserve">. The Parties recognize that disputes as to certain matters arising out of or in connection with this Agreement may arise from time to time. It is the objective of the Parties to establish procedures to facilitate the resolution of disputes arising out of or in connection with this Agreement in an expedited manner by mutual cooperation. To accomplish this objective, any and all disputes between the Parties arising out of or in connection with this Agreement will first be referred to the Senior Officers for resolution and the Senior Officers will attempt to resolve the matter in good faith. If the Senior Officers fail to resolve such matter within fifteen (15) Business Days after the date on which the matter is referred to the Senior Officers (unless a longer period is agreed to by the Parties), then either Party may submit the dispute for final resolution by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13.2.  [***].</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13.3.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14.1.  </w:t>
      </w:r>
      <w:r>
        <w:rPr>
          <w:rFonts w:ascii="Times New Roman" w:cs="Times New Roman" w:eastAsia="Times New Roman" w:hAnsi="Times New Roman"/>
          <w:sz w:val="20"/>
          <w:szCs w:val="20"/>
          <w:u w:val="single" w:color="auto"/>
          <w:color w:val="auto"/>
        </w:rPr>
        <w:t>Assignment; Successors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1900" w:hanging="395"/>
        <w:spacing w:after="0"/>
        <w:tabs>
          <w:tab w:leader="none" w:pos="19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5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This Agreement and the rights and obligations of each Party under this Agreement will not be assignable, delegable, transferable, pledged or otherwise disposed of by either Party without the prior written consent of the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either Party may assign or transfer this Agreement together with all of its rights and obligations hereunder, without such consent (but with written notice to the other Party), (A) [***] or (B) [***]. Any assignment in violation of this </w:t>
      </w:r>
      <w:r>
        <w:rPr>
          <w:rFonts w:ascii="Times New Roman" w:cs="Times New Roman" w:eastAsia="Times New Roman" w:hAnsi="Times New Roman"/>
          <w:sz w:val="20"/>
          <w:szCs w:val="20"/>
          <w:u w:val="single" w:color="auto"/>
          <w:color w:val="auto"/>
        </w:rPr>
        <w:t>Section 14.1(a)(i)</w:t>
      </w:r>
      <w:r>
        <w:rPr>
          <w:rFonts w:ascii="Times New Roman" w:cs="Times New Roman" w:eastAsia="Times New Roman" w:hAnsi="Times New Roman"/>
          <w:sz w:val="20"/>
          <w:szCs w:val="20"/>
          <w:color w:val="auto"/>
        </w:rPr>
        <w:t xml:space="preserve"> will be null and void.</w:t>
      </w:r>
    </w:p>
    <w:p>
      <w:pPr>
        <w:spacing w:after="0" w:line="184"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Any permitted assignment of the rights and obligations of a Party under this Agreement will be binding on, and inure to the benefit of and be enforceable by and against, the successors and permitted assigns of the assigning Party. The permitted assignee or transferee will assume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spacing w:after="0" w:line="269" w:lineRule="auto"/>
        <w:rPr>
          <w:sz w:val="20"/>
          <w:szCs w:val="20"/>
          <w:color w:val="auto"/>
        </w:rPr>
      </w:pPr>
      <w:r>
        <w:rPr>
          <w:rFonts w:ascii="Times New Roman" w:cs="Times New Roman" w:eastAsia="Times New Roman" w:hAnsi="Times New Roman"/>
          <w:sz w:val="20"/>
          <w:szCs w:val="20"/>
          <w:color w:val="auto"/>
        </w:rPr>
        <w:t xml:space="preserve">all obligations of its assignor or transferor under this Agreement. Any assignment or attempted assignment by either Party in violation of the terms of this </w:t>
      </w:r>
      <w:r>
        <w:rPr>
          <w:rFonts w:ascii="Times New Roman" w:cs="Times New Roman" w:eastAsia="Times New Roman" w:hAnsi="Times New Roman"/>
          <w:sz w:val="20"/>
          <w:szCs w:val="20"/>
          <w:u w:val="single" w:color="auto"/>
          <w:color w:val="auto"/>
        </w:rPr>
        <w:t>Section 14.1(b)</w:t>
      </w:r>
      <w:r>
        <w:rPr>
          <w:rFonts w:ascii="Times New Roman" w:cs="Times New Roman" w:eastAsia="Times New Roman" w:hAnsi="Times New Roman"/>
          <w:sz w:val="20"/>
          <w:szCs w:val="20"/>
          <w:color w:val="auto"/>
        </w:rPr>
        <w:t xml:space="preserve"> will be null, void and of no legal effect.</w:t>
      </w:r>
    </w:p>
    <w:p>
      <w:pPr>
        <w:spacing w:after="0" w:line="159" w:lineRule="exact"/>
        <w:rPr>
          <w:sz w:val="20"/>
          <w:szCs w:val="20"/>
          <w:color w:val="auto"/>
        </w:rPr>
      </w:pPr>
    </w:p>
    <w:p>
      <w:pPr>
        <w:ind w:left="1900" w:hanging="395"/>
        <w:spacing w:after="0"/>
        <w:tabs>
          <w:tab w:leader="none" w:pos="19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 of a Party</w:t>
      </w:r>
      <w:r>
        <w:rPr>
          <w:rFonts w:ascii="Times New Roman" w:cs="Times New Roman" w:eastAsia="Times New Roman" w:hAnsi="Times New Roman"/>
          <w:sz w:val="20"/>
          <w:szCs w:val="20"/>
          <w:color w:val="auto"/>
        </w:rPr>
        <w:t>. [***].</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14.2. </w:t>
      </w:r>
      <w:r>
        <w:rPr>
          <w:rFonts w:ascii="Times New Roman" w:cs="Times New Roman" w:eastAsia="Times New Roman" w:hAnsi="Times New Roman"/>
          <w:sz w:val="20"/>
          <w:szCs w:val="20"/>
          <w:u w:val="single" w:color="auto"/>
          <w:color w:val="auto"/>
        </w:rPr>
        <w:t>Choice of Laws</w:t>
      </w:r>
      <w:r>
        <w:rPr>
          <w:rFonts w:ascii="Times New Roman" w:cs="Times New Roman" w:eastAsia="Times New Roman" w:hAnsi="Times New Roman"/>
          <w:sz w:val="20"/>
          <w:szCs w:val="20"/>
          <w:color w:val="auto"/>
        </w:rPr>
        <w:t xml:space="preserve">. This Agreement will be governed by and interpreted under the Laws of the State of [***], without regard to the conflicts of law principles thereof. Any dispute, controversy or claim of any kind whatsoever arising out of or in connection with this Agreement will be resolved exclusively in accordance with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all questions concerning (a) inventorship of Patent Rights under this Agreement will be determined in accordance with </w:t>
      </w:r>
      <w:r>
        <w:rPr>
          <w:rFonts w:ascii="Times New Roman" w:cs="Times New Roman" w:eastAsia="Times New Roman" w:hAnsi="Times New Roman"/>
          <w:sz w:val="20"/>
          <w:szCs w:val="20"/>
          <w:u w:val="single" w:color="auto"/>
          <w:color w:val="auto"/>
        </w:rPr>
        <w:t>Section 7.1(e)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construction or effect of Patent Rights will be determined in accordance with the Laws of the country or other jurisdiction in which the particular patent within such Patent Rights has been filed or granted, as the case may be. Any communication or proceedings resulting from disputes under this Agreement will be in English language. The Parties agree to exclude the application to this Agreement of the United Nations Conventions on Contracts for the International Sale of Goods (1980).</w:t>
      </w:r>
    </w:p>
    <w:p>
      <w:pPr>
        <w:spacing w:after="0" w:line="19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14.3.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or report required or permitted to be given or made under this Agreement by one Party to the other will be in writing and will be deemed to have been delivered (a) upon personal delivery (upon written confirmation of receipt), (b) when received by the addressee, if sent by a reputable internationally recognized overnight courier that maintains records of delivery, or registered or certified mail, postage prepaid, return receipt requested and (c) in the case of notices provided by telecopy (which notice will be followed immediately by an additional notice pursuant to clause (a) or (b) above if the notice is of a default under this Agreement), upon completion of transmission, with transmission confirmed, to the addressee’s facsimile machine, as follows (or at such other addresses or facsimile numbers as may have been furnished in writing by a Party to the other as provided in this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xml:space="preserve"> is not intended to govern the day-to-day business communications necessary between the Parties in performing their obligations under the terms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ind w:left="200"/>
        <w:spacing w:after="0"/>
        <w:rPr>
          <w:sz w:val="20"/>
          <w:szCs w:val="20"/>
          <w:color w:val="auto"/>
        </w:rPr>
      </w:pPr>
      <w:r>
        <w:rPr>
          <w:rFonts w:ascii="Times New Roman" w:cs="Times New Roman" w:eastAsia="Times New Roman" w:hAnsi="Times New Roman"/>
          <w:sz w:val="19"/>
          <w:szCs w:val="19"/>
          <w:color w:val="auto"/>
        </w:rPr>
        <w:t>If to Mirati: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Mirati Therapeutics, Inc.</w:t>
      </w:r>
    </w:p>
    <w:p>
      <w:pPr>
        <w:spacing w:after="0" w:line="231" w:lineRule="auto"/>
        <w:rPr>
          <w:sz w:val="20"/>
          <w:szCs w:val="20"/>
          <w:color w:val="auto"/>
        </w:rPr>
      </w:pPr>
      <w:r>
        <w:rPr>
          <w:rFonts w:ascii="Times New Roman" w:cs="Times New Roman" w:eastAsia="Times New Roman" w:hAnsi="Times New Roman"/>
          <w:sz w:val="19"/>
          <w:szCs w:val="19"/>
          <w:color w:val="auto"/>
        </w:rPr>
        <w:t>9393 Towne Centre Drive, Suite 200</w:t>
      </w:r>
    </w:p>
    <w:p>
      <w:pPr>
        <w:spacing w:after="0"/>
        <w:rPr>
          <w:sz w:val="20"/>
          <w:szCs w:val="20"/>
          <w:color w:val="auto"/>
        </w:rPr>
      </w:pPr>
      <w:r>
        <w:rPr>
          <w:rFonts w:ascii="Times New Roman" w:cs="Times New Roman" w:eastAsia="Times New Roman" w:hAnsi="Times New Roman"/>
          <w:sz w:val="20"/>
          <w:szCs w:val="20"/>
          <w:color w:val="auto"/>
        </w:rPr>
        <w:t>San Diego, California 92121</w:t>
      </w:r>
    </w:p>
    <w:p>
      <w:pPr>
        <w:spacing w:after="0" w:line="1" w:lineRule="exact"/>
        <w:rPr>
          <w:sz w:val="20"/>
          <w:szCs w:val="20"/>
          <w:color w:val="auto"/>
        </w:rPr>
      </w:pPr>
    </w:p>
    <w:p>
      <w:pPr>
        <w:sectPr>
          <w:pgSz w:w="11900" w:h="16838" w:orient="portrait"/>
          <w:cols w:equalWidth="0" w:num="2">
            <w:col w:w="4460" w:space="720"/>
            <w:col w:w="6060"/>
          </w:cols>
          <w:pgMar w:left="320" w:top="360" w:right="339" w:bottom="1440" w:gutter="0" w:footer="0" w:header="0"/>
        </w:sectPr>
      </w:pPr>
    </w:p>
    <w:p>
      <w:pPr>
        <w:jc w:val="center"/>
        <w:ind w:right="400"/>
        <w:spacing w:after="0" w:line="229" w:lineRule="auto"/>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60" w:right="339" w:bottom="1440" w:gutter="0" w:footer="0" w:header="0"/>
          <w:type w:val="continuous"/>
        </w:sectPr>
      </w:pPr>
    </w:p>
    <w:p>
      <w:pPr>
        <w:spacing w:after="0" w:line="3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With copies to:</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Mirati Therapeutics, Inc.</w:t>
      </w:r>
    </w:p>
    <w:p>
      <w:pPr>
        <w:spacing w:after="0" w:line="231" w:lineRule="auto"/>
        <w:rPr>
          <w:sz w:val="20"/>
          <w:szCs w:val="20"/>
          <w:color w:val="auto"/>
        </w:rPr>
      </w:pPr>
      <w:r>
        <w:rPr>
          <w:rFonts w:ascii="Times New Roman" w:cs="Times New Roman" w:eastAsia="Times New Roman" w:hAnsi="Times New Roman"/>
          <w:sz w:val="19"/>
          <w:szCs w:val="19"/>
          <w:color w:val="auto"/>
        </w:rPr>
        <w:t>9393 Towne Centre Drive, Suite 200</w:t>
      </w:r>
    </w:p>
    <w:p>
      <w:pPr>
        <w:spacing w:after="0"/>
        <w:rPr>
          <w:sz w:val="20"/>
          <w:szCs w:val="20"/>
          <w:color w:val="auto"/>
        </w:rPr>
      </w:pPr>
      <w:r>
        <w:rPr>
          <w:rFonts w:ascii="Times New Roman" w:cs="Times New Roman" w:eastAsia="Times New Roman" w:hAnsi="Times New Roman"/>
          <w:sz w:val="20"/>
          <w:szCs w:val="20"/>
          <w:color w:val="auto"/>
        </w:rPr>
        <w:t>San Diego, California 92121</w:t>
      </w:r>
    </w:p>
    <w:p>
      <w:pPr>
        <w:spacing w:after="0" w:line="1" w:lineRule="exact"/>
        <w:rPr>
          <w:sz w:val="20"/>
          <w:szCs w:val="20"/>
          <w:color w:val="auto"/>
        </w:rPr>
      </w:pPr>
    </w:p>
    <w:p>
      <w:pPr>
        <w:sectPr>
          <w:pgSz w:w="11900" w:h="16838" w:orient="portrait"/>
          <w:cols w:equalWidth="0" w:num="2">
            <w:col w:w="4460" w:space="720"/>
            <w:col w:w="6060"/>
          </w:cols>
          <w:pgMar w:left="320" w:top="360" w:right="339" w:bottom="1440" w:gutter="0" w:footer="0" w:header="0"/>
          <w:type w:val="continuous"/>
        </w:sectPr>
      </w:pPr>
    </w:p>
    <w:p>
      <w:pPr>
        <w:jc w:val="center"/>
        <w:ind w:right="400"/>
        <w:spacing w:after="0" w:line="229" w:lineRule="auto"/>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60" w:right="339" w:bottom="1440" w:gutter="0" w:footer="0" w:header="0"/>
          <w:type w:val="continuous"/>
        </w:sectPr>
      </w:pP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If to ORIC:</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ORIC Pharmaceuticals, Inc.</w:t>
      </w:r>
    </w:p>
    <w:p>
      <w:pPr>
        <w:spacing w:after="0" w:line="219" w:lineRule="auto"/>
        <w:rPr>
          <w:sz w:val="20"/>
          <w:szCs w:val="20"/>
          <w:color w:val="auto"/>
        </w:rPr>
      </w:pPr>
      <w:r>
        <w:rPr>
          <w:rFonts w:ascii="Times New Roman" w:cs="Times New Roman" w:eastAsia="Times New Roman" w:hAnsi="Times New Roman"/>
          <w:sz w:val="20"/>
          <w:szCs w:val="20"/>
          <w:color w:val="auto"/>
        </w:rPr>
        <w:t>240 East Grand Ave, 2nd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South San Francisco, CA, 94080</w:t>
      </w:r>
    </w:p>
    <w:p>
      <w:pPr>
        <w:spacing w:after="0" w:line="1" w:lineRule="exact"/>
        <w:rPr>
          <w:sz w:val="20"/>
          <w:szCs w:val="20"/>
          <w:color w:val="auto"/>
        </w:rPr>
      </w:pPr>
    </w:p>
    <w:p>
      <w:pPr>
        <w:sectPr>
          <w:pgSz w:w="11900" w:h="16838" w:orient="portrait"/>
          <w:cols w:equalWidth="0" w:num="2">
            <w:col w:w="4460" w:space="720"/>
            <w:col w:w="6060"/>
          </w:cols>
          <w:pgMar w:left="320" w:top="360" w:right="339" w:bottom="1440" w:gutter="0" w:footer="0" w:header="0"/>
          <w:type w:val="continuous"/>
        </w:sectPr>
      </w:pPr>
    </w:p>
    <w:p>
      <w:pPr>
        <w:jc w:val="center"/>
        <w:ind w:right="40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60" w:right="339" w:bottom="1440" w:gutter="0" w:footer="0" w:header="0"/>
          <w:type w:val="continuous"/>
        </w:sect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With copies to:</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Wilson Sonsini Goodrich &amp; Rosati PC</w:t>
      </w:r>
    </w:p>
    <w:p>
      <w:pPr>
        <w:spacing w:after="0" w:line="231" w:lineRule="auto"/>
        <w:rPr>
          <w:sz w:val="20"/>
          <w:szCs w:val="20"/>
          <w:color w:val="auto"/>
        </w:rPr>
      </w:pPr>
      <w:r>
        <w:rPr>
          <w:rFonts w:ascii="Times New Roman" w:cs="Times New Roman" w:eastAsia="Times New Roman" w:hAnsi="Times New Roman"/>
          <w:sz w:val="20"/>
          <w:szCs w:val="20"/>
          <w:color w:val="auto"/>
        </w:rPr>
        <w:t>650 Page Mill Road</w:t>
      </w:r>
    </w:p>
    <w:p>
      <w:pPr>
        <w:spacing w:after="0" w:line="226" w:lineRule="auto"/>
        <w:rPr>
          <w:sz w:val="20"/>
          <w:szCs w:val="20"/>
          <w:color w:val="auto"/>
        </w:rPr>
      </w:pPr>
      <w:r>
        <w:rPr>
          <w:rFonts w:ascii="Times New Roman" w:cs="Times New Roman" w:eastAsia="Times New Roman" w:hAnsi="Times New Roman"/>
          <w:sz w:val="20"/>
          <w:szCs w:val="20"/>
          <w:color w:val="auto"/>
        </w:rPr>
        <w:t>Palo Alto, California 94304-1050</w:t>
      </w:r>
    </w:p>
    <w:p>
      <w:pPr>
        <w:spacing w:after="0"/>
        <w:rPr>
          <w:sz w:val="20"/>
          <w:szCs w:val="20"/>
          <w:color w:val="auto"/>
        </w:rPr>
      </w:pPr>
      <w:r>
        <w:rPr>
          <w:rFonts w:ascii="Times New Roman" w:cs="Times New Roman" w:eastAsia="Times New Roman" w:hAnsi="Times New Roman"/>
          <w:sz w:val="20"/>
          <w:szCs w:val="20"/>
          <w:color w:val="auto"/>
        </w:rPr>
        <w:t>Attn: Kenneth A. Clark, Esq.</w:t>
      </w:r>
    </w:p>
    <w:p>
      <w:pPr>
        <w:spacing w:after="0" w:line="200" w:lineRule="exact"/>
        <w:rPr>
          <w:sz w:val="20"/>
          <w:szCs w:val="20"/>
          <w:color w:val="auto"/>
        </w:rPr>
      </w:pPr>
    </w:p>
    <w:p>
      <w:pPr>
        <w:sectPr>
          <w:pgSz w:w="11900" w:h="16838" w:orient="portrait"/>
          <w:cols w:equalWidth="0" w:num="2">
            <w:col w:w="4460" w:space="720"/>
            <w:col w:w="606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14.4.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one or more provisions of this Agreement is held invalid, illegal or unenforceable in any respect, then such provision will not render any other provision of this Agreement invalid or unenforceable, and all other provisions will remain in full force and effect and will be enforceable, unless the provisions that have been found to be invalid or unenforceable will substantially affect the remaining rights or obligations granted or undertaken by either Party. The Parties agree to attempt to substitute for any invalid or unenforceable provision a provision which achieves to the greatest extent possible the economic objectives of the invalid or unenforceable provision.</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14.5.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together with all schedules and exhibits attached hereto, constitutes the entire agreement between the Parties with respect to the subject matter of this Agreement and supersedes all previous arrangements between the Parties with respect to the subject matter hereof, whether written or oral, including, effective as of the Effective Date, the Prior CDA (provided that all information disclosed or exchanged under such agreement will be treated as Confidential Information hereunder). In the event of a conflict between the Research &amp; Development Plan or any schedules or attachments to this Agreement, on the one hand, and this Agreement, on the other hand, the terms of this Agreement will govern. Each Party confirms that it is not relying on any representations or warranties of the other Party except as specifically set forth in this Agreement.</w:t>
      </w:r>
    </w:p>
    <w:p>
      <w:pPr>
        <w:spacing w:after="0" w:line="17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14.6. </w:t>
      </w: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The failure of any Party to assert a right under this Agreement or to insist upon compliance with any term or condition of this Agreement will not constitute a waiver of that right or excuse a similar subsequent failure to perform any such term or condition by the other Party. The exercise by any Party of any right or election under the terms or covenants herein will not preclude or prejudice any Party from exercising the same or any other right it may have under this Agreement, irrespective of any previous action or proceeding taken by the Parties hereunder. No waiver will be effective unless it has been given in writing and signed by the Party giving such waiver, and no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9" w:name="page110"/>
    <w:bookmarkEnd w:id="109"/>
    <w:p>
      <w:pPr>
        <w:jc w:val="both"/>
        <w:spacing w:after="0" w:line="269" w:lineRule="auto"/>
        <w:rPr>
          <w:sz w:val="20"/>
          <w:szCs w:val="20"/>
          <w:color w:val="auto"/>
        </w:rPr>
      </w:pPr>
      <w:r>
        <w:rPr>
          <w:rFonts w:ascii="Times New Roman" w:cs="Times New Roman" w:eastAsia="Times New Roman" w:hAnsi="Times New Roman"/>
          <w:sz w:val="20"/>
          <w:szCs w:val="20"/>
          <w:color w:val="auto"/>
        </w:rPr>
        <w:t>provision of this Agreement may be amended or modified other than by a written document signed by authorized representatives of each Party.</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14.7. </w:t>
      </w:r>
      <w:r>
        <w:rPr>
          <w:rFonts w:ascii="Times New Roman" w:cs="Times New Roman" w:eastAsia="Times New Roman" w:hAnsi="Times New Roman"/>
          <w:sz w:val="20"/>
          <w:szCs w:val="20"/>
          <w:u w:val="single" w:color="auto"/>
          <w:color w:val="auto"/>
        </w:rPr>
        <w:t>Independent Contractors; No Agency</w:t>
      </w:r>
      <w:r>
        <w:rPr>
          <w:rFonts w:ascii="Times New Roman" w:cs="Times New Roman" w:eastAsia="Times New Roman" w:hAnsi="Times New Roman"/>
          <w:sz w:val="20"/>
          <w:szCs w:val="20"/>
          <w:color w:val="auto"/>
        </w:rPr>
        <w:t>. Neither Party will have any responsibility for the hiring, firing or compensation of the other Party’s or such other Party’s Affiliates’ employees or for any employee benefits with respect thereto. No employee or representative of a Party or its Affiliates will have any authority to bind or obligate the other Party for any sum or in any manner whatsoever, or to create or impose any contractual or other liability on such other Party, without such other Party’s written approval. For all purposes, and notwithstanding any other provision of this Agreement to the contrary, each Party’s legal relationship under this Agreement to the other Party will be that of independent contractor, and the relationship between the two Parties will not constitute a partnership, joint venture, or agency, including for all tax purposes, except as otherwise required by applicable Law.</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Section 14.8. </w:t>
      </w:r>
      <w:r>
        <w:rPr>
          <w:rFonts w:ascii="Times New Roman" w:cs="Times New Roman" w:eastAsia="Times New Roman" w:hAnsi="Times New Roman"/>
          <w:sz w:val="20"/>
          <w:szCs w:val="20"/>
          <w:u w:val="single" w:color="auto"/>
          <w:color w:val="auto"/>
        </w:rPr>
        <w:t>Affiliates, Sublicensees, and Contractors</w:t>
      </w:r>
      <w:r>
        <w:rPr>
          <w:rFonts w:ascii="Times New Roman" w:cs="Times New Roman" w:eastAsia="Times New Roman" w:hAnsi="Times New Roman"/>
          <w:sz w:val="20"/>
          <w:szCs w:val="20"/>
          <w:color w:val="auto"/>
        </w:rPr>
        <w:t xml:space="preserve">. To the extent that this Agreement expressly imposes obligations on Affiliates, Sublicensees or contractors of a Party, such Party will require its Affiliates and its Sublicensees and contractors to perform such obligations, as applicable. Either Party may use one or more of its Affiliates, Sublicensees or contractors to perform its obligations and duties or exercise its rights under this Agreement, solely to the extent permitted and as specified in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3" w:lineRule="exact"/>
        <w:rPr>
          <w:sz w:val="20"/>
          <w:szCs w:val="20"/>
          <w:color w:val="auto"/>
        </w:rPr>
      </w:pPr>
    </w:p>
    <w:p>
      <w:pPr>
        <w:jc w:val="both"/>
        <w:ind w:firstLine="8"/>
        <w:spacing w:after="0" w:line="238" w:lineRule="auto"/>
        <w:tabs>
          <w:tab w:leader="none" w:pos="27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such Affiliate, Sublicensee or contractor will perform any such obligations delegated to it in compliance with the applicable terms and conditions of this Agreement as if such Affiliate, Sublicensee or contractor were a party hereto, (b) the performance of any obligations of a Party’s by its Affiliates, Sublicensees or contractors will not diminish, reduce or eliminate any obligation of such Party under this Agreement, except to the extent satisfied by such Affiliate, Sublicensee or contractor and (c) subject to such Party’s assignment to an [***] pursuant to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such Party will remain liable under this Agreement for the prompt performance of all of its obligations under this Agreement. Subject to this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if a Party exercises its rights and performs its obligations under this Agreement through one or more of its Affiliates, “Mirati” will be interpreted to mean “Mirati or its Affiliates” and “ORIC” will be interpreted to mean “ORIC or its Affiliates” where necessary to give each Party’s Affiliates the benefit of the rights provided to such Party in this Agreement and the ability to perform its obligations under this Agreement.</w:t>
      </w:r>
    </w:p>
    <w:p>
      <w:pPr>
        <w:spacing w:after="0" w:line="19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14.9. </w:t>
      </w:r>
      <w:r>
        <w:rPr>
          <w:rFonts w:ascii="Times New Roman" w:cs="Times New Roman" w:eastAsia="Times New Roman" w:hAnsi="Times New Roman"/>
          <w:sz w:val="20"/>
          <w:szCs w:val="20"/>
          <w:u w:val="single" w:color="auto"/>
          <w:color w:val="auto"/>
        </w:rPr>
        <w:t>No Third Party Beneficiary Rights</w:t>
      </w:r>
      <w:r>
        <w:rPr>
          <w:rFonts w:ascii="Times New Roman" w:cs="Times New Roman" w:eastAsia="Times New Roman" w:hAnsi="Times New Roman"/>
          <w:sz w:val="20"/>
          <w:szCs w:val="20"/>
          <w:color w:val="auto"/>
        </w:rPr>
        <w:t>. The representations, warranties, covenants and agreements set forth in this Agreement are for the sole benefit of the Parties and their successors and permitted assigns, and they will not be construed as conferring any rights on any other Third Party. This Agreement is not intended to and will not be construed to give any Third Party any interest or rights (including any Third Party beneficiary rights) with respect to or in connection with any agreement or provision contained herein or contemplated hereby.</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14.10. </w:t>
      </w:r>
      <w:r>
        <w:rPr>
          <w:rFonts w:ascii="Times New Roman" w:cs="Times New Roman" w:eastAsia="Times New Roman" w:hAnsi="Times New Roman"/>
          <w:sz w:val="20"/>
          <w:szCs w:val="20"/>
          <w:u w:val="single" w:color="auto"/>
          <w:color w:val="auto"/>
        </w:rPr>
        <w:t>Non-exclusive Remedy</w:t>
      </w:r>
      <w:r>
        <w:rPr>
          <w:rFonts w:ascii="Times New Roman" w:cs="Times New Roman" w:eastAsia="Times New Roman" w:hAnsi="Times New Roman"/>
          <w:sz w:val="20"/>
          <w:szCs w:val="20"/>
          <w:color w:val="auto"/>
        </w:rPr>
        <w:t>. Except as expressly provided herein, the rights and remedies provided herein are cumulative and each Party retains all remedies at law or in equity, including the Parties’ ability to receive legal damages or equitable relief, with respect to any breach of this Agreement. Neither Party will be required (but, for clarity, will have the right as specified in this Agreement) to terminate this Agreement due to a breach of this Agreement by the other Party.</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14.11.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Article and Section headings used herein are for reference and convenience only, and will not enter into the interpretation of this Agreement. Except as otherwise explicitly specified to the contrary, (a) references to an Article, Section or Exhibit means an Article or Section of, or a Schedule or Exhibit to this Agreement and all subsections thereof, unless another agreement is specified; (b) references in any Section to any clause are references to such clause of such Section; (c) references to any agreement, instrument, or other document in this Agreement refer to such agreement, instrument, or other document as originally executed or, if subsequently amended, replaced,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jc w:val="both"/>
        <w:spacing w:after="0"/>
        <w:rPr>
          <w:sz w:val="20"/>
          <w:szCs w:val="20"/>
          <w:color w:val="auto"/>
        </w:rPr>
      </w:pPr>
      <w:r>
        <w:rPr>
          <w:rFonts w:ascii="Times New Roman" w:cs="Times New Roman" w:eastAsia="Times New Roman" w:hAnsi="Times New Roman"/>
          <w:sz w:val="20"/>
          <w:szCs w:val="20"/>
          <w:color w:val="auto"/>
        </w:rPr>
        <w:t>supplemented from time to time, as so amended, replaced, or supplemented and in effect at the relevant time of reference thereto; (d) references to a particular “Laws” mean such Laws as in effect as of the relevant time, including all rules and regulations. thereunder and any successor Laws in effect as of the relevant time, and including the then-current amendments thereto; (e) words in the singular or plural form include the plural and singular form, respectively; (f) unless the context requires a different interpretation, the word “</w:t>
      </w:r>
      <w:r>
        <w:rPr>
          <w:rFonts w:ascii="Times New Roman" w:cs="Times New Roman" w:eastAsia="Times New Roman" w:hAnsi="Times New Roman"/>
          <w:sz w:val="20"/>
          <w:szCs w:val="20"/>
          <w:u w:val="single" w:color="auto"/>
          <w:color w:val="auto"/>
        </w:rPr>
        <w:t>or</w:t>
      </w:r>
      <w:r>
        <w:rPr>
          <w:rFonts w:ascii="Times New Roman" w:cs="Times New Roman" w:eastAsia="Times New Roman" w:hAnsi="Times New Roman"/>
          <w:sz w:val="20"/>
          <w:szCs w:val="20"/>
          <w:color w:val="auto"/>
        </w:rPr>
        <w:t>” has the inclusive meaning that is typically associated with the phrase “</w:t>
      </w:r>
      <w:r>
        <w:rPr>
          <w:rFonts w:ascii="Times New Roman" w:cs="Times New Roman" w:eastAsia="Times New Roman" w:hAnsi="Times New Roman"/>
          <w:sz w:val="20"/>
          <w:szCs w:val="20"/>
          <w:u w:val="single" w:color="auto"/>
          <w:color w:val="auto"/>
        </w:rPr>
        <w:t>and/or</w:t>
      </w:r>
      <w:r>
        <w:rPr>
          <w:rFonts w:ascii="Times New Roman" w:cs="Times New Roman" w:eastAsia="Times New Roman" w:hAnsi="Times New Roman"/>
          <w:sz w:val="20"/>
          <w:szCs w:val="20"/>
          <w:color w:val="auto"/>
        </w:rPr>
        <w:t>”; (g) the terms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such as,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for example</w:t>
      </w:r>
      <w:r>
        <w:rPr>
          <w:rFonts w:ascii="Times New Roman" w:cs="Times New Roman" w:eastAsia="Times New Roman" w:hAnsi="Times New Roman"/>
          <w:sz w:val="20"/>
          <w:szCs w:val="20"/>
          <w:color w:val="auto"/>
        </w:rPr>
        <w:t>” mean including the generality of any description preceding such term and will be deemed to be followed by “</w:t>
      </w:r>
      <w:r>
        <w:rPr>
          <w:rFonts w:ascii="Times New Roman" w:cs="Times New Roman" w:eastAsia="Times New Roman" w:hAnsi="Times New Roman"/>
          <w:sz w:val="20"/>
          <w:szCs w:val="20"/>
          <w:u w:val="single" w:color="auto"/>
          <w:color w:val="auto"/>
        </w:rPr>
        <w:t>without limitation</w:t>
      </w:r>
      <w:r>
        <w:rPr>
          <w:rFonts w:ascii="Times New Roman" w:cs="Times New Roman" w:eastAsia="Times New Roman" w:hAnsi="Times New Roman"/>
          <w:sz w:val="20"/>
          <w:szCs w:val="20"/>
          <w:color w:val="auto"/>
        </w:rPr>
        <w:t>”; (h) whenever this Agreement refers to a number of days, such number will refer to calendar days unless Business Days are specified, and if a period of time is specified and dates from a given day or Business Day, or the day or Business Day of an act or event, it is to be calculated exclusive of that day or Business Day; (i) “</w:t>
      </w:r>
      <w:r>
        <w:rPr>
          <w:rFonts w:ascii="Times New Roman" w:cs="Times New Roman" w:eastAsia="Times New Roman" w:hAnsi="Times New Roman"/>
          <w:sz w:val="20"/>
          <w:szCs w:val="20"/>
          <w:u w:val="single" w:color="auto"/>
          <w:color w:val="auto"/>
        </w:rPr>
        <w:t>monthly</w:t>
      </w:r>
      <w:r>
        <w:rPr>
          <w:rFonts w:ascii="Times New Roman" w:cs="Times New Roman" w:eastAsia="Times New Roman" w:hAnsi="Times New Roman"/>
          <w:sz w:val="20"/>
          <w:szCs w:val="20"/>
          <w:color w:val="auto"/>
        </w:rPr>
        <w:t>” means on a calendar month basis, (j) “</w:t>
      </w:r>
      <w:r>
        <w:rPr>
          <w:rFonts w:ascii="Times New Roman" w:cs="Times New Roman" w:eastAsia="Times New Roman" w:hAnsi="Times New Roman"/>
          <w:sz w:val="20"/>
          <w:szCs w:val="20"/>
          <w:u w:val="single" w:color="auto"/>
          <w:color w:val="auto"/>
        </w:rPr>
        <w:t>quarter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quarterly</w:t>
      </w:r>
      <w:r>
        <w:rPr>
          <w:rFonts w:ascii="Times New Roman" w:cs="Times New Roman" w:eastAsia="Times New Roman" w:hAnsi="Times New Roman"/>
          <w:sz w:val="20"/>
          <w:szCs w:val="20"/>
          <w:color w:val="auto"/>
        </w:rPr>
        <w:t>” means on a Calendar Quarter basis; (k) “</w:t>
      </w:r>
      <w:r>
        <w:rPr>
          <w:rFonts w:ascii="Times New Roman" w:cs="Times New Roman" w:eastAsia="Times New Roman" w:hAnsi="Times New Roman"/>
          <w:sz w:val="20"/>
          <w:szCs w:val="20"/>
          <w:u w:val="single" w:color="auto"/>
          <w:color w:val="auto"/>
        </w:rPr>
        <w:t>annual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annually</w:t>
      </w:r>
      <w:r>
        <w:rPr>
          <w:rFonts w:ascii="Times New Roman" w:cs="Times New Roman" w:eastAsia="Times New Roman" w:hAnsi="Times New Roman"/>
          <w:sz w:val="20"/>
          <w:szCs w:val="20"/>
          <w:color w:val="auto"/>
        </w:rPr>
        <w:t>” means on a Calendar Year basis; (l) “</w:t>
      </w:r>
      <w:r>
        <w:rPr>
          <w:rFonts w:ascii="Times New Roman" w:cs="Times New Roman" w:eastAsia="Times New Roman" w:hAnsi="Times New Roman"/>
          <w:sz w:val="20"/>
          <w:szCs w:val="20"/>
          <w:u w:val="single" w:color="auto"/>
          <w:color w:val="auto"/>
        </w:rPr>
        <w:t>year</w:t>
      </w:r>
      <w:r>
        <w:rPr>
          <w:rFonts w:ascii="Times New Roman" w:cs="Times New Roman" w:eastAsia="Times New Roman" w:hAnsi="Times New Roman"/>
          <w:sz w:val="20"/>
          <w:szCs w:val="20"/>
          <w:color w:val="auto"/>
        </w:rPr>
        <w:t>” means a 365 day period unless Calendar Year is specified; (m) references to a particular Person include such Person’s successors and assigns to the extent not prohibited by this Agreement;</w:t>
      </w:r>
    </w:p>
    <w:p>
      <w:pPr>
        <w:spacing w:after="0" w:line="3" w:lineRule="exact"/>
        <w:rPr>
          <w:sz w:val="20"/>
          <w:szCs w:val="20"/>
          <w:color w:val="auto"/>
        </w:rPr>
      </w:pPr>
    </w:p>
    <w:p>
      <w:pPr>
        <w:jc w:val="both"/>
        <w:ind w:firstLine="8"/>
        <w:spacing w:after="0" w:line="238" w:lineRule="auto"/>
        <w:tabs>
          <w:tab w:leader="none" w:pos="28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any gender herein will be deemed to encompass references to either or both genders; (o) a capitalized term not defined herein but reflecting a different part of speech than a capitalized term which is defined herein will be interpreted in a correlative manner; (p) the words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hereby</w:t>
      </w:r>
      <w:r>
        <w:rPr>
          <w:rFonts w:ascii="Times New Roman" w:cs="Times New Roman" w:eastAsia="Times New Roman" w:hAnsi="Times New Roman"/>
          <w:sz w:val="20"/>
          <w:szCs w:val="20"/>
          <w:color w:val="auto"/>
        </w:rPr>
        <w:t>” and derivative or similar words refer to this Agreement (including any Exhibits or Schedules); (q) neither Party or its Affiliates will be deemed to be acting “</w:t>
      </w:r>
      <w:r>
        <w:rPr>
          <w:rFonts w:ascii="Times New Roman" w:cs="Times New Roman" w:eastAsia="Times New Roman" w:hAnsi="Times New Roman"/>
          <w:sz w:val="20"/>
          <w:szCs w:val="20"/>
          <w:u w:val="single" w:color="auto"/>
          <w:color w:val="auto"/>
        </w:rPr>
        <w:t>on behalf of</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under the authority of</w:t>
      </w:r>
      <w:r>
        <w:rPr>
          <w:rFonts w:ascii="Times New Roman" w:cs="Times New Roman" w:eastAsia="Times New Roman" w:hAnsi="Times New Roman"/>
          <w:sz w:val="20"/>
          <w:szCs w:val="20"/>
          <w:color w:val="auto"/>
        </w:rPr>
        <w:t>” the other Party under this Agreement, except to the extent expressly otherwise provided; (r) provisions that require that a Party hereunder “</w:t>
      </w:r>
      <w:r>
        <w:rPr>
          <w:rFonts w:ascii="Times New Roman" w:cs="Times New Roman" w:eastAsia="Times New Roman" w:hAnsi="Times New Roman"/>
          <w:sz w:val="20"/>
          <w:szCs w:val="20"/>
          <w:u w:val="single" w:color="auto"/>
          <w:color w:val="auto"/>
        </w:rPr>
        <w:t>agree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approve</w:t>
      </w:r>
      <w:r>
        <w:rPr>
          <w:rFonts w:ascii="Times New Roman" w:cs="Times New Roman" w:eastAsia="Times New Roman" w:hAnsi="Times New Roman"/>
          <w:sz w:val="20"/>
          <w:szCs w:val="20"/>
          <w:color w:val="auto"/>
        </w:rPr>
        <w:t>” will be deemed to require that such agreement, consent or approval be specific and in writing, including in a written agreement, letter, e-mail or approved minutes; and (s) the word “will” will be construed to have the same meaning and effect as the word “shall”.</w:t>
      </w:r>
    </w:p>
    <w:p>
      <w:pPr>
        <w:spacing w:after="0" w:line="19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Section 14.12.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will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 (including working collaboratively to correct and clerical, typographical, or other similar errors in this Agreement).</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14.13. </w:t>
      </w:r>
      <w:r>
        <w:rPr>
          <w:rFonts w:ascii="Times New Roman" w:cs="Times New Roman" w:eastAsia="Times New Roman" w:hAnsi="Times New Roman"/>
          <w:sz w:val="20"/>
          <w:szCs w:val="20"/>
          <w:u w:val="single" w:color="auto"/>
          <w:color w:val="auto"/>
        </w:rPr>
        <w:t>Ambiguities; No Presumption</w:t>
      </w:r>
      <w:r>
        <w:rPr>
          <w:rFonts w:ascii="Times New Roman" w:cs="Times New Roman" w:eastAsia="Times New Roman" w:hAnsi="Times New Roman"/>
          <w:sz w:val="20"/>
          <w:szCs w:val="20"/>
          <w:color w:val="auto"/>
        </w:rPr>
        <w:t>. Each of the Parties acknowledges and agrees that this Agreement has been 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hereto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under the rule of construction, irrespective of which Party may be deemed to have authored the ambiguous provision.</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Section 14.14. </w:t>
      </w:r>
      <w:r>
        <w:rPr>
          <w:rFonts w:ascii="Times New Roman" w:cs="Times New Roman" w:eastAsia="Times New Roman" w:hAnsi="Times New Roman"/>
          <w:sz w:val="20"/>
          <w:szCs w:val="20"/>
          <w:u w:val="single" w:color="auto"/>
          <w:color w:val="auto"/>
        </w:rPr>
        <w:t>Execution in Counterparts; Facsimile Signatures</w:t>
      </w:r>
      <w:r>
        <w:rPr>
          <w:rFonts w:ascii="Times New Roman" w:cs="Times New Roman" w:eastAsia="Times New Roman" w:hAnsi="Times New Roman"/>
          <w:sz w:val="20"/>
          <w:szCs w:val="20"/>
          <w:color w:val="auto"/>
        </w:rPr>
        <w:t>. This Agreement may be executed in counterparts, each of which counterparts, when so executed and delivered, will be deemed to be an original, and all of which counterparts, taken together, will constitute one and the same instrument even if both Parties have not executed the same counterpart. Signatures provided by facsimile transmission or in Adobe™ Portable Document Format (PDF) sent by electronic mail will be deemed to be original signatures.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14.15. </w:t>
      </w:r>
      <w:r>
        <w:rPr>
          <w:rFonts w:ascii="Times New Roman" w:cs="Times New Roman" w:eastAsia="Times New Roman" w:hAnsi="Times New Roman"/>
          <w:sz w:val="20"/>
          <w:szCs w:val="20"/>
          <w:u w:val="single" w:color="auto"/>
          <w:color w:val="auto"/>
        </w:rPr>
        <w:t>Export Control</w:t>
      </w:r>
      <w:r>
        <w:rPr>
          <w:rFonts w:ascii="Times New Roman" w:cs="Times New Roman" w:eastAsia="Times New Roman" w:hAnsi="Times New Roman"/>
          <w:sz w:val="20"/>
          <w:szCs w:val="20"/>
          <w:color w:val="auto"/>
        </w:rPr>
        <w:t>. This Agreement is made subject to any restrictions required by applicable Laws concerning the export of products or technical information from the U.S. or other countries which may be imposed upon or related to the Parties from time to time. Each Party agrees that it will not export, directly or indirectly, any technology licensed to it or other technical information acquired from the other Party under this Agreement or any products using such technical information to a location or in a manner that at the time of export requires an export license or other governmental approval, except in compliance with U.S. export Laws and regulations.</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14.16. </w:t>
      </w:r>
      <w:r>
        <w:rPr>
          <w:rFonts w:ascii="Times New Roman" w:cs="Times New Roman" w:eastAsia="Times New Roman" w:hAnsi="Times New Roman"/>
          <w:sz w:val="20"/>
          <w:szCs w:val="20"/>
          <w:u w:val="single" w:color="auto"/>
          <w:color w:val="auto"/>
        </w:rPr>
        <w:t>Rights in Bankruptcy</w:t>
      </w:r>
      <w:r>
        <w:rPr>
          <w:rFonts w:ascii="Times New Roman" w:cs="Times New Roman" w:eastAsia="Times New Roman" w:hAnsi="Times New Roman"/>
          <w:sz w:val="20"/>
          <w:szCs w:val="20"/>
          <w:color w:val="auto"/>
        </w:rPr>
        <w:t>. All rights and licenses granted under or pursuant to this Agreement are intended to be, and shall otherwise be deemed to be, licenses of rights to “intellectual property” as defined under Section 101(35A) of the Bankruptcy Code for purposes of Section 365(n) of the United States Bankruptcy Code (the “</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or any analogous provisions in any other country or jurisdiction. The Parties agree that the licensee of such intellectual property under this Agreement shall retain and may fully exercise all of its rights and elections under the Bankruptcy Code, or any analogous provisions in any other country or jurisdiction. If a bankruptcy proceeding is commenced by or against either Party under the Bankruptcy Code or any analogous provisions in any other country or jurisdiction, the non-debtor Party shall be entitled to a complete duplicate of (or complete access to, as appropriate) any intellectual property licensed hereunder, and embodiments of such intellectual property, which, if not already in the non-debtor Party’s possession, shall be delivered to the non-debtor Party within [***] of such request; provided, that the debtor Party is excused from its obligation to deliver such intellectual property to the extent the debtor Party continues to perform all of its obligations under this Agreement and this Agreement has not been rejected pursuant to the Bankruptcy Code or any analogous provision in any other country or jurisdiction.</w:t>
      </w:r>
    </w:p>
    <w:p>
      <w:pPr>
        <w:spacing w:after="0" w:line="19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Section 14.17. </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Neither Party shall be held liable or responsible to the other Party or be deemed to have defaulted under or breached this Agreement for failure or delay in fulfilling or performing any term of this Agreement when such failure or delay is caused by or results from events beyond the reasonable control of the non-performing Party, including fire, flood, earthquake, hurricane, embargo, shortage, pandemic, epidemic, war, act of war (whether war be declared or not), terrorist act, insurrection, riot, civil commotion, strike, lockout or other labor disturbance (whether involving the workforce of the non-performing Party or of any other Person) or act, omission or delay in acting by any governmental authority.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necessary to resolve such force majeure event and the non-performing Party shall use commercially reasonable efforts to remedy its inability to perform.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this page intentionally blank.]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spacing w:after="0" w:line="269" w:lineRule="auto"/>
        <w:rPr>
          <w:sz w:val="20"/>
          <w:szCs w:val="20"/>
          <w:color w:val="auto"/>
        </w:rPr>
      </w:pPr>
      <w:r>
        <w:rPr>
          <w:rFonts w:ascii="Times New Roman" w:cs="Times New Roman" w:eastAsia="Times New Roman" w:hAnsi="Times New Roman"/>
          <w:sz w:val="20"/>
          <w:szCs w:val="20"/>
          <w:color w:val="auto"/>
        </w:rPr>
        <w:t>IN WITNESS WHEREOF, each Party has caused this Agreement to be duly executed by its authorized representative under seal, in duplicate on the Effective Date.</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MIRATI THERAPEUTICS, INC.</w:t>
      </w:r>
    </w:p>
    <w:p>
      <w:pPr>
        <w:spacing w:after="0" w:line="200" w:lineRule="exact"/>
        <w:rPr>
          <w:sz w:val="20"/>
          <w:szCs w:val="20"/>
          <w:color w:val="auto"/>
        </w:rPr>
      </w:pPr>
    </w:p>
    <w:p>
      <w:pPr>
        <w:spacing w:after="0" w:line="2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Dr. Charles M. Baum</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Dr.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42773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3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ORIC PHARMACEUTICALS, INC.</w:t>
      </w:r>
    </w:p>
    <w:p>
      <w:pPr>
        <w:spacing w:after="0" w:line="200" w:lineRule="exact"/>
        <w:rPr>
          <w:sz w:val="20"/>
          <w:szCs w:val="20"/>
          <w:color w:val="auto"/>
        </w:rPr>
      </w:pPr>
    </w:p>
    <w:p>
      <w:pPr>
        <w:spacing w:after="0" w:line="2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Jacob M. Chacko, M.D.</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Jacob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-151130</wp:posOffset>
            </wp:positionV>
            <wp:extent cx="42773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9"/>
          <w:szCs w:val="19"/>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16"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Exhibit B</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308610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16"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Exhibit C</w:t>
      </w:r>
    </w:p>
    <w:p>
      <w:pPr>
        <w:sectPr>
          <w:pgSz w:w="11900" w:h="16838" w:orient="portrait"/>
          <w:cols w:equalWidth="0" w:num="1">
            <w:col w:w="9019"/>
          </w:cols>
          <w:pgMar w:left="1440" w:top="360" w:right="1440"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819785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type w:val="continuous"/>
        </w:sectPr>
      </w:pPr>
    </w:p>
    <w:bookmarkStart w:id="116" w:name="page117"/>
    <w:bookmarkEnd w:id="116"/>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7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CERTAIN INFORMATION HAS BEEN EXCLUDED FROM THIS EXHIBIT BECAUSE IT IS BOTH NOT MATERIAL AND WOULD LIKELY CAUSE COMPETITIVE HARM TO THE REGISTRANT IF PUBLICLY DISCLOSED. OMISSIONS ARE DESIGNATED AS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AND COLLABORATION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ORIC PHARMACEUTICALS,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VORONOI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86"/>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501"/>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I DEFINITIONS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3</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II GRANT OF LICENSE</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14</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III GOVERNANCE</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18</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IV DEVELOPMENT AND REGULATORY ACTIVITIES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20</w:t>
            </w:r>
          </w:p>
        </w:tc>
      </w:tr>
      <w:tr>
        <w:trPr>
          <w:trHeight w:val="256"/>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V MANUFACTURE AND SUPPLY</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27</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VI COMMERCIALIZATION</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29</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VII PAYMENTS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29</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VIII PAYMENTS; BOOKS AND RECORDS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38</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IX CONFIDENTIALITY</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40</w:t>
            </w:r>
          </w:p>
        </w:tc>
      </w:tr>
      <w:tr>
        <w:trPr>
          <w:trHeight w:val="256"/>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 PATENT PROSECUTION AND ENFORCEMENT</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43</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XI TERM AND TERMINATION</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47</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XII EFFECT OF TERMINATION</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48</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XIII REPRESENTATIONS, WARRANTIES AND COVENANTS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50</w:t>
            </w:r>
          </w:p>
        </w:tc>
      </w:tr>
      <w:tr>
        <w:trPr>
          <w:trHeight w:val="256"/>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XIV INDEMNIFICATION; RECALLS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53</w:t>
            </w:r>
          </w:p>
        </w:tc>
      </w:tr>
      <w:tr>
        <w:trPr>
          <w:trHeight w:val="257"/>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XV DISPUTE RESOLUTION</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55</w:t>
            </w:r>
          </w:p>
        </w:tc>
      </w:tr>
      <w:tr>
        <w:trPr>
          <w:trHeight w:val="282"/>
        </w:trPr>
        <w:tc>
          <w:tcPr>
            <w:tcW w:w="854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ARTICLE XVI GENERAL PROVISIONS</w:t>
            </w:r>
          </w:p>
        </w:tc>
        <w:tc>
          <w:tcPr>
            <w:tcW w:w="27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57</w:t>
            </w:r>
          </w:p>
        </w:tc>
      </w:tr>
      <w:tr>
        <w:trPr>
          <w:trHeight w:val="446"/>
        </w:trPr>
        <w:tc>
          <w:tcPr>
            <w:tcW w:w="8540" w:type="dxa"/>
            <w:vAlign w:val="bottom"/>
          </w:tcPr>
          <w:p>
            <w:pPr>
              <w:ind w:left="5500"/>
              <w:spacing w:after="0"/>
              <w:rPr>
                <w:sz w:val="20"/>
                <w:szCs w:val="20"/>
                <w:color w:val="auto"/>
              </w:rPr>
            </w:pPr>
            <w:r>
              <w:rPr>
                <w:rFonts w:ascii="Times New Roman" w:cs="Times New Roman" w:eastAsia="Times New Roman" w:hAnsi="Times New Roman"/>
                <w:sz w:val="22"/>
                <w:szCs w:val="22"/>
                <w:color w:val="auto"/>
              </w:rPr>
              <w:t>-2-</w:t>
            </w:r>
          </w:p>
        </w:tc>
        <w:tc>
          <w:tcPr>
            <w:tcW w:w="2700" w:type="dxa"/>
            <w:vAlign w:val="bottom"/>
          </w:tcPr>
          <w:p>
            <w:pPr>
              <w:spacing w:after="0"/>
              <w:rPr>
                <w:sz w:val="24"/>
                <w:szCs w:val="24"/>
                <w:color w:val="auto"/>
              </w:rPr>
            </w:pPr>
          </w:p>
        </w:tc>
      </w:tr>
      <w:tr>
        <w:trPr>
          <w:trHeight w:val="211"/>
        </w:trPr>
        <w:tc>
          <w:tcPr>
            <w:tcW w:w="8540" w:type="dxa"/>
            <w:vAlign w:val="bottom"/>
            <w:tcBorders>
              <w:bottom w:val="single" w:sz="8" w:color="9A9A9A"/>
            </w:tcBorders>
          </w:tcPr>
          <w:p>
            <w:pPr>
              <w:spacing w:after="0"/>
              <w:rPr>
                <w:sz w:val="18"/>
                <w:szCs w:val="18"/>
                <w:color w:val="auto"/>
              </w:rPr>
            </w:pPr>
          </w:p>
        </w:tc>
        <w:tc>
          <w:tcPr>
            <w:tcW w:w="27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18" w:name="page119"/>
    <w:bookmarkEnd w:id="118"/>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LICENSE AND COLLABORATION AGREEMENT</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LICENSE AND COLLABORATION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19</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of October, 2020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entered into between Voronoi Inc., a limited corporation duly established under the Republic of Korea’s commercial code having offices at S 18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 Songdogwahak-ro 32[IT Center], Yeonsu-gu, Incheon, Korea (“</w:t>
      </w:r>
      <w:r>
        <w:rPr>
          <w:rFonts w:ascii="Times New Roman" w:cs="Times New Roman" w:eastAsia="Times New Roman" w:hAnsi="Times New Roman"/>
          <w:sz w:val="22"/>
          <w:szCs w:val="22"/>
          <w:b w:val="1"/>
          <w:bCs w:val="1"/>
          <w:color w:val="auto"/>
        </w:rPr>
        <w:t>Voronoi</w:t>
      </w:r>
      <w:r>
        <w:rPr>
          <w:rFonts w:ascii="Times New Roman" w:cs="Times New Roman" w:eastAsia="Times New Roman" w:hAnsi="Times New Roman"/>
          <w:sz w:val="22"/>
          <w:szCs w:val="22"/>
          <w:color w:val="auto"/>
        </w:rPr>
        <w:t>”) and ORIC Pharmaceuticals, Inc., a Delaware corporation having business offices at 240 East Grand Ave, 2nd Floor, South San Francisco, CA, 94080 (“</w:t>
      </w:r>
      <w:r>
        <w:rPr>
          <w:rFonts w:ascii="Times New Roman" w:cs="Times New Roman" w:eastAsia="Times New Roman" w:hAnsi="Times New Roman"/>
          <w:sz w:val="22"/>
          <w:szCs w:val="22"/>
          <w:b w:val="1"/>
          <w:bCs w:val="1"/>
          <w:color w:val="auto"/>
        </w:rPr>
        <w:t>ORIC</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0" w:lineRule="exact"/>
        <w:rPr>
          <w:sz w:val="20"/>
          <w:szCs w:val="20"/>
          <w:color w:val="auto"/>
        </w:rPr>
      </w:pPr>
    </w:p>
    <w:p>
      <w:pPr>
        <w:ind w:left="1180" w:hanging="423"/>
        <w:spacing w:after="0"/>
        <w:tabs>
          <w:tab w:leader="none" w:pos="118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Voronoi has developed certain proprietary EGFR/HER2 exon 20 inhibitors and controls certain related Patents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know-how;</w:t>
      </w:r>
    </w:p>
    <w:p>
      <w:pPr>
        <w:spacing w:after="0" w:line="195" w:lineRule="exact"/>
        <w:rPr>
          <w:rFonts w:ascii="Times New Roman" w:cs="Times New Roman" w:eastAsia="Times New Roman" w:hAnsi="Times New Roman"/>
          <w:sz w:val="21"/>
          <w:szCs w:val="21"/>
          <w:color w:val="auto"/>
        </w:rPr>
      </w:pPr>
    </w:p>
    <w:p>
      <w:pPr>
        <w:ind w:right="40" w:firstLine="757"/>
        <w:spacing w:after="0" w:line="258"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and Voronoi wish to collaborate on the further development of EGFR/HER2 exon 20 inhibitors in the Republic of Korea;</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desires to obtain from Voronoi and Voronoi desires to grant to ORIC certain rights and licenses with respect to the development and commercialization of EGFR/HER2 exon 20 inhibitors in the ORIC Territory, all on the terms and conditions set forth herein; and</w:t>
      </w:r>
    </w:p>
    <w:p>
      <w:pPr>
        <w:spacing w:after="0" w:line="186"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entering into this Agreement, the Parties are entering into a stock issuance agreement and a standstill and stock restriction agreement (collectively, the “</w:t>
      </w:r>
      <w:r>
        <w:rPr>
          <w:rFonts w:ascii="Times New Roman" w:cs="Times New Roman" w:eastAsia="Times New Roman" w:hAnsi="Times New Roman"/>
          <w:sz w:val="22"/>
          <w:szCs w:val="22"/>
          <w:b w:val="1"/>
          <w:bCs w:val="1"/>
          <w:color w:val="auto"/>
        </w:rPr>
        <w:t>Stock Issuance Agreements</w:t>
      </w:r>
      <w:r>
        <w:rPr>
          <w:rFonts w:ascii="Times New Roman" w:cs="Times New Roman" w:eastAsia="Times New Roman" w:hAnsi="Times New Roman"/>
          <w:sz w:val="22"/>
          <w:szCs w:val="22"/>
          <w:color w:val="auto"/>
        </w:rPr>
        <w:t>”), pursuant to which ORIC will issue to Voronoi shares of common stock of ORIC on the terms and conditions set forth therein.</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covenants herein contained, and for other good and valuable consideration, the receipt and sufficiency of which are hereby acknowledged, the Parties hereby agree as follows: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Party means any Person that, directly or indirectly, controls, is controlled by, or is under common control with such Party, as the case may be. As used in this Section 1.1, the word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with correlative meaning, the terms “controlled by” or “under the common control with”) means the actual power, either directly or indirectly through one or more intermediaries, to direct or cause the direction of the management and policies of such Person, whether by the ownership of more than fifty percent (50%) of the voting share capital in such Person, or by contract or otherwise.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the aggregate Net Sales of all Licensed Products for a particular calendar year.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Clinical Studies</w:t>
      </w:r>
      <w:r>
        <w:rPr>
          <w:rFonts w:ascii="Times New Roman" w:cs="Times New Roman" w:eastAsia="Times New Roman" w:hAnsi="Times New Roman"/>
          <w:sz w:val="22"/>
          <w:szCs w:val="22"/>
          <w:color w:val="auto"/>
        </w:rPr>
        <w:t>” means any human clinical study or clinical trial of a Licensed Product.</w:t>
      </w:r>
    </w:p>
    <w:p>
      <w:pPr>
        <w:spacing w:after="0" w:line="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19" w:name="page120"/>
    <w:bookmarkEnd w:id="119"/>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CMC Data</w:t>
      </w:r>
      <w:r>
        <w:rPr>
          <w:rFonts w:ascii="Times New Roman" w:cs="Times New Roman" w:eastAsia="Times New Roman" w:hAnsi="Times New Roman"/>
          <w:sz w:val="22"/>
          <w:szCs w:val="22"/>
          <w:color w:val="auto"/>
        </w:rPr>
        <w:t>” means the analytical and quality control data, stability data, and other chemistry, manufacturing and control data that is filed or required to be filed to obtain authorization to conduct Clinical Studies or to obtain or maintain Regulatory Approval for a Licensed Product.</w:t>
      </w:r>
    </w:p>
    <w:p>
      <w:pPr>
        <w:spacing w:after="0" w:line="16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color w:val="auto"/>
        </w:rPr>
        <w:t xml:space="preserve">1.5 “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Licensed Product that is comprised of or contains one (1) or more Licensed Compounds as an active ingredient together with one (1) or more Other Active Ingredients, whether in the same or different formulations, so long as both the Licensed Compounds(s) and Other Active Ingredient(s) are sold as a single unit or for a single price.</w:t>
      </w:r>
    </w:p>
    <w:p>
      <w:pPr>
        <w:spacing w:after="0" w:line="16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1.6 “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and all activities related to pre-marketing, launching, marketing, promotion (including advertising and detailing), labeling, bidding and listing, pricing and reimbursement, distribution, storage, handling, offering for sale, selling, having sold, importing, having imported, exporting, having exported, distributing, having distributed, providing customer service and support, conducting medical affairs, conducting post-marketing safety surveillance and reporting of or otherwise commercializing Licensed Compounds, Licensed Products and/or Companion Diagnostics.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have the correlative meanings.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t>
      </w:r>
    </w:p>
    <w:p>
      <w:pPr>
        <w:spacing w:after="0" w:line="22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Companion Diagnostic</w:t>
      </w:r>
      <w:r>
        <w:rPr>
          <w:rFonts w:ascii="Times New Roman" w:cs="Times New Roman" w:eastAsia="Times New Roman" w:hAnsi="Times New Roman"/>
          <w:sz w:val="22"/>
          <w:szCs w:val="22"/>
          <w:color w:val="auto"/>
        </w:rPr>
        <w:t>” means a product, test or procedure to identify patients who may or may not benefit from a Licensed Product, to monitor the progress or effect of therapy using or exposure levels of a Licensed Product, or to provide information used to measure, guide or inform the diagnosis, treatment or prognosis of a patient with a Licensed Product.</w:t>
      </w:r>
    </w:p>
    <w:p>
      <w:pPr>
        <w:spacing w:after="0" w:line="16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Compulsory License</w:t>
      </w:r>
      <w:r>
        <w:rPr>
          <w:rFonts w:ascii="Times New Roman" w:cs="Times New Roman" w:eastAsia="Times New Roman" w:hAnsi="Times New Roman"/>
          <w:sz w:val="22"/>
          <w:szCs w:val="22"/>
          <w:color w:val="auto"/>
        </w:rPr>
        <w:t>” means, with respect to a Licensed Product in a jurisdiction within the ORIC Territory, a license, or rights granted, or compelled to be granted, to a Third Party by a governmental authority within such jurisdiction to Commercialize such Licensed Product in such jurisdiction.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Compulsory Licensee</w:t>
      </w:r>
      <w:r>
        <w:rPr>
          <w:rFonts w:ascii="Times New Roman" w:cs="Times New Roman" w:eastAsia="Times New Roman" w:hAnsi="Times New Roman"/>
          <w:sz w:val="22"/>
          <w:szCs w:val="22"/>
          <w:color w:val="auto"/>
        </w:rPr>
        <w:t>” means a Third Party granted a Compulsory License.</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1.11 “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any variations such as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in the context of intellectual property rights, material, data and/or other information or subject matter, means the possession by a Person of the ability (whether by ownership or license, other than pursuant to a license granted to such Person by a Party to this Agreement) to grant the applicable access to, or a license or sublicense under this Agreement, without violating the terms of any agreement or other arrangement with any Third Party.</w:t>
      </w:r>
    </w:p>
    <w:p>
      <w:pPr>
        <w:spacing w:after="0" w:line="17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means, with respect to a product, technology, process or method, that in the absence of ownership of or a license granted under a Valid Claim, the manufacture, use, offer for sale, sale or importation of such product or the practice of such technology, process or method would infringe such Valid Claim (or, in the case of a Valid Claim that has not yet issued, would infringe such Valid Claim if it were to issue as then being prosecuted).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Covered by</w:t>
      </w:r>
      <w:r>
        <w:rPr>
          <w:rFonts w:ascii="Times New Roman" w:cs="Times New Roman" w:eastAsia="Times New Roman" w:hAnsi="Times New Roman"/>
          <w:sz w:val="22"/>
          <w:szCs w:val="22"/>
          <w:color w:val="auto"/>
        </w:rPr>
        <w:t>” have the correlative meanings.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0" w:name="page121"/>
    <w:bookmarkEnd w:id="12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1.13 “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means any and all manufacturing data (including without limitation, CMC Data), research data, pharmacology data, preclinical data, clinical data and/or all Regulatory Filings and/or other regulatory documentation, information and submissions pertaining to, or made in association with an IND, Marketing Approval Application, or Regulatory Approval, for a Licensed Compound, Licensed Product and/or Companion Diagnostic, in each case to the extent Controlled by Voronoi as of the Effective Date or during the term of this Agreement.</w:t>
      </w:r>
    </w:p>
    <w:p>
      <w:pPr>
        <w:spacing w:after="0" w:line="17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means (a) non-clinical and clinical research and drug development activities with respect to Licensed Compounds and/or Licensed Products, including nonclinical development, toxicology, pharmacology, statistical analysis, Clinical Studies (including pre- and post-approval studies), regulatory affairs, and regulatory activities pertaining to designing and carrying out Clinical Studies and obtaining Regulatory Approvals (excluding regulatory activities directed to obtaining pricing and reimbursement approvals), (b) Manufacturing Process development and generation of CMC Data for Licensed Compounds and/or Licensed Products and (c) non-clinical and clinical research and development activities with respect to a Companion Diagnostic.</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Development and Research Costs</w:t>
      </w:r>
      <w:r>
        <w:rPr>
          <w:rFonts w:ascii="Times New Roman" w:cs="Times New Roman" w:eastAsia="Times New Roman" w:hAnsi="Times New Roman"/>
          <w:sz w:val="22"/>
          <w:szCs w:val="22"/>
          <w:color w:val="auto"/>
        </w:rPr>
        <w:t>” means [***].</w:t>
      </w:r>
    </w:p>
    <w:p>
      <w:pPr>
        <w:spacing w:after="0" w:line="19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Development and Research Cost Threshold</w:t>
      </w:r>
      <w:r>
        <w:rPr>
          <w:rFonts w:ascii="Times New Roman" w:cs="Times New Roman" w:eastAsia="Times New Roman" w:hAnsi="Times New Roman"/>
          <w:sz w:val="22"/>
          <w:szCs w:val="22"/>
          <w:color w:val="auto"/>
        </w:rPr>
        <w:t>” means the first [***] of Development and Research Costs, which Voronoi shall solely bear.</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Existing CMO</w:t>
      </w:r>
      <w:r>
        <w:rPr>
          <w:rFonts w:ascii="Times New Roman" w:cs="Times New Roman" w:eastAsia="Times New Roman" w:hAnsi="Times New Roman"/>
          <w:sz w:val="22"/>
          <w:szCs w:val="22"/>
          <w:color w:val="auto"/>
        </w:rPr>
        <w:t>” means each of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U.S. Food and Drug Administration, or any successor entity thereto performing similar functions.</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any and all indications and uses, including diagnostic uses.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on a country-by-country basis, the first commercial transfer or disposition for monetary value of a Licensed Product in a country in the ORIC Territory for use or consumption by a Third Party end user, in each case, after all Regulatory Approvals have been obtained for such country and where such disposition or transfer results in a recordable Net Sale in accordance with ORIC’s, or its Affiliate’s or Sublicensee’s, applicable accounting practices (consistently applied).</w:t>
      </w:r>
    </w:p>
    <w:p>
      <w:pPr>
        <w:spacing w:after="0" w:line="17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First Indication</w:t>
      </w:r>
      <w:r>
        <w:rPr>
          <w:rFonts w:ascii="Times New Roman" w:cs="Times New Roman" w:eastAsia="Times New Roman" w:hAnsi="Times New Roman"/>
          <w:sz w:val="22"/>
          <w:szCs w:val="22"/>
          <w:color w:val="auto"/>
        </w:rPr>
        <w:t>” means, on a country-by-country basis, the first cancer Indication (a) which a Licensed Product that is being tested in a Clinical Study is intended to treat in such Clinical Study or (b) for which a Licensed Product has received Regulatory Approval from the applicable Regulatory Authority in (i) the U.S., (ii) a Major European Union Country or (iii) Japan, as applicable.</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1.22 “ </w:t>
      </w:r>
      <w:r>
        <w:rPr>
          <w:rFonts w:ascii="Times New Roman" w:cs="Times New Roman" w:eastAsia="Times New Roman" w:hAnsi="Times New Roman"/>
          <w:sz w:val="22"/>
          <w:szCs w:val="22"/>
          <w:b w:val="1"/>
          <w:bCs w:val="1"/>
          <w:color w:val="auto"/>
        </w:rPr>
        <w:t>Generic Version</w:t>
      </w:r>
      <w:r>
        <w:rPr>
          <w:rFonts w:ascii="Times New Roman" w:cs="Times New Roman" w:eastAsia="Times New Roman" w:hAnsi="Times New Roman"/>
          <w:sz w:val="22"/>
          <w:szCs w:val="22"/>
          <w:color w:val="auto"/>
        </w:rPr>
        <w:t>” means, with respect to a particular Licensed Product and a particular country, any pharmaceutical product that: (a) contains the same active pharmaceutical ingredient(s) as such Licensed Product, (b) is approved by the Regulatory Authority in such country as a substitutable generic for such Licensed Product [***], including through an ANDA or an application under §505(b)(2) of the U.S. Federal Food, Drug and Cosmetic Act, or any enabling legislation thereof, or any similar procedure outside the United States, in each case now or in the future; and (c) is sold in such country by a Person other than ORIC, its Affiliates or Sublicensees.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1" w:name="page122"/>
    <w:bookmarkEnd w:id="12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Good Clinical Practice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the current standards for clinical studies for pharmaceuticals, as set forth in the ICH guidelines and applicable regulations promulgated thereunder, as amended from time to time, and such standards of good clinical practice as are required by the European Union and other organizations and governmental agencies in countries in which a Licensed Product is intended to be sold to the extent such standards are not less stringent than United States Good Clinical Practice.</w:t>
      </w:r>
    </w:p>
    <w:p>
      <w:pPr>
        <w:spacing w:after="0" w:line="17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1.24 “</w:t>
      </w:r>
      <w:r>
        <w:rPr>
          <w:rFonts w:ascii="Times New Roman" w:cs="Times New Roman" w:eastAsia="Times New Roman" w:hAnsi="Times New Roman"/>
          <w:sz w:val="21"/>
          <w:szCs w:val="21"/>
          <w:b w:val="1"/>
          <w:bCs w:val="1"/>
          <w:color w:val="auto"/>
        </w:rPr>
        <w:t>Good Laboratory Practice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GLP</w:t>
      </w:r>
      <w:r>
        <w:rPr>
          <w:rFonts w:ascii="Times New Roman" w:cs="Times New Roman" w:eastAsia="Times New Roman" w:hAnsi="Times New Roman"/>
          <w:sz w:val="21"/>
          <w:szCs w:val="21"/>
          <w:color w:val="auto"/>
        </w:rPr>
        <w:t>” means the current standards for laboratory activities for pharmaceuticals, as set forth in the FDA’s Good Laboratory Practice regulations or the Good Laboratory Practice principles of the Organization for Economic Co-Operation and Development, as amended from time to time, and such standards of good laboratory practice as are required by the European Union and other organizations and governmental agencies in countries in which a Licensed Product is intended to be sold, to the extent such standards are not less stringent than United States Good Laboratory Practice.</w:t>
      </w:r>
    </w:p>
    <w:p>
      <w:pPr>
        <w:spacing w:after="0" w:line="15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1.25 “ </w:t>
      </w:r>
      <w:r>
        <w:rPr>
          <w:rFonts w:ascii="Times New Roman" w:cs="Times New Roman" w:eastAsia="Times New Roman" w:hAnsi="Times New Roman"/>
          <w:sz w:val="22"/>
          <w:szCs w:val="22"/>
          <w:b w:val="1"/>
          <w:bCs w:val="1"/>
          <w:color w:val="auto"/>
        </w:rPr>
        <w:t>Good Manufacturing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current good manufacturing practices and standards as provided for (and as amended from time to time) in (i) European Community Directive 91/356/EEC (Principles and Guidelines of Good Manufacturing Practice for Medicinal Products), (ii) the principles detailed in the U.S. Current Good Manufacturing Practices, 21 C.F.R. Sections 210, 211, 601 and 610, (iii) the principles detailed in the ICH Q7 guidelines, and (iv) the equivalent applicable law in any relevant country, each as may be amended and applicable from time to time, subject to any arrangements, additions, or clarifications agreed in writing from time to time between the Parties.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as defined in the U.S. Federal Food, Drug and Cosmetic Act and the regulations promulgated thereunder, or comparable filing in a foreign jurisdiction, in each case with respect to a Licensed Product for use within the Field.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means, with respect to any Clinical Study, the first dosing of the fifth human subject in such Clinical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Study.</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means any invention, whether or not patentable, made in the course and as a result of the conduct of activities conducted pursuant to this Agreement.</w:t>
      </w:r>
    </w:p>
    <w:p>
      <w:pPr>
        <w:spacing w:after="0" w:line="16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1.30 “ </w:t>
      </w:r>
      <w:r>
        <w:rPr>
          <w:rFonts w:ascii="Times New Roman" w:cs="Times New Roman" w:eastAsia="Times New Roman" w:hAnsi="Times New Roman"/>
          <w:sz w:val="22"/>
          <w:szCs w:val="22"/>
          <w:b w:val="1"/>
          <w:bCs w:val="1"/>
          <w:color w:val="auto"/>
        </w:rPr>
        <w:t>Joint Invention</w:t>
      </w:r>
      <w:r>
        <w:rPr>
          <w:rFonts w:ascii="Times New Roman" w:cs="Times New Roman" w:eastAsia="Times New Roman" w:hAnsi="Times New Roman"/>
          <w:sz w:val="22"/>
          <w:szCs w:val="22"/>
          <w:color w:val="auto"/>
        </w:rPr>
        <w:t>” means any Invention made jointly by one or more employees, consultants or contractors of ORIC or any of its Affiliates and one or more employees, consultants or contractors of Voronoi or any of its Affiliates.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Joint Patent</w:t>
      </w:r>
      <w:r>
        <w:rPr>
          <w:rFonts w:ascii="Times New Roman" w:cs="Times New Roman" w:eastAsia="Times New Roman" w:hAnsi="Times New Roman"/>
          <w:sz w:val="22"/>
          <w:szCs w:val="22"/>
          <w:color w:val="auto"/>
        </w:rPr>
        <w:t>” means any Patent claiming a Joint Invention.</w:t>
      </w:r>
    </w:p>
    <w:p>
      <w:pPr>
        <w:spacing w:after="0" w:line="22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1.32 “ </w:t>
      </w:r>
      <w:r>
        <w:rPr>
          <w:rFonts w:ascii="Times New Roman" w:cs="Times New Roman" w:eastAsia="Times New Roman" w:hAnsi="Times New Roman"/>
          <w:sz w:val="22"/>
          <w:szCs w:val="22"/>
          <w:b w:val="1"/>
          <w:bCs w:val="1"/>
          <w:color w:val="auto"/>
        </w:rPr>
        <w:t>Licensed Compound</w:t>
      </w:r>
      <w:r>
        <w:rPr>
          <w:rFonts w:ascii="Times New Roman" w:cs="Times New Roman" w:eastAsia="Times New Roman" w:hAnsi="Times New Roman"/>
          <w:sz w:val="22"/>
          <w:szCs w:val="22"/>
          <w:color w:val="auto"/>
        </w:rPr>
        <w:t>” means (a) any pharmaceutically active compound Controlled by Voronoi or any of its Affiliates, [***].</w:t>
      </w: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2" w:name="page123"/>
    <w:bookmarkEnd w:id="122"/>
    <w:p>
      <w:pPr>
        <w:jc w:val="both"/>
        <w:ind w:firstLine="749"/>
        <w:spacing w:after="0" w:line="299" w:lineRule="auto"/>
        <w:rPr>
          <w:sz w:val="20"/>
          <w:szCs w:val="20"/>
          <w:color w:val="auto"/>
        </w:rPr>
      </w:pPr>
      <w:r>
        <w:rPr>
          <w:rFonts w:ascii="Times New Roman" w:cs="Times New Roman" w:eastAsia="Times New Roman" w:hAnsi="Times New Roman"/>
          <w:sz w:val="21"/>
          <w:szCs w:val="21"/>
          <w:color w:val="auto"/>
        </w:rPr>
        <w:t xml:space="preserve">1.33 “ </w:t>
      </w:r>
      <w:r>
        <w:rPr>
          <w:rFonts w:ascii="Times New Roman" w:cs="Times New Roman" w:eastAsia="Times New Roman" w:hAnsi="Times New Roman"/>
          <w:sz w:val="21"/>
          <w:szCs w:val="21"/>
          <w:b w:val="1"/>
          <w:bCs w:val="1"/>
          <w:color w:val="auto"/>
        </w:rPr>
        <w:t>Licensed Product</w:t>
      </w:r>
      <w:r>
        <w:rPr>
          <w:rFonts w:ascii="Times New Roman" w:cs="Times New Roman" w:eastAsia="Times New Roman" w:hAnsi="Times New Roman"/>
          <w:sz w:val="21"/>
          <w:szCs w:val="21"/>
          <w:color w:val="auto"/>
        </w:rPr>
        <w:t>” means any pharmaceutical product containing, incorporating or comprising a Licensed Compound as an active pharmaceutical ingredient in any form, formulation, mode of administration, presentation or dosage form.</w:t>
      </w:r>
    </w:p>
    <w:p>
      <w:pPr>
        <w:spacing w:after="0" w:line="11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Licensed Target</w:t>
      </w:r>
      <w:r>
        <w:rPr>
          <w:rFonts w:ascii="Times New Roman" w:cs="Times New Roman" w:eastAsia="Times New Roman" w:hAnsi="Times New Roman"/>
          <w:sz w:val="22"/>
          <w:szCs w:val="22"/>
          <w:color w:val="auto"/>
        </w:rPr>
        <w:t>” means, individually, each of the following having one or more exon 20 insertion mutations: (a) EGFR, (b) HER2 and (c) [***]; collectively, such targets the “</w:t>
      </w:r>
      <w:r>
        <w:rPr>
          <w:rFonts w:ascii="Times New Roman" w:cs="Times New Roman" w:eastAsia="Times New Roman" w:hAnsi="Times New Roman"/>
          <w:sz w:val="22"/>
          <w:szCs w:val="22"/>
          <w:b w:val="1"/>
          <w:bCs w:val="1"/>
          <w:color w:val="auto"/>
        </w:rPr>
        <w:t>Licensed Targets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1.35 “ </w:t>
      </w:r>
      <w:r>
        <w:rPr>
          <w:rFonts w:ascii="Times New Roman" w:cs="Times New Roman" w:eastAsia="Times New Roman" w:hAnsi="Times New Roman"/>
          <w:sz w:val="22"/>
          <w:szCs w:val="22"/>
          <w:b w:val="1"/>
          <w:bCs w:val="1"/>
          <w:color w:val="auto"/>
        </w:rPr>
        <w:t>Major European Union Country</w:t>
      </w:r>
      <w:r>
        <w:rPr>
          <w:rFonts w:ascii="Times New Roman" w:cs="Times New Roman" w:eastAsia="Times New Roman" w:hAnsi="Times New Roman"/>
          <w:sz w:val="22"/>
          <w:szCs w:val="22"/>
          <w:color w:val="auto"/>
        </w:rPr>
        <w:t>” means, individually, each of France, Germany, Italy and Spain; and collectively, such countries the “</w:t>
      </w:r>
      <w:r>
        <w:rPr>
          <w:rFonts w:ascii="Times New Roman" w:cs="Times New Roman" w:eastAsia="Times New Roman" w:hAnsi="Times New Roman"/>
          <w:sz w:val="22"/>
          <w:szCs w:val="22"/>
          <w:b w:val="1"/>
          <w:bCs w:val="1"/>
          <w:color w:val="auto"/>
        </w:rPr>
        <w:t>Major European Union Countries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Major Market</w:t>
      </w:r>
      <w:r>
        <w:rPr>
          <w:rFonts w:ascii="Times New Roman" w:cs="Times New Roman" w:eastAsia="Times New Roman" w:hAnsi="Times New Roman"/>
          <w:sz w:val="22"/>
          <w:szCs w:val="22"/>
          <w:color w:val="auto"/>
        </w:rPr>
        <w:t>” means, individually, each of the United States, the Major European Union Countries and Japan; and collectively, such countries the “</w:t>
      </w:r>
      <w:r>
        <w:rPr>
          <w:rFonts w:ascii="Times New Roman" w:cs="Times New Roman" w:eastAsia="Times New Roman" w:hAnsi="Times New Roman"/>
          <w:sz w:val="22"/>
          <w:szCs w:val="22"/>
          <w:b w:val="1"/>
          <w:bCs w:val="1"/>
          <w:color w:val="auto"/>
        </w:rPr>
        <w:t>Major Markets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Manufacturing Process</w:t>
      </w:r>
      <w:r>
        <w:rPr>
          <w:rFonts w:ascii="Times New Roman" w:cs="Times New Roman" w:eastAsia="Times New Roman" w:hAnsi="Times New Roman"/>
          <w:sz w:val="22"/>
          <w:szCs w:val="22"/>
          <w:color w:val="auto"/>
        </w:rPr>
        <w:t>” means the process for the manufacture of a Licensed Compound or Licensed Product, as applicable, including without limitation the manufacturing methods, test methods, specifications, materials, and other procedures, directions and controls associated with the manufacture and testing of such Licensed Compound or Licensed Product, as applicable.</w:t>
      </w:r>
    </w:p>
    <w:p>
      <w:pPr>
        <w:spacing w:after="0" w:line="16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Marketing Approval Application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means an application requesting Regulatory Approval for the marketing and/or commercialization of a Licensed Product for a particular Indication in a particular jurisdiction filed with the relevant Regulatory Authorities in such jurisdiction.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b w:val="1"/>
          <w:bCs w:val="1"/>
          <w:color w:val="auto"/>
        </w:rPr>
        <w:t>MFDS</w:t>
      </w:r>
      <w:r>
        <w:rPr>
          <w:rFonts w:ascii="Times New Roman" w:cs="Times New Roman" w:eastAsia="Times New Roman" w:hAnsi="Times New Roman"/>
          <w:sz w:val="22"/>
          <w:szCs w:val="22"/>
          <w:color w:val="auto"/>
        </w:rPr>
        <w:t>” means the Ministry of Food and Drug Safety in the Republic of Korea.</w:t>
      </w:r>
    </w:p>
    <w:p>
      <w:pPr>
        <w:spacing w:after="0" w:line="22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1.40 “ </w:t>
      </w:r>
      <w:r>
        <w:rPr>
          <w:rFonts w:ascii="Times New Roman" w:cs="Times New Roman" w:eastAsia="Times New Roman" w:hAnsi="Times New Roman"/>
          <w:sz w:val="22"/>
          <w:szCs w:val="22"/>
          <w:b w:val="1"/>
          <w:bCs w:val="1"/>
          <w:color w:val="auto"/>
        </w:rPr>
        <w:t>Net Receipts</w:t>
      </w:r>
      <w:r>
        <w:rPr>
          <w:rFonts w:ascii="Times New Roman" w:cs="Times New Roman" w:eastAsia="Times New Roman" w:hAnsi="Times New Roman"/>
          <w:sz w:val="22"/>
          <w:szCs w:val="22"/>
          <w:color w:val="auto"/>
        </w:rPr>
        <w:t>” means all amounts actually received by ORIC or any of its Affiliates from any Compulsory Licensee in consideration of the sale of a Licensed Product.</w:t>
      </w:r>
    </w:p>
    <w:p>
      <w:pPr>
        <w:spacing w:after="0" w:line="15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sales revenues received by ORIC, its Affiliates and/or Sublicensees, from sales of Licensed Products to Third Party customers, less reasonable and customary deductions for the following items incurred with respect to sales to such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-356870</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ind w:left="1940" w:hanging="435"/>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cash and quantity discounts;</w:t>
      </w:r>
    </w:p>
    <w:p>
      <w:pPr>
        <w:spacing w:after="0" w:line="192" w:lineRule="exact"/>
        <w:rPr>
          <w:rFonts w:ascii="Times New Roman" w:cs="Times New Roman" w:eastAsia="Times New Roman" w:hAnsi="Times New Roman"/>
          <w:sz w:val="22"/>
          <w:szCs w:val="22"/>
          <w:color w:val="auto"/>
        </w:rPr>
      </w:pPr>
    </w:p>
    <w:p>
      <w:pPr>
        <w:jc w:val="both"/>
        <w:ind w:firstLine="1505"/>
        <w:spacing w:after="0" w:line="230" w:lineRule="auto"/>
        <w:tabs>
          <w:tab w:leader="none" w:pos="19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reductions including co-pay assistance, compulsory refunds and any other patient payment assistance programs, retroactive price adjustments with respect to sales of a Licensed Product, chargebacks and rebates, retroactive or otherwise, imposed by, negotiated with or otherwise paid to governmental authorities (or their respective agencies, purchasers and reimbursers) or to trade customers, including wholesalers and chain and pharmacy buying groups, in each case related specifically to such Licensed Product;;</w:t>
      </w:r>
    </w:p>
    <w:p>
      <w:pPr>
        <w:spacing w:after="0" w:line="164" w:lineRule="exact"/>
        <w:rPr>
          <w:rFonts w:ascii="Times New Roman" w:cs="Times New Roman" w:eastAsia="Times New Roman" w:hAnsi="Times New Roman"/>
          <w:sz w:val="22"/>
          <w:szCs w:val="22"/>
          <w:color w:val="auto"/>
        </w:rPr>
      </w:pPr>
    </w:p>
    <w:p>
      <w:pPr>
        <w:ind w:left="1980" w:hanging="475"/>
        <w:spacing w:after="0"/>
        <w:tabs>
          <w:tab w:leader="none" w:pos="19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repaid or credited by reason of rejections, defects, damaged, outdated or recalled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-13970</wp:posOffset>
            </wp:positionV>
            <wp:extent cx="1479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47955" cy="8255"/>
                    </a:xfrm>
                    <a:prstGeom prst="rect">
                      <a:avLst/>
                    </a:prstGeom>
                    <a:noFill/>
                  </pic:spPr>
                </pic:pic>
              </a:graphicData>
            </a:graphic>
          </wp:anchor>
        </w:drawing>
      </w:r>
    </w:p>
    <w:p>
      <w:pPr>
        <w:ind w:right="20"/>
        <w:spacing w:after="0" w:line="217" w:lineRule="auto"/>
        <w:rPr>
          <w:sz w:val="20"/>
          <w:szCs w:val="20"/>
          <w:color w:val="auto"/>
        </w:rPr>
      </w:pPr>
      <w:r>
        <w:rPr>
          <w:rFonts w:ascii="Times New Roman" w:cs="Times New Roman" w:eastAsia="Times New Roman" w:hAnsi="Times New Roman"/>
          <w:sz w:val="22"/>
          <w:szCs w:val="22"/>
          <w:color w:val="auto"/>
        </w:rPr>
        <w:t>Products, returned goods allowance, billing errors, or because of retroactive price reductions, including rebates or wholesaler chargebacks, as well as credit card charges (including processing fees);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3" w:name="page124"/>
    <w:bookmarkEnd w:id="123"/>
    <w:p>
      <w:pPr>
        <w:ind w:left="1480" w:hanging="442"/>
        <w:spacing w:after="0"/>
        <w:tabs>
          <w:tab w:leader="none" w:pos="148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 fees paid during the relevant time period to [***] relating to such Licensed Product;</w:t>
      </w:r>
    </w:p>
    <w:p>
      <w:pPr>
        <w:spacing w:after="0" w:line="219" w:lineRule="exact"/>
        <w:rPr>
          <w:rFonts w:ascii="Times New Roman" w:cs="Times New Roman" w:eastAsia="Times New Roman" w:hAnsi="Times New Roman"/>
          <w:sz w:val="22"/>
          <w:szCs w:val="22"/>
          <w:color w:val="auto"/>
        </w:rPr>
      </w:pPr>
    </w:p>
    <w:p>
      <w:pPr>
        <w:ind w:firstLine="1038"/>
        <w:spacing w:after="0" w:line="258" w:lineRule="auto"/>
        <w:tabs>
          <w:tab w:leader="none" w:pos="147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paid to [***] (excluding any sales representatives of ORIC or any of its Affiliates or Sublicensees) with respect to a Licensed Product;</w:t>
      </w:r>
    </w:p>
    <w:p>
      <w:pPr>
        <w:spacing w:after="0" w:line="158" w:lineRule="exact"/>
        <w:rPr>
          <w:rFonts w:ascii="Times New Roman" w:cs="Times New Roman" w:eastAsia="Times New Roman" w:hAnsi="Times New Roman"/>
          <w:sz w:val="22"/>
          <w:szCs w:val="22"/>
          <w:color w:val="auto"/>
        </w:rPr>
      </w:pPr>
    </w:p>
    <w:p>
      <w:pPr>
        <w:ind w:firstLine="1038"/>
        <w:spacing w:after="0" w:line="271" w:lineRule="auto"/>
        <w:tabs>
          <w:tab w:leader="none" w:pos="146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tariffs, taxes, customs duties and other governmental charges (including any tax such as a value added, sales or similar tax or government charge, except to the extent reimbursed, [***];</w:t>
      </w:r>
    </w:p>
    <w:p>
      <w:pPr>
        <w:spacing w:after="0" w:line="144" w:lineRule="exact"/>
        <w:rPr>
          <w:rFonts w:ascii="Times New Roman" w:cs="Times New Roman" w:eastAsia="Times New Roman" w:hAnsi="Times New Roman"/>
          <w:sz w:val="22"/>
          <w:szCs w:val="22"/>
          <w:color w:val="auto"/>
        </w:rPr>
      </w:pPr>
    </w:p>
    <w:p>
      <w:pPr>
        <w:ind w:left="1480" w:hanging="442"/>
        <w:spacing w:after="0"/>
        <w:tabs>
          <w:tab w:leader="none" w:pos="148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deduction of [***] of such sales revenues from Licensed Products in lieu of itemized deductions for</w:t>
      </w:r>
    </w:p>
    <w:p>
      <w:pPr>
        <w:spacing w:after="0" w:line="39"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to such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-1392555</wp:posOffset>
            </wp:positionV>
            <wp:extent cx="1143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-1092200</wp:posOffset>
            </wp:positionV>
            <wp:extent cx="1308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3081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-646430</wp:posOffset>
            </wp:positionV>
            <wp:extent cx="137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-192405</wp:posOffset>
            </wp:positionV>
            <wp:extent cx="1143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For clarity, sales of Licensed Products between or among ORIC and its Affiliates and Sublicensees for resale shall be excluded from Net Sales, but the subsequent resale of Licensed Products shall be included in Net Sales. Transfers, use or sales of Licensed Products for research, Development (including for Clinical Studies), promotional or advertising purposes or as donations or the like or as “treatment IND sales,” “named patient sales,” “compassionate use sales” or pursuant to any expanded access programs, in each case, shall not be included in Net Sales. [***].</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gross amount received for any Licensed Product included in a Combination Product shall be calculated by multiplying [***].</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b w:val="1"/>
          <w:bCs w:val="1"/>
          <w:color w:val="auto"/>
        </w:rPr>
        <w:t>NSCLC</w:t>
      </w:r>
      <w:r>
        <w:rPr>
          <w:rFonts w:ascii="Times New Roman" w:cs="Times New Roman" w:eastAsia="Times New Roman" w:hAnsi="Times New Roman"/>
          <w:sz w:val="22"/>
          <w:szCs w:val="22"/>
          <w:color w:val="auto"/>
        </w:rPr>
        <w:t>” means non-small cell lung cancer.</w:t>
      </w:r>
    </w:p>
    <w:p>
      <w:pPr>
        <w:spacing w:after="0" w:line="20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1.43 “ </w:t>
      </w:r>
      <w:r>
        <w:rPr>
          <w:rFonts w:ascii="Times New Roman" w:cs="Times New Roman" w:eastAsia="Times New Roman" w:hAnsi="Times New Roman"/>
          <w:sz w:val="22"/>
          <w:szCs w:val="22"/>
          <w:b w:val="1"/>
          <w:bCs w:val="1"/>
          <w:color w:val="auto"/>
        </w:rPr>
        <w:t>ORIC Invention</w:t>
      </w:r>
      <w:r>
        <w:rPr>
          <w:rFonts w:ascii="Times New Roman" w:cs="Times New Roman" w:eastAsia="Times New Roman" w:hAnsi="Times New Roman"/>
          <w:sz w:val="22"/>
          <w:szCs w:val="22"/>
          <w:color w:val="auto"/>
        </w:rPr>
        <w:t>” means any Invention made solely by one or more employees, consultants or contractors of ORIC or any of its Affiliates.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ORIC Patent</w:t>
      </w:r>
      <w:r>
        <w:rPr>
          <w:rFonts w:ascii="Times New Roman" w:cs="Times New Roman" w:eastAsia="Times New Roman" w:hAnsi="Times New Roman"/>
          <w:sz w:val="22"/>
          <w:szCs w:val="22"/>
          <w:color w:val="auto"/>
        </w:rPr>
        <w:t>” means any Patent claiming an ORIC Invention.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b w:val="1"/>
          <w:bCs w:val="1"/>
          <w:color w:val="auto"/>
        </w:rPr>
        <w:t>ORIC Territory</w:t>
      </w:r>
      <w:r>
        <w:rPr>
          <w:rFonts w:ascii="Times New Roman" w:cs="Times New Roman" w:eastAsia="Times New Roman" w:hAnsi="Times New Roman"/>
          <w:sz w:val="22"/>
          <w:szCs w:val="22"/>
          <w:color w:val="auto"/>
        </w:rPr>
        <w:t>” means worldwide, excluding the Voronoi Territory.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b w:val="1"/>
          <w:bCs w:val="1"/>
          <w:color w:val="auto"/>
        </w:rPr>
        <w:t>Other Active Ingredient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means Voronoi or ORIC, individually;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means Voronoi and ORIC, collectively.</w:t>
      </w:r>
    </w:p>
    <w:p>
      <w:pPr>
        <w:spacing w:after="0" w:line="22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 all national, regional and international patents and patent applications filed in any country of the world, including without limitation provisional patent applications, (b) all patent applications filed either from such patents and patent applications or from a patent application claiming priority from any of these, including any continuation, continuation-in-part, division, provisional, converted provisional and continued prosecution applications, or any substitute applications, (c) any patent issued with respect to or in the future issued from any such patent applications including utility models, petty patents and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4" w:name="page125"/>
    <w:bookmarkEnd w:id="124"/>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1.49 “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3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b w:val="1"/>
          <w:bCs w:val="1"/>
          <w:color w:val="auto"/>
        </w:rPr>
        <w:t>Phase 1 Clinical Study</w:t>
      </w:r>
      <w:r>
        <w:rPr>
          <w:rFonts w:ascii="Times New Roman" w:cs="Times New Roman" w:eastAsia="Times New Roman" w:hAnsi="Times New Roman"/>
          <w:sz w:val="22"/>
          <w:szCs w:val="22"/>
          <w:color w:val="auto"/>
        </w:rPr>
        <w:t>” means a human clinical trial of a Licensed Product, the principal purpose of which is a preliminary determination of safety, tolerability and/or pharmacokinetics in healthy individuals or patients and that would satisfy the requirements under 21 C.F.R. § 312.21(a) for the U.S., as amended from time to time, or the corresponding foreign regulations for a comparable filing with a comparable Regulatory Authority.</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b w:val="1"/>
          <w:bCs w:val="1"/>
          <w:color w:val="auto"/>
        </w:rPr>
        <w:t>Phase 2 Clinical Study</w:t>
      </w:r>
      <w:r>
        <w:rPr>
          <w:rFonts w:ascii="Times New Roman" w:cs="Times New Roman" w:eastAsia="Times New Roman" w:hAnsi="Times New Roman"/>
          <w:sz w:val="22"/>
          <w:szCs w:val="22"/>
          <w:color w:val="auto"/>
        </w:rPr>
        <w:t>” means a human clinical trial of a Licensed Product, the principal purpose of which is the preliminary determination of efficacy and/or preliminary establishment of appropriate dose ranges for efficacy and safety in patients with the disease or condition being studied and that would satisfy the requirements under 21 C.F.R. § 312.21(b) for the U.S., as amended from time to time, or the corresponding foreign regulations for a comparable filing with a comparable Regulatory Authority. [***].</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Phase 2a Clinical Study</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Phase 3 Clinical Study</w:t>
      </w:r>
      <w:r>
        <w:rPr>
          <w:rFonts w:ascii="Times New Roman" w:cs="Times New Roman" w:eastAsia="Times New Roman" w:hAnsi="Times New Roman"/>
          <w:sz w:val="22"/>
          <w:szCs w:val="22"/>
          <w:color w:val="auto"/>
        </w:rPr>
        <w:t>” means a human clinical trial of a Licensed Product, (a) the principal purpose of which is to establish safety and efficacy in patients with the disease being studied and that would satisfy the requirements under 21 C.F.R. §312.21(c) for the U.S., as amended from time to time, or the corresponding foreign regulations for a comparable filing with a comparable Regulatory Authority, and (b) [***].</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b w:val="1"/>
          <w:bCs w:val="1"/>
          <w:color w:val="auto"/>
        </w:rPr>
        <w:t>PMDA</w:t>
      </w:r>
      <w:r>
        <w:rPr>
          <w:rFonts w:ascii="Times New Roman" w:cs="Times New Roman" w:eastAsia="Times New Roman" w:hAnsi="Times New Roman"/>
          <w:sz w:val="22"/>
          <w:szCs w:val="22"/>
          <w:color w:val="auto"/>
        </w:rPr>
        <w:t>” means the Pharmaceutical and Medical Devices Agency in Japan.</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Pricing and Reimbursement Approval</w:t>
      </w:r>
      <w:r>
        <w:rPr>
          <w:rFonts w:ascii="Times New Roman" w:cs="Times New Roman" w:eastAsia="Times New Roman" w:hAnsi="Times New Roman"/>
          <w:sz w:val="22"/>
          <w:szCs w:val="22"/>
          <w:color w:val="auto"/>
        </w:rPr>
        <w:t>” means, with respect to any country or jurisdiction in the ORIC Territory in which governmental authorities determine the pricing at which a Licensed Product will be reimbursed, the approval, agreement, determination or decision by the applicable governmental authorities establishing the pricing and reimbursement status for such Licensed Product.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b w:val="1"/>
          <w:bCs w:val="1"/>
          <w:color w:val="auto"/>
        </w:rPr>
        <w:t>Prior CDA</w:t>
      </w:r>
      <w:r>
        <w:rPr>
          <w:rFonts w:ascii="Times New Roman" w:cs="Times New Roman" w:eastAsia="Times New Roman" w:hAnsi="Times New Roman"/>
          <w:sz w:val="22"/>
          <w:szCs w:val="22"/>
          <w:color w:val="auto"/>
        </w:rPr>
        <w:t>” means that certain Mutual Non-Disclosure Agreement between the parties dated [***].</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b w:val="1"/>
          <w:bCs w:val="1"/>
          <w:color w:val="auto"/>
        </w:rPr>
        <w:t>Product Trademark</w:t>
      </w:r>
      <w:r>
        <w:rPr>
          <w:rFonts w:ascii="Times New Roman" w:cs="Times New Roman" w:eastAsia="Times New Roman" w:hAnsi="Times New Roman"/>
          <w:sz w:val="22"/>
          <w:szCs w:val="22"/>
          <w:color w:val="auto"/>
        </w:rPr>
        <w:t>” means the trademark(s) to be used by ORIC or its Affiliates for the Commercialization of the Licensed Products in the Field in the ORIC Territory and any registrations thereof or any pending applications relating thereto in the ORIC Territory (excluding, in any event, any trademarks that include any corporate name or logo of the Parties or their Affiliates).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Qualified Licensee</w:t>
      </w:r>
      <w:r>
        <w:rPr>
          <w:rFonts w:ascii="Times New Roman" w:cs="Times New Roman" w:eastAsia="Times New Roman" w:hAnsi="Times New Roman"/>
          <w:sz w:val="22"/>
          <w:szCs w:val="22"/>
          <w:color w:val="auto"/>
        </w:rPr>
        <w:t>” means [***].</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licenses, registrations or authorizations of any governmental entity that are necessary for the manufacturing, use, storage, import, transport and sale of Licensed Compounds, Licensed Products and/or Companion Diagnostics in a regulatory jurisdiction, including in each case, Pricing and Reimbursement Approval.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5" w:name="page126"/>
    <w:bookmarkEnd w:id="125"/>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national (e.g., the FDA or PMDA) or, supranational (e.g., the EC or the EMA), or other governmental entity in any jurisdiction of the world involved in the granting of Regulatory Approval for pharmaceutical products.</w:t>
      </w:r>
    </w:p>
    <w:p>
      <w:pPr>
        <w:spacing w:after="0" w:line="16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color w:val="auto"/>
        </w:rPr>
        <w:t xml:space="preserve">1.61 “ </w:t>
      </w:r>
      <w:r>
        <w:rPr>
          <w:rFonts w:ascii="Times New Roman" w:cs="Times New Roman" w:eastAsia="Times New Roman" w:hAnsi="Times New Roman"/>
          <w:sz w:val="22"/>
          <w:szCs w:val="22"/>
          <w:b w:val="1"/>
          <w:bCs w:val="1"/>
          <w:color w:val="auto"/>
        </w:rPr>
        <w:t>Regulatory Filing</w:t>
      </w:r>
      <w:r>
        <w:rPr>
          <w:rFonts w:ascii="Times New Roman" w:cs="Times New Roman" w:eastAsia="Times New Roman" w:hAnsi="Times New Roman"/>
          <w:sz w:val="22"/>
          <w:szCs w:val="22"/>
          <w:color w:val="auto"/>
        </w:rPr>
        <w:t>” means all approvals, licenses, registrations, submissions and authorizations made to or received from a Regulatory Authority in a jurisdiction necessary for or in connection with the development, manufacture and/or commercialization of a pharmaceutical product, including any INDs, Marketing Approval Applications and Regulatory Approvals.</w:t>
      </w:r>
    </w:p>
    <w:p>
      <w:pPr>
        <w:spacing w:after="0" w:line="16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1.62 “ </w:t>
      </w:r>
      <w:r>
        <w:rPr>
          <w:rFonts w:ascii="Times New Roman" w:cs="Times New Roman" w:eastAsia="Times New Roman" w:hAnsi="Times New Roman"/>
          <w:sz w:val="22"/>
          <w:szCs w:val="22"/>
          <w:b w:val="1"/>
          <w:bCs w:val="1"/>
          <w:color w:val="auto"/>
        </w:rPr>
        <w:t>Research and Development Budget</w:t>
      </w:r>
      <w:r>
        <w:rPr>
          <w:rFonts w:ascii="Times New Roman" w:cs="Times New Roman" w:eastAsia="Times New Roman" w:hAnsi="Times New Roman"/>
          <w:sz w:val="22"/>
          <w:szCs w:val="22"/>
          <w:color w:val="auto"/>
        </w:rPr>
        <w:t>” means the budget for the performance by Voronoi of the Development activities that are allocated to Voronoi under the Research and Development Plan. A preliminary outline of the Research and Development Budget is included in the Preliminary Research and Development Plan (“</w:t>
      </w:r>
      <w:r>
        <w:rPr>
          <w:rFonts w:ascii="Times New Roman" w:cs="Times New Roman" w:eastAsia="Times New Roman" w:hAnsi="Times New Roman"/>
          <w:sz w:val="22"/>
          <w:szCs w:val="22"/>
          <w:b w:val="1"/>
          <w:bCs w:val="1"/>
          <w:color w:val="auto"/>
        </w:rPr>
        <w:t>Preliminary Research and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Budget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1.63 “ </w:t>
      </w:r>
      <w:r>
        <w:rPr>
          <w:rFonts w:ascii="Times New Roman" w:cs="Times New Roman" w:eastAsia="Times New Roman" w:hAnsi="Times New Roman"/>
          <w:sz w:val="22"/>
          <w:szCs w:val="22"/>
          <w:b w:val="1"/>
          <w:bCs w:val="1"/>
          <w:color w:val="auto"/>
        </w:rPr>
        <w:t>Research and Development Plan</w:t>
      </w:r>
      <w:r>
        <w:rPr>
          <w:rFonts w:ascii="Times New Roman" w:cs="Times New Roman" w:eastAsia="Times New Roman" w:hAnsi="Times New Roman"/>
          <w:sz w:val="22"/>
          <w:szCs w:val="22"/>
          <w:color w:val="auto"/>
        </w:rPr>
        <w:t>” means the plan for the Development of the Licensed Compounds and Licensed Products in the ORIC Territory, as may be modified from time to time as set forth in Article III and Section 4.3(b). A preliminary outline of the Research and Development Plan is attached hereto as Exhibit 1.62 (“</w:t>
      </w:r>
      <w:r>
        <w:rPr>
          <w:rFonts w:ascii="Times New Roman" w:cs="Times New Roman" w:eastAsia="Times New Roman" w:hAnsi="Times New Roman"/>
          <w:sz w:val="22"/>
          <w:szCs w:val="22"/>
          <w:b w:val="1"/>
          <w:bCs w:val="1"/>
          <w:color w:val="auto"/>
        </w:rPr>
        <w:t>Preliminary Research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ROFN Target</w:t>
      </w:r>
      <w:r>
        <w:rPr>
          <w:rFonts w:ascii="Times New Roman" w:cs="Times New Roman" w:eastAsia="Times New Roman" w:hAnsi="Times New Roman"/>
          <w:sz w:val="22"/>
          <w:szCs w:val="22"/>
          <w:color w:val="auto"/>
        </w:rPr>
        <w:t>” means, individually, each of the following: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b w:val="1"/>
          <w:bCs w:val="1"/>
          <w:color w:val="auto"/>
        </w:rPr>
        <w:t>Second Indication</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Third Party that has been granted a right to sell, market, distribute and/or promote Licensed Products in the ORIC Territory pursuant to Section 2.2 excluding any [***] of a Licensed Product who does not market or promote such Licensed Product and excluding any Compulsory Licensee.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1.67 “</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the Voronoi Territory or the ORIC Territory, as applicable.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a Party or an Affiliate of a Party.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1.70 “</w:t>
      </w:r>
      <w:r>
        <w:rPr>
          <w:rFonts w:ascii="Times New Roman" w:cs="Times New Roman" w:eastAsia="Times New Roman" w:hAnsi="Times New Roman"/>
          <w:sz w:val="22"/>
          <w:szCs w:val="22"/>
          <w:b w:val="1"/>
          <w:bCs w:val="1"/>
          <w:color w:val="auto"/>
        </w:rPr>
        <w:t>Voronoi Invention</w:t>
      </w:r>
      <w:r>
        <w:rPr>
          <w:rFonts w:ascii="Times New Roman" w:cs="Times New Roman" w:eastAsia="Times New Roman" w:hAnsi="Times New Roman"/>
          <w:sz w:val="22"/>
          <w:szCs w:val="22"/>
          <w:color w:val="auto"/>
        </w:rPr>
        <w:t>” means any Invention made solely by one or more employees, consultants or contractors of Voronoi or any of its Affiliates, except the Results.</w:t>
      </w:r>
    </w:p>
    <w:p>
      <w:pPr>
        <w:spacing w:after="0" w:line="13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1.71 “ </w:t>
      </w:r>
      <w:r>
        <w:rPr>
          <w:rFonts w:ascii="Times New Roman" w:cs="Times New Roman" w:eastAsia="Times New Roman" w:hAnsi="Times New Roman"/>
          <w:sz w:val="22"/>
          <w:szCs w:val="22"/>
          <w:b w:val="1"/>
          <w:bCs w:val="1"/>
          <w:color w:val="auto"/>
        </w:rPr>
        <w:t>Voronoi Know-How</w:t>
      </w:r>
      <w:r>
        <w:rPr>
          <w:rFonts w:ascii="Times New Roman" w:cs="Times New Roman" w:eastAsia="Times New Roman" w:hAnsi="Times New Roman"/>
          <w:sz w:val="22"/>
          <w:szCs w:val="22"/>
          <w:color w:val="auto"/>
        </w:rPr>
        <w:t>” means all proprietary scientific, medical, technical, regulatory and other information Controlled by Voronoi or any of its Affiliates as of the Effective Date or during the term of this Agreement and [***] for the Development, manufacture or Commercialization of a Licensed Compound, Licensed Product and/or Companion Diagnostic (including the Data and Voronoi Inventions).</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b w:val="1"/>
          <w:bCs w:val="1"/>
          <w:color w:val="auto"/>
        </w:rPr>
        <w:t>Voronoi Patents</w:t>
      </w:r>
      <w:r>
        <w:rPr>
          <w:rFonts w:ascii="Times New Roman" w:cs="Times New Roman" w:eastAsia="Times New Roman" w:hAnsi="Times New Roman"/>
          <w:sz w:val="22"/>
          <w:szCs w:val="22"/>
          <w:color w:val="auto"/>
        </w:rPr>
        <w:t>” means (a) the Patents listed on Exhibit 1.71 and (b) any other Patents that are Controlled by Voronoi or any of its Affiliates as of the Effective Date or during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6" w:name="page127"/>
    <w:bookmarkEnd w:id="126"/>
    <w:p>
      <w:pPr>
        <w:spacing w:after="0" w:line="271" w:lineRule="auto"/>
        <w:rPr>
          <w:sz w:val="20"/>
          <w:szCs w:val="20"/>
          <w:color w:val="auto"/>
        </w:rPr>
      </w:pPr>
      <w:r>
        <w:rPr>
          <w:rFonts w:ascii="Times New Roman" w:cs="Times New Roman" w:eastAsia="Times New Roman" w:hAnsi="Times New Roman"/>
          <w:sz w:val="22"/>
          <w:szCs w:val="22"/>
          <w:color w:val="auto"/>
        </w:rPr>
        <w:t>term of this Agreement and Cover the Development, manufacture or Commercialization of a Licensed Compound, Licensed Product and/or Companion Diagnostic.</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b w:val="1"/>
          <w:bCs w:val="1"/>
          <w:color w:val="auto"/>
        </w:rPr>
        <w:t>Voronoi Territory</w:t>
      </w:r>
      <w:r>
        <w:rPr>
          <w:rFonts w:ascii="Times New Roman" w:cs="Times New Roman" w:eastAsia="Times New Roman" w:hAnsi="Times New Roman"/>
          <w:sz w:val="22"/>
          <w:szCs w:val="22"/>
          <w:color w:val="auto"/>
        </w:rPr>
        <w:t>” means the People’s Republic of China, Hong Kong, Macau and Taiwan.</w:t>
      </w:r>
    </w:p>
    <w:p>
      <w:pPr>
        <w:spacing w:after="0" w:line="206" w:lineRule="exact"/>
        <w:rPr>
          <w:sz w:val="20"/>
          <w:szCs w:val="20"/>
          <w:color w:val="auto"/>
        </w:rPr>
      </w:pPr>
    </w:p>
    <w:p>
      <w:pPr>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color w:val="auto"/>
        </w:rPr>
        <w:t>Additional Definitions</w:t>
      </w:r>
      <w:r>
        <w:rPr>
          <w:rFonts w:ascii="Times New Roman" w:cs="Times New Roman" w:eastAsia="Times New Roman" w:hAnsi="Times New Roman"/>
          <w:sz w:val="22"/>
          <w:szCs w:val="22"/>
          <w:color w:val="auto"/>
        </w:rPr>
        <w:t>. Each of the following terms shall have the meaning described in the corresponding section of this Agreement indicated below:</w:t>
      </w:r>
    </w:p>
    <w:p>
      <w:pPr>
        <w:sectPr>
          <w:pgSz w:w="11900" w:h="16838" w:orient="portrait"/>
          <w:cols w:equalWidth="0" w:num="1">
            <w:col w:w="11240"/>
          </w:cols>
          <w:pgMar w:left="320" w:top="531" w:right="339" w:bottom="1440" w:gutter="0" w:footer="0" w:header="0"/>
        </w:sectPr>
      </w:pP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0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Term</w:t>
            </w:r>
          </w:p>
        </w:tc>
        <w:tc>
          <w:tcPr>
            <w:tcW w:w="1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Section Defined</w:t>
            </w:r>
          </w:p>
        </w:tc>
      </w:tr>
      <w:tr>
        <w:trPr>
          <w:trHeight w:val="193"/>
        </w:trPr>
        <w:tc>
          <w:tcPr>
            <w:tcW w:w="306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9"/>
                <w:szCs w:val="19"/>
                <w:color w:val="auto"/>
              </w:rPr>
              <w:t>Acquisition</w:t>
            </w:r>
          </w:p>
        </w:tc>
        <w:tc>
          <w:tcPr>
            <w:tcW w:w="1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9"/>
                <w:szCs w:val="19"/>
                <w:color w:val="auto"/>
              </w:rPr>
              <w:t>16.9</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Agreement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PREAMBLE</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Alliance Manager</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3.6</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Audited Party</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8.5(a)</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Auditing Party</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8.5(a)</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Availability Notice</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2.6</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Available Technology</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2.6</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Clinical Supply Agreement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5.4(d)</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Confidential Information</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9.1</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143"/>
        </w:trPr>
        <w:tc>
          <w:tcPr>
            <w:tcW w:w="3060" w:type="dxa"/>
            <w:vAlign w:val="bottom"/>
            <w:tcBorders>
              <w:right w:val="single" w:sz="8" w:color="auto"/>
            </w:tcBorders>
          </w:tcPr>
          <w:p>
            <w:pPr>
              <w:ind w:left="40"/>
              <w:spacing w:after="0" w:line="143" w:lineRule="exact"/>
              <w:rPr>
                <w:sz w:val="20"/>
                <w:szCs w:val="20"/>
                <w:color w:val="auto"/>
              </w:rPr>
            </w:pPr>
            <w:r>
              <w:rPr>
                <w:rFonts w:ascii="Times New Roman" w:cs="Times New Roman" w:eastAsia="Times New Roman" w:hAnsi="Times New Roman"/>
                <w:sz w:val="16"/>
                <w:szCs w:val="16"/>
                <w:color w:val="auto"/>
              </w:rPr>
              <w:t>Development and Research Cost</w:t>
            </w:r>
          </w:p>
        </w:tc>
        <w:tc>
          <w:tcPr>
            <w:tcW w:w="1800" w:type="dxa"/>
            <w:vAlign w:val="bottom"/>
            <w:tcBorders>
              <w:right w:val="single" w:sz="8" w:color="auto"/>
            </w:tcBorders>
          </w:tcPr>
          <w:p>
            <w:pPr>
              <w:spacing w:after="0" w:line="143" w:lineRule="exact"/>
              <w:rPr>
                <w:sz w:val="20"/>
                <w:szCs w:val="20"/>
                <w:color w:val="auto"/>
              </w:rPr>
            </w:pPr>
            <w:r>
              <w:rPr>
                <w:rFonts w:ascii="Times New Roman" w:cs="Times New Roman" w:eastAsia="Times New Roman" w:hAnsi="Times New Roman"/>
                <w:sz w:val="16"/>
                <w:szCs w:val="16"/>
                <w:color w:val="auto"/>
              </w:rPr>
              <w:t>7.6(a)</w:t>
            </w:r>
          </w:p>
        </w:tc>
      </w:tr>
      <w:tr>
        <w:trPr>
          <w:trHeight w:val="250"/>
        </w:trPr>
        <w:tc>
          <w:tcPr>
            <w:tcW w:w="3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Report</w:t>
            </w:r>
          </w:p>
        </w:tc>
        <w:tc>
          <w:tcPr>
            <w:tcW w:w="1800" w:type="dxa"/>
            <w:vAlign w:val="bottom"/>
            <w:tcBorders>
              <w:bottom w:val="single" w:sz="8" w:color="auto"/>
              <w:right w:val="single" w:sz="8" w:color="auto"/>
            </w:tcBorders>
          </w:tcPr>
          <w:p>
            <w:pPr>
              <w:spacing w:after="0"/>
              <w:rPr>
                <w:sz w:val="21"/>
                <w:szCs w:val="21"/>
                <w:color w:val="auto"/>
              </w:rPr>
            </w:pPr>
          </w:p>
        </w:tc>
      </w:tr>
      <w:tr>
        <w:trPr>
          <w:trHeight w:val="215"/>
        </w:trPr>
        <w:tc>
          <w:tcPr>
            <w:tcW w:w="3060" w:type="dxa"/>
            <w:vAlign w:val="bottom"/>
            <w:tcBorders>
              <w:bottom w:val="single" w:sz="8" w:color="auto"/>
              <w:right w:val="single" w:sz="8" w:color="auto"/>
            </w:tcBorders>
          </w:tcPr>
          <w:p>
            <w:pPr>
              <w:ind w:left="40"/>
              <w:spacing w:after="0" w:line="215" w:lineRule="exact"/>
              <w:rPr>
                <w:sz w:val="20"/>
                <w:szCs w:val="20"/>
                <w:color w:val="auto"/>
              </w:rPr>
            </w:pPr>
            <w:r>
              <w:rPr>
                <w:rFonts w:ascii="Times New Roman" w:cs="Times New Roman" w:eastAsia="Times New Roman" w:hAnsi="Times New Roman"/>
                <w:sz w:val="19"/>
                <w:szCs w:val="19"/>
                <w:color w:val="auto"/>
              </w:rPr>
              <w:t>Development Cost Threshold</w:t>
            </w:r>
          </w:p>
        </w:tc>
        <w:tc>
          <w:tcPr>
            <w:tcW w:w="1800" w:type="dxa"/>
            <w:vAlign w:val="bottom"/>
            <w:tcBorders>
              <w:bottom w:val="single" w:sz="8" w:color="auto"/>
              <w:right w:val="single" w:sz="8" w:color="auto"/>
            </w:tcBorders>
          </w:tcPr>
          <w:p>
            <w:pPr>
              <w:spacing w:after="0" w:line="215" w:lineRule="exact"/>
              <w:rPr>
                <w:sz w:val="20"/>
                <w:szCs w:val="20"/>
                <w:color w:val="auto"/>
              </w:rPr>
            </w:pPr>
            <w:r>
              <w:rPr>
                <w:rFonts w:ascii="Times New Roman" w:cs="Times New Roman" w:eastAsia="Times New Roman" w:hAnsi="Times New Roman"/>
                <w:sz w:val="19"/>
                <w:szCs w:val="19"/>
                <w:color w:val="auto"/>
              </w:rPr>
              <w:t>7.6</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Development Milestone Event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7.2(a)</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Development Supply</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5.4(a)</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Disclosing Party</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9.1</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7.2(b)(v)</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Dispute</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15.1</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Effective Date</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PREAMBLE</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Expert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15.2(a)</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FCPA</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13.4(b)</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10"/>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Government Official</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13.4(b)</w:t>
            </w:r>
          </w:p>
        </w:tc>
      </w:tr>
      <w:tr>
        <w:trPr>
          <w:trHeight w:val="209"/>
        </w:trPr>
        <w:tc>
          <w:tcPr>
            <w:tcW w:w="3060" w:type="dxa"/>
            <w:vAlign w:val="bottom"/>
            <w:tcBorders>
              <w:bottom w:val="single" w:sz="8" w:color="auto"/>
              <w:right w:val="single" w:sz="8" w:color="auto"/>
            </w:tcBorders>
          </w:tcPr>
          <w:p>
            <w:pPr>
              <w:ind w:left="40"/>
              <w:spacing w:after="0" w:line="210" w:lineRule="exact"/>
              <w:rPr>
                <w:sz w:val="20"/>
                <w:szCs w:val="20"/>
                <w:color w:val="auto"/>
              </w:rPr>
            </w:pPr>
            <w:r>
              <w:rPr>
                <w:rFonts w:ascii="Times New Roman" w:cs="Times New Roman" w:eastAsia="Times New Roman" w:hAnsi="Times New Roman"/>
                <w:sz w:val="19"/>
                <w:szCs w:val="19"/>
                <w:color w:val="auto"/>
              </w:rPr>
              <w:t>Indemnitee</w:t>
            </w:r>
          </w:p>
        </w:tc>
        <w:tc>
          <w:tcPr>
            <w:tcW w:w="1800" w:type="dxa"/>
            <w:vAlign w:val="bottom"/>
            <w:tcBorders>
              <w:bottom w:val="single" w:sz="8" w:color="auto"/>
              <w:right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14.3</w:t>
            </w: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Term</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b w:val="1"/>
                <w:bCs w:val="1"/>
                <w:color w:val="auto"/>
                <w:w w:val="97"/>
              </w:rPr>
              <w:t>Section Defined</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Indemnitor</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14.3</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Joint Steering Committee or JSC</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3.1</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Liabilities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14.1</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Negotiation Period</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2.6</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Opt-Out Date</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7.6(b)</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Opt-Out Notice</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7.6(b)</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ORIC</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PREAMBLE</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ORIC Indemnitees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14.2</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Payee</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7.6(a)</w:t>
            </w:r>
          </w:p>
        </w:tc>
      </w:tr>
      <w:tr>
        <w:trPr>
          <w:trHeight w:val="244"/>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Payor</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7.6(a)</w:t>
            </w:r>
          </w:p>
        </w:tc>
      </w:tr>
      <w:tr>
        <w:trPr>
          <w:trHeight w:val="404"/>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Prior Development and Research Costs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1.15</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Recall Costs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14.5(b)</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Receiving Party</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9.1</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Representatives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9.1</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Results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4.2(a)</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Royalty Floor</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7.4(c)(v)</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Royalty Report</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7.4(d)</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Royalty Term</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7.4(b)</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Rules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15.2(a)</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Sales Milestone Event</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7.3(a)</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SEC</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9.3(e)</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Senior Executives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3.5</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Stock Issuance Agreements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PREAMBLE</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Subcontractor</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4.2(b)</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Third Party Claim</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14.1</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Voronoi</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PREAMBLE</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Voronoi Indemnitees</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14.1</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r>
      <w:tr>
        <w:trPr>
          <w:trHeight w:val="244"/>
        </w:trPr>
        <w:tc>
          <w:tcPr>
            <w:tcW w:w="328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-4787900</wp:posOffset>
            </wp:positionV>
            <wp:extent cx="3578860" cy="48044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3578860" cy="4804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580"/>
          </w:cols>
          <w:pgMar w:left="320" w:top="53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FINAL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LICENSE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60" w:hanging="455"/>
        <w:spacing w:after="0"/>
        <w:tabs>
          <w:tab w:leader="none" w:pos="1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Development License</w:t>
      </w:r>
      <w:r>
        <w:rPr>
          <w:rFonts w:ascii="Times New Roman" w:cs="Times New Roman" w:eastAsia="Times New Roman" w:hAnsi="Times New Roman"/>
          <w:sz w:val="22"/>
          <w:szCs w:val="22"/>
          <w:color w:val="auto"/>
        </w:rPr>
        <w:t>.  Subject to the terms and conditions of this Agreement, Voronoi hereby grants to</w:t>
      </w:r>
    </w:p>
    <w:p>
      <w:pPr>
        <w:spacing w:after="0" w:line="31" w:lineRule="exact"/>
        <w:rPr>
          <w:rFonts w:ascii="Times New Roman" w:cs="Times New Roman" w:eastAsia="Times New Roman" w:hAnsi="Times New Roman"/>
          <w:sz w:val="22"/>
          <w:szCs w:val="22"/>
          <w:color w:val="auto"/>
        </w:rPr>
      </w:pPr>
    </w:p>
    <w:p>
      <w:pPr>
        <w:jc w:val="both"/>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(i) an exclusive (even as to Voronoi and its Affiliates) license, with the right to grant and authorize sublicenses as provided in Section 2.2, under the Voronoi Patents and Voronoi Know-How to Develop Licensed Compounds, Licensed Products and Companion Diagnostics in the Field in the ORIC Territory and (ii) subject to Section 4.8, an exclusive license (even as to Voronoi and its Affiliates), with the right to grant and authorize sublicenses as provided in Section 2.2, under the Voronoi Patents and Voronoi Know-How to perform Development activities with respect to Licensed Compounds, Licensed Products and Companion Diagnostics in the Field in the Voronoi Territory solely for the purpose of Developing, obtaining Regulatory Approval for and Commercializing Licensed Products and Companion Diagnostics in and for the ORIC Territory.</w:t>
      </w:r>
    </w:p>
    <w:p>
      <w:pPr>
        <w:spacing w:after="0" w:line="17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Manufacturing License</w:t>
      </w:r>
      <w:r>
        <w:rPr>
          <w:rFonts w:ascii="Times New Roman" w:cs="Times New Roman" w:eastAsia="Times New Roman" w:hAnsi="Times New Roman"/>
          <w:sz w:val="21"/>
          <w:szCs w:val="21"/>
          <w:color w:val="auto"/>
        </w:rPr>
        <w:t>. Subject to the terms and conditions of this Agreement, Voronoi hereby grants to</w:t>
      </w:r>
    </w:p>
    <w:p>
      <w:pPr>
        <w:spacing w:after="0" w:line="43" w:lineRule="exact"/>
        <w:rPr>
          <w:rFonts w:ascii="Times New Roman" w:cs="Times New Roman" w:eastAsia="Times New Roman" w:hAnsi="Times New Roman"/>
          <w:sz w:val="21"/>
          <w:szCs w:val="21"/>
          <w:color w:val="auto"/>
        </w:rPr>
      </w:pPr>
    </w:p>
    <w:p>
      <w:pPr>
        <w:jc w:val="both"/>
        <w:spacing w:after="0" w:line="2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ORIC: (i) an exclusive (even as to Voronoi and its Affiliates) license, with the right to grant and authorize sublicenses as provided in Section 2.2, under the Voronoi Patents and Voronoi Know-How to manufacture Licensed Compounds, Licensed Products and Companion Diagnostics in the Field in the ORIC Territory and (ii) an exclusive license (even as to Voronoi and its Affiliates), with the right to grant and authorize sublicenses as provided in Section 2.2, under the Voronoi Patents and Voronoi Know-How to manufacture Licensed Compounds, Licensed Products and Companion Diagnostics in the Field in the Voronoi Territory solely for the purpose of Developing, obtaining Regulatory Approval for and Commercializing Licensed Products and Companion Diagnostics in and for the ORIC Territory.</w:t>
      </w:r>
    </w:p>
    <w:p>
      <w:pPr>
        <w:spacing w:after="0" w:line="188" w:lineRule="exact"/>
        <w:rPr>
          <w:rFonts w:ascii="Times New Roman" w:cs="Times New Roman" w:eastAsia="Times New Roman" w:hAnsi="Times New Roman"/>
          <w:sz w:val="21"/>
          <w:szCs w:val="21"/>
          <w:color w:val="auto"/>
        </w:rPr>
      </w:pPr>
    </w:p>
    <w:p>
      <w:pPr>
        <w:ind w:left="1960" w:hanging="455"/>
        <w:spacing w:after="0"/>
        <w:tabs>
          <w:tab w:leader="none" w:pos="1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Commercialization License</w:t>
      </w:r>
      <w:r>
        <w:rPr>
          <w:rFonts w:ascii="Times New Roman" w:cs="Times New Roman" w:eastAsia="Times New Roman" w:hAnsi="Times New Roman"/>
          <w:sz w:val="22"/>
          <w:szCs w:val="22"/>
          <w:color w:val="auto"/>
        </w:rPr>
        <w:t>.  Subject to the terms and conditions of this Agreement, Voronoi hereby</w:t>
      </w:r>
    </w:p>
    <w:p>
      <w:pPr>
        <w:spacing w:after="0" w:line="18" w:lineRule="exact"/>
        <w:rPr>
          <w:rFonts w:ascii="Times New Roman" w:cs="Times New Roman" w:eastAsia="Times New Roman" w:hAnsi="Times New Roman"/>
          <w:sz w:val="22"/>
          <w:szCs w:val="22"/>
          <w:color w:val="auto"/>
        </w:rPr>
      </w:pPr>
    </w:p>
    <w:p>
      <w:pPr>
        <w:jc w:val="both"/>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grants to ORIC: (i) an exclusive (even as to Voronoi and its Affiliates) license, with the right to grant and authorize sublicenses as provided in Section 2.2, under the Voronoi Patents and Voronoi Know-How to Commercialize Licensed Compounds, Licensed Products and Companion Diagnostics in the Field in the ORIC Territory and (ii) an exclusive license (even as to Voronoi and its Affiliates), with the right to grant and authorize sublicenses as provided in Section 2.2, under the Voronoi Patents and Voronoi Know-How to perform Commercialization activities with respect to Licensed Compounds, Licensed Products and Companion Diagnostics in the Field in the Voronoi Territory solely for the purpose of Commercializing Licensed Products and Companion Diagnostics in and for the ORIC Territory.</w:t>
      </w:r>
    </w:p>
    <w:p>
      <w:pPr>
        <w:spacing w:after="0" w:line="188"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Clarifications</w:t>
      </w:r>
      <w:r>
        <w:rPr>
          <w:rFonts w:ascii="Times New Roman" w:cs="Times New Roman" w:eastAsia="Times New Roman" w:hAnsi="Times New Roman"/>
          <w:sz w:val="22"/>
          <w:szCs w:val="22"/>
          <w:color w:val="auto"/>
        </w:rPr>
        <w:t>. Voronoi shall have the right to practice the Voronoi Patents and Voronoi Know-</w:t>
      </w:r>
    </w:p>
    <w:p>
      <w:pPr>
        <w:spacing w:after="0" w:line="18" w:lineRule="exact"/>
        <w:rPr>
          <w:rFonts w:ascii="Times New Roman" w:cs="Times New Roman" w:eastAsia="Times New Roman" w:hAnsi="Times New Roman"/>
          <w:sz w:val="22"/>
          <w:szCs w:val="22"/>
          <w:color w:val="auto"/>
        </w:rPr>
      </w:pPr>
    </w:p>
    <w:p>
      <w:pPr>
        <w:jc w:val="both"/>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How to: (i) manufacture Licensed Compounds, Licensed Products and Companion Diagnostics in the ORIC Territory solely for the purpose of Development of, obtaining Regulatory Approval for and Commercializing Licensed Products and Companion Diagnostics in and for the Voronoi Territory; and (ii) Develop Licensed Compounds and Licensed Products in and/or for the Republic of Korea solely in accordance with the terms of this Agreement and the Research and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8" w:name="page129"/>
    <w:bookmarkEnd w:id="128"/>
    <w:p>
      <w:pPr>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Sublicensing</w:t>
      </w:r>
      <w:r>
        <w:rPr>
          <w:rFonts w:ascii="Times New Roman" w:cs="Times New Roman" w:eastAsia="Times New Roman" w:hAnsi="Times New Roman"/>
          <w:sz w:val="22"/>
          <w:szCs w:val="22"/>
          <w:color w:val="auto"/>
        </w:rPr>
        <w:t>. ORIC shall have the right to grant and authorize sublicenses under the rights granted to ORIC under Section 2.1 to one or more of its Affiliates or Third Parties.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Transfer of Voronoi Know-How</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tabs>
          <w:tab w:leader="none" w:pos="195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Initial Transfer</w:t>
      </w:r>
      <w:r>
        <w:rPr>
          <w:rFonts w:ascii="Times New Roman" w:cs="Times New Roman" w:eastAsia="Times New Roman" w:hAnsi="Times New Roman"/>
          <w:sz w:val="22"/>
          <w:szCs w:val="22"/>
          <w:color w:val="auto"/>
        </w:rPr>
        <w:t>. Promptly following the Effective Date and in any event no later than thirty (30)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thereafter, Voronoi shall, and if applicable, shall cause its Affiliates to, transfer to ORIC all Voronoi Know-How existing as of such date; provided that if, despite exercising diligent efforts in connection with such transfer of Voronoi Know-How, Voronoi is unable to transfer (or have transferred) all of the Voronoi Know-How to ORIC within such thirty (30) day period, Voronoi shall continue to exercise diligent efforts to complete such transfer of Voronoi Know-How to ORIC as soon as reasonably practicable. Promptly upon ORIC’s request, Voronoi shall, and if applicable, shall cause its Affiliates and Third Party manufacturers to, transfer some or all supplies of Licensed Compounds in Voronoi’s or any of its Affiliates’ Control as of the Effective Date, without additional charge, except that [***] Prior to any such transfer, Voronoi shall hold and maintain under proper storage conditions such Licensed Compounds for the benefit of ORIC.</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Ongoing Transfer</w:t>
      </w:r>
      <w:r>
        <w:rPr>
          <w:rFonts w:ascii="Times New Roman" w:cs="Times New Roman" w:eastAsia="Times New Roman" w:hAnsi="Times New Roman"/>
          <w:sz w:val="22"/>
          <w:szCs w:val="22"/>
          <w:color w:val="auto"/>
        </w:rPr>
        <w:t>. Without limiting Section 2.3(a), during the term of this Agreement, Voronoi shall,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applicable, shall cause its Affiliates to, promptly transfer to ORIC all Voronoi Know-How that has not previously been provided to ORIC hereunder, including all Results. Voronoi shall provide the same in electronic form to the extent the same exists in electronic form, and shall provide copies or an opportunity to inspect (and copy) for all other materials comprising such Voronoi Know-How (including for example, original patient report forms and other original source data).</w:t>
      </w:r>
    </w:p>
    <w:p>
      <w:pPr>
        <w:spacing w:after="0" w:line="172" w:lineRule="exact"/>
        <w:rPr>
          <w:rFonts w:ascii="Times New Roman" w:cs="Times New Roman" w:eastAsia="Times New Roman" w:hAnsi="Times New Roman"/>
          <w:sz w:val="22"/>
          <w:szCs w:val="22"/>
          <w:color w:val="auto"/>
        </w:rPr>
      </w:pPr>
    </w:p>
    <w:p>
      <w:pPr>
        <w:jc w:val="both"/>
        <w:ind w:firstLine="1505"/>
        <w:spacing w:after="0"/>
        <w:tabs>
          <w:tab w:leader="none" w:pos="194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The Parties will cooperate and reasonably agree upon formats and procedures to facilitate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orderly and efficient exchange of the Voronoi Know-How in accordance with this Section 2.3. It is understood all Voronoi Know-How shall be made available to ORIC in the language in which it was created together, to the extent requested by ORIC, with a complete, certified English translation of the same, which translation will be at [***]. Upon the request of ORIC, Voronoi shall, and if applicable, shall cause its Affiliates to, reasonably cooperate with and assist ORIC as may be necessary or desirable in order to allow ORIC to understand the Voronoi Know-How and to utilize the Voronoi Know-How for the purposes contemplated in this Agreement.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Territorial Integrity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under applicable law, ORIC agrees that neither it, nor any of its Affiliates or Sublicensees, will sell or provide Licensed Compounds or Licensed Products to any Third Party, if ORIC or its relevant Affiliate knows, or has reason to know, that such Licensed Compounds or Licensed Products sold or provided to such Third Party may be sold or transferred, directly or indirectly, for use in the Voronoi Territory.</w:t>
      </w:r>
    </w:p>
    <w:p>
      <w:pPr>
        <w:spacing w:after="0" w:line="186" w:lineRule="exact"/>
        <w:rPr>
          <w:rFonts w:ascii="Times New Roman" w:cs="Times New Roman" w:eastAsia="Times New Roman" w:hAnsi="Times New Roman"/>
          <w:sz w:val="22"/>
          <w:szCs w:val="22"/>
          <w:color w:val="auto"/>
        </w:rPr>
      </w:pPr>
    </w:p>
    <w:p>
      <w:pPr>
        <w:jc w:val="both"/>
        <w:ind w:firstLine="1505"/>
        <w:spacing w:after="0" w:line="242" w:lineRule="auto"/>
        <w:tabs>
          <w:tab w:leader="none" w:pos="192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under applicable law, Voronoi agrees that neither it, nor any of its Affiliates or licensees, will sell or provide Licensed Compounds or Licensed Products to any Third Party, if Voronoi or its relevant Affiliate knows, or has reason to know, that such Licensed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29" w:name="page130"/>
    <w:bookmarkEnd w:id="129"/>
    <w:p>
      <w:pPr>
        <w:ind w:right="20"/>
        <w:spacing w:after="0" w:line="271" w:lineRule="auto"/>
        <w:rPr>
          <w:sz w:val="20"/>
          <w:szCs w:val="20"/>
          <w:color w:val="auto"/>
        </w:rPr>
      </w:pPr>
      <w:r>
        <w:rPr>
          <w:rFonts w:ascii="Times New Roman" w:cs="Times New Roman" w:eastAsia="Times New Roman" w:hAnsi="Times New Roman"/>
          <w:sz w:val="22"/>
          <w:szCs w:val="22"/>
          <w:color w:val="auto"/>
        </w:rPr>
        <w:t>Compounds or Licensed Products sold or provided to such Third Party may be sold or transferred, directly or indirectly, for use in the ORIC Territory.</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2.5  [***].</w:t>
      </w:r>
    </w:p>
    <w:p>
      <w:pPr>
        <w:spacing w:after="0" w:line="206" w:lineRule="exact"/>
        <w:rPr>
          <w:sz w:val="20"/>
          <w:szCs w:val="20"/>
          <w:color w:val="auto"/>
        </w:rPr>
      </w:pPr>
    </w:p>
    <w:p>
      <w:pPr>
        <w:ind w:left="1940" w:hanging="435"/>
        <w:spacing w:after="0"/>
        <w:tabs>
          <w:tab w:leader="none" w:pos="19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color w:val="auto"/>
        </w:rPr>
        <w:t>Right of First Negotiation.</w:t>
      </w:r>
      <w:r>
        <w:rPr>
          <w:rFonts w:ascii="Times New Roman" w:cs="Times New Roman" w:eastAsia="Times New Roman" w:hAnsi="Times New Roman"/>
          <w:sz w:val="22"/>
          <w:szCs w:val="22"/>
          <w:color w:val="auto"/>
        </w:rPr>
        <w:t xml:space="preserve"> Prior to Voronoi negotiating a term sheet with any Third Party with respect to any grant of rights to develop or commercialize any compound or product, the intended mechanism of action of which is to inhibit or modulate a ROFN Target by directly binding thereto, Voronoi shall notify ORIC thereof (such rights with respect to any such compound(s) and/or product(s), “</w:t>
      </w:r>
      <w:r>
        <w:rPr>
          <w:rFonts w:ascii="Times New Roman" w:cs="Times New Roman" w:eastAsia="Times New Roman" w:hAnsi="Times New Roman"/>
          <w:sz w:val="22"/>
          <w:szCs w:val="22"/>
          <w:b w:val="1"/>
          <w:bCs w:val="1"/>
          <w:color w:val="auto"/>
        </w:rPr>
        <w:t>Available Technology</w:t>
      </w:r>
      <w:r>
        <w:rPr>
          <w:rFonts w:ascii="Times New Roman" w:cs="Times New Roman" w:eastAsia="Times New Roman" w:hAnsi="Times New Roman"/>
          <w:sz w:val="22"/>
          <w:szCs w:val="22"/>
          <w:color w:val="auto"/>
        </w:rPr>
        <w:t>”, and such notice, an “</w:t>
      </w:r>
      <w:r>
        <w:rPr>
          <w:rFonts w:ascii="Times New Roman" w:cs="Times New Roman" w:eastAsia="Times New Roman" w:hAnsi="Times New Roman"/>
          <w:sz w:val="22"/>
          <w:szCs w:val="22"/>
          <w:b w:val="1"/>
          <w:bCs w:val="1"/>
          <w:color w:val="auto"/>
        </w:rPr>
        <w:t>Availability Notice</w:t>
      </w:r>
      <w:r>
        <w:rPr>
          <w:rFonts w:ascii="Times New Roman" w:cs="Times New Roman" w:eastAsia="Times New Roman" w:hAnsi="Times New Roman"/>
          <w:sz w:val="22"/>
          <w:szCs w:val="22"/>
          <w:color w:val="auto"/>
        </w:rPr>
        <w:t>”). If ORIC notifies Voronoi within [***] of ORIC’s receipt of an Availability Notice that it desires to obtain rights to the Available Technology specified in such Availability Notice, then the Parties shall negotiate in good faith on an exclusive basis the grant of such rights to ORIC for a period of up to [***] (“</w:t>
      </w:r>
      <w:r>
        <w:rPr>
          <w:rFonts w:ascii="Times New Roman" w:cs="Times New Roman" w:eastAsia="Times New Roman" w:hAnsi="Times New Roman"/>
          <w:sz w:val="22"/>
          <w:szCs w:val="22"/>
          <w:b w:val="1"/>
          <w:bCs w:val="1"/>
          <w:color w:val="auto"/>
        </w:rPr>
        <w:t>Negotiation Period</w:t>
      </w:r>
      <w:r>
        <w:rPr>
          <w:rFonts w:ascii="Times New Roman" w:cs="Times New Roman" w:eastAsia="Times New Roman" w:hAnsi="Times New Roman"/>
          <w:sz w:val="22"/>
          <w:szCs w:val="22"/>
          <w:color w:val="auto"/>
        </w:rPr>
        <w:t>”). Failure by ORIC to give written notice to Voronoi of its interest in negotiating the grant of rights to ORIC with respect to Available Technology within [***] days after ORIC’s receipt of an Availability Notice from Voronoi shall be deemed a waiver by ORIC of its right of first negotiation with respect to the Available Technology specified in such Availability Notice. In the event that ORIC and Voronoi fail to execute a definitive agreement within the Negotiation Period following the notice from ORIC of its desire to negotiate rights to the Available Technology specified in such Availability Notice, [***].</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color w:val="auto"/>
        </w:rPr>
        <w:t>No Other Rights</w:t>
      </w:r>
      <w:r>
        <w:rPr>
          <w:rFonts w:ascii="Times New Roman" w:cs="Times New Roman" w:eastAsia="Times New Roman" w:hAnsi="Times New Roman"/>
          <w:sz w:val="22"/>
          <w:szCs w:val="22"/>
          <w:color w:val="auto"/>
        </w:rPr>
        <w:t>. Except for the rights and licenses expressly granted in this Agreement, each Party retains all rights under its intellectual property, and no additional rights shall be deemed granted to either Party by implication, estoppel or otherwise. For clarity, the licenses and rights granted in this Agreement shall not be construed to convey any licenses or rights with respect to any Other Active Ingredient that is proprietary to the granting Party.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Within [***] days following the Effective Date, Voronoi and ORIC shall establish a Joint Steering Committee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to oversee and coordinate the Development of Licensed Products in the Republic of Korea, review and coordinate the Development of Licensed Products in the Voronoi Territory and otherwise provide a forum for information sharing with respect to the Development of Licensed Compounds and Licensed Products in the Territory, subject to the provisions of this Article III.</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Role</w:t>
      </w:r>
      <w:r>
        <w:rPr>
          <w:rFonts w:ascii="Times New Roman" w:cs="Times New Roman" w:eastAsia="Times New Roman" w:hAnsi="Times New Roman"/>
          <w:sz w:val="22"/>
          <w:szCs w:val="22"/>
          <w:color w:val="auto"/>
        </w:rPr>
        <w:t>. The JSC shall:</w:t>
      </w:r>
    </w:p>
    <w:p>
      <w:pPr>
        <w:spacing w:after="0" w:line="210" w:lineRule="exact"/>
        <w:rPr>
          <w:sz w:val="20"/>
          <w:szCs w:val="20"/>
          <w:color w:val="auto"/>
        </w:rPr>
      </w:pPr>
    </w:p>
    <w:p>
      <w:pPr>
        <w:ind w:left="1940" w:hanging="435"/>
        <w:spacing w:after="0"/>
        <w:tabs>
          <w:tab w:leader="none" w:pos="19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Voronoi’s activities to be conducted under the Research and Development Plan,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thereof;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0" w:name="page131"/>
    <w:bookmarkEnd w:id="130"/>
    <w:p>
      <w:pPr>
        <w:ind w:right="20" w:firstLine="1505"/>
        <w:spacing w:after="0" w:line="271" w:lineRule="auto"/>
        <w:tabs>
          <w:tab w:leader="none" w:pos="192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any proposed modification to the Development activities allocated to Voronoi under the Research and Development Plan and any proposed modification to the Research and Development Budget;</w:t>
      </w:r>
    </w:p>
    <w:p>
      <w:pPr>
        <w:spacing w:after="0" w:line="144"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a transition plan in the event of any transition of responsibility from Voronoi to ORIC under the Research and Development Plan;</w:t>
      </w:r>
    </w:p>
    <w:p>
      <w:pPr>
        <w:spacing w:after="0" w:line="171" w:lineRule="exact"/>
        <w:rPr>
          <w:rFonts w:ascii="Times New Roman" w:cs="Times New Roman" w:eastAsia="Times New Roman" w:hAnsi="Times New Roman"/>
          <w:sz w:val="22"/>
          <w:szCs w:val="22"/>
          <w:color w:val="auto"/>
        </w:rPr>
      </w:pPr>
    </w:p>
    <w:p>
      <w:pPr>
        <w:jc w:val="both"/>
        <w:ind w:right="20" w:firstLine="1505"/>
        <w:spacing w:after="0" w:line="250" w:lineRule="auto"/>
        <w:tabs>
          <w:tab w:leader="none" w:pos="192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forum for each Party to keep the other Party reasonably informed with respect to the Development activities conduct by or under the authority of such Party or its Affiliates with respect to Licensed Compounds and Licensed Products in the Territory; and</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duties as are specifically assigned to the JSC in this Agreement.</w:t>
      </w:r>
    </w:p>
    <w:p>
      <w:pPr>
        <w:spacing w:after="0" w:line="202"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Committee Membership</w:t>
      </w:r>
      <w:r>
        <w:rPr>
          <w:rFonts w:ascii="Times New Roman" w:cs="Times New Roman" w:eastAsia="Times New Roman" w:hAnsi="Times New Roman"/>
          <w:sz w:val="21"/>
          <w:szCs w:val="21"/>
          <w:color w:val="auto"/>
        </w:rPr>
        <w:t>. The JSC shall be composed of an equal number of representatives from each of ORIC and Voronoi, selected by such Party. Unless the Parties otherwise agree, ORIC and Voronoi shall each be entitled to appoint two</w:t>
      </w:r>
    </w:p>
    <w:p>
      <w:pPr>
        <w:jc w:val="both"/>
        <w:ind w:firstLine="8"/>
        <w:spacing w:after="0" w:line="239" w:lineRule="auto"/>
        <w:tabs>
          <w:tab w:leader="none" w:pos="30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representatives to the JSC. Either Party may replace its respective JSC representatives at any time with prior written notice to the other Party. Each representative to the JSC shall be an employee of the applicable Party, unless otherwise agreed by both Parties.</w:t>
      </w:r>
    </w:p>
    <w:p>
      <w:pPr>
        <w:spacing w:after="0" w:line="1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Committee Meetings</w:t>
      </w:r>
      <w:r>
        <w:rPr>
          <w:rFonts w:ascii="Times New Roman" w:cs="Times New Roman" w:eastAsia="Times New Roman" w:hAnsi="Times New Roman"/>
          <w:sz w:val="22"/>
          <w:szCs w:val="22"/>
          <w:color w:val="auto"/>
        </w:rPr>
        <w:t>. The JSC shall meet at least once each [***], or as more or less often as otherwise agreed to by the Parties. All JSC meetings may be conducted by telephone, video-conference, in person, or written consent as determined by the JSC. Each Party shall bear its own personnel and travel costs and expenses relating to JSC meetings. With the prior written consent of the other Party (not to be withheld unreasonably), other employee representatives of a Party may attend any JSC meeting as non-voting observers.</w:t>
      </w:r>
    </w:p>
    <w:p>
      <w:pPr>
        <w:spacing w:after="0" w:line="17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color w:val="auto"/>
        </w:rPr>
        <w:t>Decision-Making</w:t>
      </w:r>
      <w:r>
        <w:rPr>
          <w:rFonts w:ascii="Times New Roman" w:cs="Times New Roman" w:eastAsia="Times New Roman" w:hAnsi="Times New Roman"/>
          <w:sz w:val="21"/>
          <w:szCs w:val="21"/>
          <w:color w:val="auto"/>
        </w:rPr>
        <w:t>. Decisions of the JSC shall be made [***], with the representatives of each Party [***]. If the JSC cannot reach consensus as to any matter within the JSC’s decision-making authority within [***] days (or such longer period as may be mutually agreed by the Parties) from the date when such matter has been discussed in the JSC, then either Party may, by written notice to the other Party, have such matter referred to the Chief Executive Officer of ORIC (or his or her designee) and the Chief Executive Officer of Voronoi (or his or her designee) (collectively, the “</w:t>
      </w:r>
      <w:r>
        <w:rPr>
          <w:rFonts w:ascii="Times New Roman" w:cs="Times New Roman" w:eastAsia="Times New Roman" w:hAnsi="Times New Roman"/>
          <w:sz w:val="21"/>
          <w:szCs w:val="21"/>
          <w:b w:val="1"/>
          <w:bCs w:val="1"/>
          <w:color w:val="auto"/>
        </w:rPr>
        <w:t>Senior Executives</w:t>
      </w:r>
      <w:r>
        <w:rPr>
          <w:rFonts w:ascii="Times New Roman" w:cs="Times New Roman" w:eastAsia="Times New Roman" w:hAnsi="Times New Roman"/>
          <w:sz w:val="21"/>
          <w:szCs w:val="21"/>
          <w:color w:val="auto"/>
        </w:rPr>
        <w:t>”) who shall meet promptly and negotiate in good faith to resolve the dispute. If, despite such good faith efforts, the Senior Executives are unable to resolve such dispute within [***] days (or such longer period as may be mutually agreed by the Parties), then [***].</w:t>
      </w:r>
    </w:p>
    <w:p>
      <w:pPr>
        <w:spacing w:after="0" w:line="16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Alliance Managers</w:t>
      </w:r>
      <w:r>
        <w:rPr>
          <w:rFonts w:ascii="Times New Roman" w:cs="Times New Roman" w:eastAsia="Times New Roman" w:hAnsi="Times New Roman"/>
          <w:sz w:val="22"/>
          <w:szCs w:val="22"/>
          <w:color w:val="auto"/>
        </w:rPr>
        <w:t>. Within [***] days following the Effective Date, each Party shall appoint a representative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to facilitate communications between the Parties (including, coordinating the transfer of Data and other Voronoi Know-How as required under this Agreement) and to act as a liaison between the Parties with respect to such other matters as the Parties may mutually agree in order to maximize the efficiency of the collaboration. Each Party may replace its Alliance Manager with an alternative representative at any time with prior written notice to the other Party.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1" w:name="page132"/>
    <w:bookmarkEnd w:id="131"/>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b w:val="1"/>
          <w:bCs w:val="1"/>
          <w:color w:val="auto"/>
        </w:rPr>
        <w:t>Scope of Governance</w:t>
      </w:r>
      <w:r>
        <w:rPr>
          <w:rFonts w:ascii="Times New Roman" w:cs="Times New Roman" w:eastAsia="Times New Roman" w:hAnsi="Times New Roman"/>
          <w:sz w:val="22"/>
          <w:szCs w:val="22"/>
          <w:color w:val="auto"/>
        </w:rPr>
        <w:t>. Notwithstanding the creation of the JSC, each Party shall retain the rights, powers and discretion granted to it hereunder, and the JSC shall not be delegated or vested with rights, powers or discretion unless such delegation or vesting is expressly provided herein, or the Parties expressly so agree in writing. The JSC shall not have the power to amend or modify this Agreement, and no decision of the JSC shall be in contravention of any terms and conditions of this Agreement. The Alliance Managers shall not have any rights, powers or discretion except as expressly granted to the Alliance Managers hereunder and in no event shall the Alliance Managers have any power to modify or amend this Agreement. It is understood and agreed that issues to be formally decided by the JSC are only those specific issues that are expressly provided in this Agreement to be decided by the JSC.</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b w:val="1"/>
          <w:bCs w:val="1"/>
          <w:color w:val="auto"/>
        </w:rPr>
        <w:t>Discontinuation of JSC.</w:t>
      </w:r>
      <w:r>
        <w:rPr>
          <w:rFonts w:ascii="Times New Roman" w:cs="Times New Roman" w:eastAsia="Times New Roman" w:hAnsi="Times New Roman"/>
          <w:sz w:val="22"/>
          <w:szCs w:val="22"/>
          <w:color w:val="auto"/>
        </w:rPr>
        <w:t xml:space="preserve"> The JSC shall continue to exist until the first to occur of: (a) Parties mutually agreeing to disband the JSC, (b) Voronoi’s completion of the activities set forth in the Research and Development Plan allocated to Voronoi or (c) the Opt-Out Date. Once the JSC is disbanded, the JSC shall have no further obligations under this Agreement and, thereafter, the Alliance Managers shall be the points of contact for the exchange of information under this Agreement and decisions of the JSC (if any) shall be made [***] of the Parties, provided that if the Parties do not reach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AND REGULATORY ACTIVITIES</w:t>
      </w:r>
    </w:p>
    <w:p>
      <w:pPr>
        <w:spacing w:after="0" w:line="17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Except as expressly set forth in this Article IV, each Party, directly and/or through its Affiliates and/or one or more Third Parties, shall have the sole right and responsibility for the Development of Licensed Products within its respective Territory and shall bear all of the costs and expenses incurred in connection therewith.</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Development by Voronoi in ORIC Territory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505"/>
        <w:spacing w:after="0" w:line="247" w:lineRule="auto"/>
        <w:tabs>
          <w:tab w:leader="none" w:pos="192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Article IV, Voronoi, directly and/or through its Affiliates and/or one or more Third Parties, shall be responsible for the performance of Development activities that are allocated to Voronoi under the Research and Development Plan and, except as otherwise set forth in Section 7.6, shall bear all of the costs and expenses incurred in connection therewith. Voronoi shall conduct such Development activities in consultation with ORIC and in accordance with the Research and Development Plan and the Research and Development Budget and Voronoi shall not conduct any other Development activities outside of the Research and Development Plan in the ORIC Territory except with ORIC’s prior written consent. ORIC shall own, and Voronoi hereby assigns to ORIC, all right, title and interest in and to any information, data and/or materials (including patient samples collected in performance of any Clinical Studies) generated or collected by or on behalf of Voronoi or any of its Affiliates or any Third Party acting under Voronoi’s or its Affiliate’s authority in the performance of Voronoi’s activities under the Research and Development Plan, including all intellectual property rights therein (“</w:t>
      </w:r>
      <w:r>
        <w:rPr>
          <w:rFonts w:ascii="Times New Roman" w:cs="Times New Roman" w:eastAsia="Times New Roman" w:hAnsi="Times New Roman"/>
          <w:sz w:val="21"/>
          <w:szCs w:val="21"/>
          <w:b w:val="1"/>
          <w:bCs w:val="1"/>
          <w:color w:val="auto"/>
        </w:rPr>
        <w:t>Results</w:t>
      </w:r>
      <w:r>
        <w:rPr>
          <w:rFonts w:ascii="Times New Roman" w:cs="Times New Roman" w:eastAsia="Times New Roman" w:hAnsi="Times New Roman"/>
          <w:sz w:val="21"/>
          <w:szCs w:val="21"/>
          <w:color w:val="auto"/>
        </w:rPr>
        <w:t>”). Results shall be the Confidential Information of both Parties (with each of ORIC and Voronoi deemed the Receiving Party of Results), and with respect to Results, the exceptions set forth in Section 9.2(b) and 9.2(d) shall not apply.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32" w:name="page133"/>
    <w:bookmarkEnd w:id="132"/>
    <w:p>
      <w:pPr>
        <w:jc w:val="both"/>
        <w:ind w:firstLine="1505"/>
        <w:spacing w:after="0" w:line="250" w:lineRule="auto"/>
        <w:tabs>
          <w:tab w:leader="none" w:pos="19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may subcontract the performance of any Development activities that are allocated to Voronoi under the Research and Development Plan to one or more of its Affiliates or Third Parties only with [***] (each such Affiliate or Third Party, a “</w:t>
      </w:r>
      <w:r>
        <w:rPr>
          <w:rFonts w:ascii="Times New Roman" w:cs="Times New Roman" w:eastAsia="Times New Roman" w:hAnsi="Times New Roman"/>
          <w:sz w:val="22"/>
          <w:szCs w:val="22"/>
          <w:b w:val="1"/>
          <w:bCs w:val="1"/>
          <w:color w:val="auto"/>
        </w:rPr>
        <w:t>Subcontractor</w:t>
      </w:r>
      <w:r>
        <w:rPr>
          <w:rFonts w:ascii="Times New Roman" w:cs="Times New Roman" w:eastAsia="Times New Roman" w:hAnsi="Times New Roman"/>
          <w:sz w:val="22"/>
          <w:szCs w:val="22"/>
          <w:color w:val="auto"/>
        </w:rPr>
        <w:t>”) [***].</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Research and Development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52" w:lineRule="auto"/>
        <w:tabs>
          <w:tab w:leader="none" w:pos="19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Initial Research and Development Plan</w:t>
      </w:r>
      <w:r>
        <w:rPr>
          <w:rFonts w:ascii="Times New Roman" w:cs="Times New Roman" w:eastAsia="Times New Roman" w:hAnsi="Times New Roman"/>
          <w:sz w:val="22"/>
          <w:szCs w:val="22"/>
          <w:color w:val="auto"/>
        </w:rPr>
        <w:t>. Within [***] after the Effective Date, the Parties shall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 initial Research and Development Plan that is consistent with the Preliminary Research and Development Plan and an initial Research and Development Budget that is consistent with the Preliminary Research and Development Budget.</w:t>
      </w:r>
    </w:p>
    <w:p>
      <w:pPr>
        <w:spacing w:after="0" w:line="161" w:lineRule="exact"/>
        <w:rPr>
          <w:rFonts w:ascii="Times New Roman" w:cs="Times New Roman" w:eastAsia="Times New Roman" w:hAnsi="Times New Roman"/>
          <w:sz w:val="22"/>
          <w:szCs w:val="22"/>
          <w:color w:val="auto"/>
        </w:rPr>
      </w:pPr>
    </w:p>
    <w:p>
      <w:pPr>
        <w:jc w:val="both"/>
        <w:ind w:firstLine="1505"/>
        <w:spacing w:after="0" w:line="250" w:lineRule="auto"/>
        <w:tabs>
          <w:tab w:leader="none" w:pos="192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Changes to the Research and Development Plan</w:t>
      </w:r>
      <w:r>
        <w:rPr>
          <w:rFonts w:ascii="Times New Roman" w:cs="Times New Roman" w:eastAsia="Times New Roman" w:hAnsi="Times New Roman"/>
          <w:sz w:val="21"/>
          <w:szCs w:val="21"/>
          <w:color w:val="auto"/>
        </w:rPr>
        <w:t>. ORIC shall have the right to amend the Research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Development Plan from time-to-time at its discretion by providing written notice thereof to Voronoi, provided however that modification to the Development activities allocated to Voronoi under the Research and Development Plan and any modification to the Research and Development Budget shall be subject to review and approval by the JSC. Voronoi may propose amendments to the Development activities allocated to Voronoi under the Research and Development Plan and/or amendments to the Research and Development Budget, and shall submit any such proposed amendment to the JSC for review and approval. Once approved by the JSC, any such amendment shall become effective. Approval of any such amendment by the JSC shall be determined in accordance with Section 3.5. For avoidance of doubt, with respect to Development activities to be conducted under the Research and Development Plan, ORIC shall (through the JSC): (i) not have the right to increase Voronoi’s obligations under the then-current Research and Development Plan or Research and Development Budget, (ii) have the right to assume responsibility for the performance and costs of any of Voronoi’s Development activities under the then-current Research and Development Plan by allocating such activities to ORIC, and (iii) have the right to amend the Research and Development Plan to include Development activities for ORIC that are not allocated to either ORIC or Voronoi in the then-current Research and Development Plan.</w:t>
      </w:r>
    </w:p>
    <w:p>
      <w:pPr>
        <w:spacing w:after="0" w:line="185" w:lineRule="exact"/>
        <w:rPr>
          <w:rFonts w:ascii="Times New Roman" w:cs="Times New Roman" w:eastAsia="Times New Roman" w:hAnsi="Times New Roman"/>
          <w:sz w:val="21"/>
          <w:szCs w:val="21"/>
          <w:color w:val="auto"/>
        </w:rPr>
      </w:pPr>
    </w:p>
    <w:p>
      <w:pPr>
        <w:jc w:val="both"/>
        <w:ind w:firstLine="1505"/>
        <w:spacing w:after="0"/>
        <w:tabs>
          <w:tab w:leader="none" w:pos="192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Conduct of the Research and Development Plan</w:t>
      </w:r>
      <w:r>
        <w:rPr>
          <w:rFonts w:ascii="Times New Roman" w:cs="Times New Roman" w:eastAsia="Times New Roman" w:hAnsi="Times New Roman"/>
          <w:sz w:val="22"/>
          <w:szCs w:val="22"/>
          <w:color w:val="auto"/>
        </w:rPr>
        <w:t>. Each of Voronoi and ORIC shall [***], the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to it in the Research and Development Plan. Each Party shall carry out all such activities in accordance with the then-current Research and Development Plan and the provisions of this Agreement. Each Party will conduct such Development activities in good scientific manner and in compliance with applicable laws, including laws regarding environmental, safety and industrial hygiene, Good Laboratory Practices, Good Manufacturing Practices, Good Clinical Practices, current standards for pharmacovigilance practice, and all applicable requirements relating to the protection of human subjects, in each case, to the extent applicable to a given activity.</w:t>
      </w:r>
    </w:p>
    <w:p>
      <w:pPr>
        <w:spacing w:after="0" w:line="173" w:lineRule="exact"/>
        <w:rPr>
          <w:rFonts w:ascii="Times New Roman" w:cs="Times New Roman" w:eastAsia="Times New Roman" w:hAnsi="Times New Roman"/>
          <w:sz w:val="22"/>
          <w:szCs w:val="22"/>
          <w:color w:val="auto"/>
        </w:rPr>
      </w:pPr>
    </w:p>
    <w:p>
      <w:pPr>
        <w:jc w:val="both"/>
        <w:ind w:firstLine="1505"/>
        <w:spacing w:after="0" w:line="252" w:lineRule="auto"/>
        <w:tabs>
          <w:tab w:leader="none" w:pos="195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Day-to-Day Responsibility</w:t>
      </w:r>
      <w:r>
        <w:rPr>
          <w:rFonts w:ascii="Times New Roman" w:cs="Times New Roman" w:eastAsia="Times New Roman" w:hAnsi="Times New Roman"/>
          <w:sz w:val="22"/>
          <w:szCs w:val="22"/>
          <w:color w:val="auto"/>
        </w:rPr>
        <w:t>. Each Party shall be responsible for the day-to-day implementation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activities for which it (or any of its Affiliates) is assigned responsibility under the Research and Development Plan, and will keep the other Party reasonably informed as to the progress of such activities.</w:t>
      </w:r>
    </w:p>
    <w:p>
      <w:pPr>
        <w:spacing w:after="0" w:line="16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3" w:name="page134"/>
    <w:bookmarkEnd w:id="133"/>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Development Efforts</w:t>
      </w:r>
      <w:r>
        <w:rPr>
          <w:rFonts w:ascii="Times New Roman" w:cs="Times New Roman" w:eastAsia="Times New Roman" w:hAnsi="Times New Roman"/>
          <w:sz w:val="22"/>
          <w:szCs w:val="22"/>
          <w:color w:val="auto"/>
        </w:rPr>
        <w:t>. ORIC, directly and/or through its Affiliates, Sublicensees and/or other Third Parties, will use Commercially Reasonable Efforts to Develop, including seeking Regulatory Approval for, at least one (1) Licensed Product in [***] in the Major Markets.</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color w:val="auto"/>
        </w:rPr>
        <w:t>Development Reports</w:t>
      </w:r>
      <w:r>
        <w:rPr>
          <w:rFonts w:ascii="Times New Roman" w:cs="Times New Roman" w:eastAsia="Times New Roman" w:hAnsi="Times New Roman"/>
          <w:sz w:val="22"/>
          <w:szCs w:val="22"/>
          <w:color w:val="auto"/>
        </w:rPr>
        <w:t>. Within [***] days after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anniversary of the Effective Date and each anniversary of the Effective Date thereafter [***], each Party will provide to the other Party a written update summarizing the material activities conducted by such Party in the preceding [***] period, and anticipated to be conducted by such Party in the following [***] month period, with respect to the Development of Licensed Products in the ORIC Territory, including any material interactions with Regulatory Authorities in the ORIC Territory with respect to Licensed Products during the preceding [***] period.</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color w:val="auto"/>
        </w:rPr>
        <w:t>Compliance Audits</w:t>
      </w:r>
      <w:r>
        <w:rPr>
          <w:rFonts w:ascii="Times New Roman" w:cs="Times New Roman" w:eastAsia="Times New Roman" w:hAnsi="Times New Roman"/>
          <w:sz w:val="22"/>
          <w:szCs w:val="22"/>
          <w:color w:val="auto"/>
        </w:rPr>
        <w:t>. With respect to any facility or site at which Voronoi or any of its Affiliates or any Third Party acting on Voronoi’s behalf conducts Development activities in the ORIC Territory, ORIC shall have the right, at its expense, upon reasonable written notice to Voronoi (and, if applicable, such Affiliate), and during normal business hours, to inspect such site and facility and any records relating thereto once per year, or more often with cause, to verify compliance with the terms of this Agreement relating to compliance with all applicable laws, including Good Laboratory Practices, Good Manufacturing Practices, Good Clinical Practices and current standards for pharmacovigilance practice.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color w:val="auto"/>
        </w:rPr>
        <w:t>Development in the Voronoi Territory.</w:t>
      </w:r>
    </w:p>
    <w:p>
      <w:pPr>
        <w:spacing w:after="0" w:line="224" w:lineRule="exact"/>
        <w:rPr>
          <w:sz w:val="20"/>
          <w:szCs w:val="20"/>
          <w:color w:val="auto"/>
        </w:rPr>
      </w:pPr>
    </w:p>
    <w:p>
      <w:pPr>
        <w:jc w:val="both"/>
        <w:ind w:firstLine="1505"/>
        <w:spacing w:after="0" w:line="241" w:lineRule="auto"/>
        <w:tabs>
          <w:tab w:leader="none" w:pos="192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 after the first (1 </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anniversary of the Effective Date and each anniversary of the Effective Date thereafter, Voronoi will provide to ORIC a written update summarizing the material activities conducted by or under the authority of Voronoi or any of its Affiliates in the preceding [***] period, and anticipated to be conducted by or under the authority of Voronoi or any of its Affiliates in the following [***] period, with respect to the Development of Licensed Products in the Voronoi Territory, including any material interactions with Regulatory Authorities in the Voronoi Territory with respect to Licensed Products during the preceding [***] period.</w:t>
      </w:r>
    </w:p>
    <w:p>
      <w:pPr>
        <w:spacing w:after="0" w:line="176" w:lineRule="exact"/>
        <w:rPr>
          <w:rFonts w:ascii="Times New Roman" w:cs="Times New Roman" w:eastAsia="Times New Roman" w:hAnsi="Times New Roman"/>
          <w:sz w:val="22"/>
          <w:szCs w:val="22"/>
          <w:color w:val="auto"/>
        </w:rPr>
      </w:pPr>
    </w:p>
    <w:p>
      <w:pPr>
        <w:jc w:val="both"/>
        <w:ind w:firstLine="1505"/>
        <w:spacing w:after="0"/>
        <w:tabs>
          <w:tab w:leader="none" w:pos="192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at least [***] prior to the proposed initiation by Voronoi or any of its Affiliates or any Third Party acting under its or their authority of (i) any GLP-compliant pre-clinical study, the results of which would be required to be reported to any Regulatory Authority in the Voronoi Territory to which Voronoi has submitted or proposes to submit an IND or MAA for a Licensed Product, or (ii) any Clinical Study of a Licensed Product in the Voronoi Territory, Voronoi shall deliver to ORIC the draft protocol for such study or trial for review. ORIC shall review such draft protocol and notify Voronoi within [***] of ORIC’s receipt thereof if ORIC in good faith believes that the conduct or design of the proposed study or trial poses an unreasonable risk to the successful Development, registration or Commercialization of Licensed Products in the Field in the ORIC Territory. [***].</w:t>
      </w:r>
    </w:p>
    <w:p>
      <w:pPr>
        <w:spacing w:after="0" w:line="173"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b w:val="1"/>
          <w:bCs w:val="1"/>
          <w:color w:val="auto"/>
        </w:rPr>
        <w:t>Clinical Studies in the Other Party’s Territory</w:t>
      </w:r>
      <w:r>
        <w:rPr>
          <w:rFonts w:ascii="Times New Roman" w:cs="Times New Roman" w:eastAsia="Times New Roman" w:hAnsi="Times New Roman"/>
          <w:sz w:val="22"/>
          <w:szCs w:val="22"/>
          <w:color w:val="auto"/>
        </w:rPr>
        <w:t>. Neither Party shall conduct any Clinical Study in the other Party’s Territory without the prior written approval of the other Party.</w:t>
      </w: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4" w:name="page135"/>
    <w:bookmarkEnd w:id="134"/>
    <w:p>
      <w:pPr>
        <w:ind w:left="760"/>
        <w:spacing w:after="0"/>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b w:val="1"/>
          <w:bCs w:val="1"/>
          <w:color w:val="auto"/>
        </w:rPr>
        <w:t>Regulatory Submissions and Regulatory Approvals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505"/>
        <w:spacing w:after="0" w:line="238" w:lineRule="auto"/>
        <w:tabs>
          <w:tab w:leader="none" w:pos="194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ORIC, directly and/or through its Affiliates and/or one or more Third Parties,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right to seek and attempt to obtain all Regulatory Approvals for Licensed Products in the Field in the ORIC Territory and, as between the Parties, ORIC or its Affiliate shall own all Regulatory Filings, including all MAAs and Regulatory Approvals, for Licensed Products in the Field in the ORIC Territory. Voronoi or its Affiliate shall have the sole right to seek and attempt to obtain all Regulatory Approvals for Licensed Products in the Field in the Voronoi Territory and, as between the Parties, Voronoi or its Affiliate shall own all Regulatory Filings, including all MAAs and Regulatory Approvals, for Licensed Products in the Field in the Voronoi Territory. Each Party shall cooperate, at the other Party’s request, to facilitate discussions between such first Party’s personnel with knowledge of the Development of Licensed Products and the other Party, in order to assist the other Party in such other Party’s efforts to obtain one or more relevant Regulatory Approvals in such other Party’s Territory; provided, that, neither Party shall be required to incur any additional expenses, conduct any additional studies or modify its development efforts in order to provide such assistance</w:t>
      </w:r>
      <w:r>
        <w:rPr>
          <w:rFonts w:ascii="Times New Roman" w:cs="Times New Roman" w:eastAsia="Times New Roman" w:hAnsi="Times New Roman"/>
          <w:sz w:val="22"/>
          <w:szCs w:val="22"/>
          <w:i w:val="1"/>
          <w:iCs w:val="1"/>
          <w:color w:val="auto"/>
        </w:rPr>
        <w:t>.</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Regulatory Filings in the Republic of Korea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629"/>
        <w:spacing w:after="0" w:line="233" w:lineRule="auto"/>
        <w:tabs>
          <w:tab w:leader="none" w:pos="305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shall be responsible for providing such assistance as ORIC may reasonably request to enable ORIC to prepare and file all Regulatory Filings necessary or useful for the conduct of those activities in the Research and Development Plan, and for the filing of MAA(s) for the Licensed Products, in the Republic of Korea, including as set forth in and in accordance with the Research and Development Plan.</w:t>
      </w:r>
    </w:p>
    <w:p>
      <w:pPr>
        <w:spacing w:after="0" w:line="17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Regulatory Cooperation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629"/>
        <w:spacing w:after="0" w:line="250" w:lineRule="auto"/>
        <w:tabs>
          <w:tab w:leader="none" w:pos="305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shall be solely responsible for liaising with and managing, directly and/or through its Affiliates and/or one or more Third Parties, all interactions with Regulatory Authorities in the ORIC Territory, including with respect to all Regulatory Filings for Licensed Products in the ORIC Territory.</w:t>
      </w:r>
    </w:p>
    <w:p>
      <w:pPr>
        <w:spacing w:after="0" w:line="167" w:lineRule="exact"/>
        <w:rPr>
          <w:rFonts w:ascii="Times New Roman" w:cs="Times New Roman" w:eastAsia="Times New Roman" w:hAnsi="Times New Roman"/>
          <w:sz w:val="22"/>
          <w:szCs w:val="22"/>
          <w:color w:val="auto"/>
        </w:rPr>
      </w:pPr>
    </w:p>
    <w:p>
      <w:pPr>
        <w:jc w:val="both"/>
        <w:ind w:right="20" w:firstLine="2629"/>
        <w:spacing w:after="0" w:line="238" w:lineRule="auto"/>
        <w:tabs>
          <w:tab w:leader="none" w:pos="305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shall be entitled to observe interactions with the FDA and interactions with the MFDS as set forth in this Section 4.9(c)(ii) below, in each case ((A) – (C)), solely to the extent ORIC has the right to provide such notice, information, access or right of attendance to Voronoi.</w:t>
      </w:r>
    </w:p>
    <w:p>
      <w:pPr>
        <w:spacing w:after="0" w:line="165" w:lineRule="exact"/>
        <w:rPr>
          <w:rFonts w:ascii="Times New Roman" w:cs="Times New Roman" w:eastAsia="Times New Roman" w:hAnsi="Times New Roman"/>
          <w:sz w:val="22"/>
          <w:szCs w:val="22"/>
          <w:color w:val="auto"/>
        </w:rPr>
      </w:pPr>
    </w:p>
    <w:p>
      <w:pPr>
        <w:jc w:val="both"/>
        <w:ind w:firstLine="3003"/>
        <w:spacing w:after="0" w:line="244" w:lineRule="auto"/>
        <w:tabs>
          <w:tab w:leader="none" w:pos="3427"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shall provide Voronoi with reasonable advance notice of any substantive meeting (or telephone or similar substantive interaction) with the FDA or MFDS relating to a Licensed Product that is either scheduled or initiated by or under the authority of ORIC (and notice of any unscheduled substantive interaction that is initiated by the FDA or MFDS as promptly as practicable).</w:t>
      </w:r>
    </w:p>
    <w:p>
      <w:pPr>
        <w:spacing w:after="0" w:line="186" w:lineRule="exact"/>
        <w:rPr>
          <w:rFonts w:ascii="Times New Roman" w:cs="Times New Roman" w:eastAsia="Times New Roman" w:hAnsi="Times New Roman"/>
          <w:sz w:val="22"/>
          <w:szCs w:val="22"/>
          <w:color w:val="auto"/>
        </w:rPr>
      </w:pPr>
    </w:p>
    <w:p>
      <w:pPr>
        <w:jc w:val="both"/>
        <w:ind w:right="20" w:firstLine="3003"/>
        <w:spacing w:after="0" w:line="260" w:lineRule="auto"/>
        <w:tabs>
          <w:tab w:leader="none" w:pos="3427"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Voronoi shall have an opportunity to have up to [***] employee representative attend (solely as a non-participating observer), such substantive meetings and interactions with the FDA or MFDS, except to the extent</w:t>
      </w:r>
    </w:p>
    <w:p>
      <w:pPr>
        <w:spacing w:after="0" w:line="230" w:lineRule="auto"/>
        <w:rPr>
          <w:sz w:val="20"/>
          <w:szCs w:val="20"/>
          <w:color w:val="auto"/>
        </w:rPr>
      </w:pPr>
      <w:r>
        <w:rPr>
          <w:rFonts w:ascii="Times New Roman" w:cs="Times New Roman" w:eastAsia="Times New Roman" w:hAnsi="Times New Roman"/>
          <w:sz w:val="22"/>
          <w:szCs w:val="22"/>
          <w:color w:val="auto"/>
        </w:rPr>
        <w:t>the attendance by such Voronoi representative would prevent any representative of ORIC or any of its Affiliates or Sublicensees from attending such meeting; and in any case, ORIC shall keep Voronoi reasonably informed as to all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material interactions with the FDA or MFDS relating to any Licensed Product promptly following any such interaction.</w:t>
      </w:r>
    </w:p>
    <w:p>
      <w:pPr>
        <w:spacing w:after="0" w:line="220" w:lineRule="exact"/>
        <w:rPr>
          <w:sz w:val="20"/>
          <w:szCs w:val="20"/>
          <w:color w:val="auto"/>
        </w:rPr>
      </w:pPr>
    </w:p>
    <w:p>
      <w:pPr>
        <w:ind w:left="3440" w:hanging="437"/>
        <w:spacing w:after="0"/>
        <w:tabs>
          <w:tab w:leader="none" w:pos="34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shall promptly provide Voronoi with a written summary of any such substantive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 or interaction which Voronoi was prevented from attending pursuant to Section 4.9(c)(ii)(B).</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b w:val="1"/>
          <w:bCs w:val="1"/>
          <w:color w:val="auto"/>
        </w:rPr>
        <w:t>Right of Reference and Access to Data</w:t>
      </w:r>
      <w:r>
        <w:rPr>
          <w:rFonts w:ascii="Times New Roman" w:cs="Times New Roman" w:eastAsia="Times New Roman" w:hAnsi="Times New Roman"/>
          <w:sz w:val="22"/>
          <w:szCs w:val="22"/>
          <w:color w:val="auto"/>
        </w:rPr>
        <w:t>. ORIC shall have the right to cross-reference Voronoi’s and each of its Affiliate’s and licensee’s Regulatory Filings related to Licensed Products or, if applicable, Companion Diagnostics, and to access such Regulatory Filings and any Data therein and use such Data in connection with the performance of its obligations and exercise of its rights under this Agreement, including inclusion of such Data in its own Regulatory Filings for Licensed Products or Companion Diagnostics in the ORIC Territory. Voronoi hereby grants to ORIC a “Right of Reference,” as that term is defined in 21 C.F.R. § 314.3(b) in the United States, or an equivalent right of access/reference in any other country or region, to any Data, including Voronoi’s or any of its Affiliate’s or licensee’s clinical dossiers that relate to Licensed Products or Companion Diagnostics for use by ORIC to Develop and Commercialize Licensed Products and/or Companion Diagnostics in the Field in the ORIC Territory pursuant to this Agreement. Voronoi or such Affiliate or licensee shall provide a signed statement to this effect, if requested by ORIC, in accordance with 21 C.F.R. § 314.50(g)(3) or the equivalent as required in any country or region or otherwise provide appropriate notification of such right of ORIC to the applicable Regulatory Authority.</w:t>
      </w:r>
    </w:p>
    <w:p>
      <w:pPr>
        <w:spacing w:after="0" w:line="19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Inspection Right</w:t>
      </w:r>
      <w:r>
        <w:rPr>
          <w:rFonts w:ascii="Times New Roman" w:cs="Times New Roman" w:eastAsia="Times New Roman" w:hAnsi="Times New Roman"/>
          <w:sz w:val="22"/>
          <w:szCs w:val="22"/>
          <w:color w:val="auto"/>
        </w:rPr>
        <w:t>. To the extent Voronoi receives any written or oral communication from any Regulatory Authority in the ORIC Territory requiring any inspection of Voronoi’s or its Affiliate’s or their respective Subcontractor’s or licensee’s site or facility in connection with a Licensed Product or Companion Diagnostic, Voronoi shall notify ORIC and provide a copy of any such written communication as soon as reasonably practicable, and Voronoi shall cooperate and ensure that its Affiliates, Subcontractors and licensees cooperate with such Regulatory Authority during such inspection or audit. Further, Voronoi shall allow ORIC (or its designee) to be present at and participate in any such inspection or audit. Following receipt of the inspection or audit observations of such Regulatory Authority, Voronoi shall immediately provide a copy of such observations to ORIC, prepare the response to any such observations for ORIC’s prior review and approval, and keep ORIC fully informed as to such responses prior to their submission and to any ongoing correspondence with the applicable Regulatory Authority with respect to such inspection and observations.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Reporting; Adverse Drug Reactions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8" w:lineRule="auto"/>
        <w:tabs>
          <w:tab w:leader="none" w:pos="192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be responsible for all pharmacovigilance activities associated with Licensed Products in its respective Territory, including filing all reports required to be filed in order to maintain any IND for Licensed Products filed by or under the authority of such Party, and/or any Regulatory Approvals granted for Licensed Products, in its Territory (including reporting of adverse drug experiences, product quality complaints and safety data relating to Licensed Products in its Territory). Each Party shall promptly notify the other Party with respect to any material changes or material issues that may arise in connection with any IND for a Licensed Product filed by or under the authority of the first Party, and/or any Regulatory Approvals for a Licensed Product, in any country within its Territory. Each Party shall ensure that its Affiliates and licensees (and, in the case of ORIC,</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6" w:name="page137"/>
    <w:bookmarkEnd w:id="136"/>
    <w:p>
      <w:pPr>
        <w:jc w:val="both"/>
        <w:spacing w:after="0" w:line="244" w:lineRule="auto"/>
        <w:rPr>
          <w:sz w:val="20"/>
          <w:szCs w:val="20"/>
          <w:color w:val="auto"/>
        </w:rPr>
      </w:pPr>
      <w:r>
        <w:rPr>
          <w:rFonts w:ascii="Times New Roman" w:cs="Times New Roman" w:eastAsia="Times New Roman" w:hAnsi="Times New Roman"/>
          <w:sz w:val="22"/>
          <w:szCs w:val="22"/>
          <w:color w:val="auto"/>
        </w:rPr>
        <w:t>Sublicensees) comply with such reporting obligations. ORIC shall be responsible for core safety management of Licensed Products on a global basis; and Voronoi shall cooperate with and assist ORIC, as provided in any pharmacovigilance agreement executed by the Parties pursuant to Section 4.12(b) below, to enable ORIC to meet its regulatory reporting requirements with respect to the core safety management for Licensed Products on a global basis.</w:t>
      </w:r>
    </w:p>
    <w:p>
      <w:pPr>
        <w:spacing w:after="0" w:line="186" w:lineRule="exact"/>
        <w:rPr>
          <w:sz w:val="20"/>
          <w:szCs w:val="20"/>
          <w:color w:val="auto"/>
        </w:rPr>
      </w:pPr>
    </w:p>
    <w:p>
      <w:pPr>
        <w:jc w:val="both"/>
        <w:ind w:firstLine="1505"/>
        <w:spacing w:after="0" w:line="239" w:lineRule="auto"/>
        <w:tabs>
          <w:tab w:leader="none" w:pos="192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Effective Date, with the precise timing to be mutually agreed upon by the Parties, but in any event prior to initiation of the first Clinical Study of a Licensed Product, the Parties shall enter into a pharmacovigilance agreement on terms no less stringent than those required by applicable ICH Guidelines, including: (i) providing detailed procedures regarding the maintenance of core safety information and the exchange of safety data relating to Licensed Products throughout the Territory within appropriate time frames and in an appropriate format to enable each Party to meet its expedited and periodic regulatory reporting requirements; and (ii) ensuring compliance with the reporting requirements of all applicable Regulatory Authorities and all applicable legal and regulatory requirements for the management of safety data.</w:t>
      </w:r>
    </w:p>
    <w:p>
      <w:pPr>
        <w:spacing w:after="0" w:line="19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Without limiting Section 4.12(a) and Section 4.12(b) above, within a reasonable period of time following the Effective Date (with the precise timing to be mutually agreed upon by the Parties, but in any event prior to initiation of the first Clinical Study of a Licensed Product), each Party shall establish and thereafter maintain a safety database with respect to Licensed Products in such Party’s Territory, and shall exchange any safety data timely as established in the pharmacovigilance agreement between the Parties. The pharmacovigilance agreement shall include provisions to facilitate and ensure that each Party has sufficient information to maintain such a database.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No Harmful Actions.</w:t>
      </w:r>
      <w:r>
        <w:rPr>
          <w:rFonts w:ascii="Times New Roman" w:cs="Times New Roman" w:eastAsia="Times New Roman" w:hAnsi="Times New Roman"/>
          <w:sz w:val="22"/>
          <w:szCs w:val="22"/>
          <w:color w:val="auto"/>
        </w:rPr>
        <w:t xml:space="preserve"> If ORIC believes that Voronoi and/or any of its Affiliates and/or any Third Party acting under Voronoi’s or its Affiliate’s authority, is taking or intends to take any action with respect to a Licensed Product that could have a material adverse impact upon the regulatory status of any Licensed Product in the Field in the ORIC Territory, then ORIC shall have the right to bring the matter to the attention of the JSC, and the Parties shall discuss in good faith a resolution to such concern. Without limiting the foregoing, unless ORIC otherwise agrees and except as expressly set forth herein or in the Research and Development Plan: (a) neither Voronoi nor any of its Affiliates and/or any Third Party acting under Voronoi’s or its Affiliate’s authority shall communicate with any Regulatory Authority having jurisdiction in the ORIC Territory with respect to any Licensed Product, unless required by such Regulatory Authority, in which case Voronoi shall notify ORIC of such requirement within twenty-four (24) hours of such communication; and (b) neither Voronoi nor any of its Affiliates and/or any Third Party acting under Voronoi’s or its Affiliate’s authority shall submit any Regulatory Filing or seek any Regulatory Approval for any Licensed Product in the ORIC Territory.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MANUFACTURE AND SUPPLY</w:t>
      </w:r>
    </w:p>
    <w:p>
      <w:pPr>
        <w:spacing w:after="0" w:line="17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Except as expressly set forth in this Article V, each Party, directly and/or through its Affiliates and/or one or more Third Parties, shall be responsible for manufacturing Licensed Products and the components thereof (including Licensed Compounds) for Development and/or Commercialization by such Party in its Territory.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7" w:name="page138"/>
    <w:bookmarkEnd w:id="137"/>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Voronoi Manufacture for ORIC Territory</w:t>
      </w:r>
      <w:r>
        <w:rPr>
          <w:rFonts w:ascii="Times New Roman" w:cs="Times New Roman" w:eastAsia="Times New Roman" w:hAnsi="Times New Roman"/>
          <w:sz w:val="22"/>
          <w:szCs w:val="22"/>
          <w:color w:val="auto"/>
        </w:rPr>
        <w:t>. Subject to the terms of this Article V, Voronoi, directly and/or through its Affiliates and/or one or more Third Parties, shall be responsible for the manufacture of Licensed Compounds and Licensed Products for use in the Development of Licensed Products by or on behalf of Voronoi within the Republic of Korea and shall bear all of the costs and expenses incurred in connection therewith.</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Manufacturing Transfer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940" w:hanging="435"/>
        <w:spacing w:after="0"/>
        <w:tabs>
          <w:tab w:leader="none" w:pos="19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Effective Date, [***].</w:t>
      </w:r>
    </w:p>
    <w:p>
      <w:pPr>
        <w:spacing w:after="0" w:line="219"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if requested by ORIC, Voronoi shall (or shall cause its Third Party manufacturer(s) to) promptly disclose to ORIC or its designee, without additional charge, such Voronoi Know-How as is reasonably necessary or useful for the manufacture of Licensed Compounds and Licensed Products, including the manufacturing portions of any existing Regulatory Filings, in each case to the extent not previously provided to ORIC. Voronoi shall (or shall cause its Third Party manufacturer(s) to) provide reasonable technical assistance as reasonably requested by ORIC to promptly transfer the Manufacturing Process to ORIC or its designee and to otherwise effect the intent of the Parties set forth in this Section 5.3. Voronoi shall provide such assistance without charge, provided that in the event that a Licensed Compound and/or Licensed Product is being manufactured for Voronoi by a Third Party and ORIC requests the technical assistance of such Third Party manufacturer in connection with such transfer, or the assistance of such Third Party manufacturer is necessary to effectuate such transfer, ORIC agrees to reimburse Voronoi with respect to reasonable amounts paid to such Third Party for such technical assistance rendered to ORIC under this Section 5.3(b).</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Supply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8"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agrees to supply ORIC with those quantities of Licensed Compounds and/or Licensed Products as are reasonably requested by ORIC for use in the Development of Licensed Products in the ORIC Territory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Supply</w:t>
      </w:r>
      <w:r>
        <w:rPr>
          <w:rFonts w:ascii="Times New Roman" w:cs="Times New Roman" w:eastAsia="Times New Roman" w:hAnsi="Times New Roman"/>
          <w:sz w:val="22"/>
          <w:szCs w:val="22"/>
          <w:color w:val="auto"/>
        </w:rPr>
        <w:t>”) in accordance with this Article V and Section 13.2 during the period beginning on the Effective Date until the earlier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Development Supply will be supplied to ORIC at [***].</w:t>
      </w:r>
    </w:p>
    <w:p>
      <w:pPr>
        <w:spacing w:after="0" w:line="206" w:lineRule="exact"/>
        <w:rPr>
          <w:rFonts w:ascii="Times New Roman" w:cs="Times New Roman" w:eastAsia="Times New Roman" w:hAnsi="Times New Roman"/>
          <w:sz w:val="22"/>
          <w:szCs w:val="22"/>
          <w:color w:val="auto"/>
        </w:rPr>
      </w:pPr>
    </w:p>
    <w:p>
      <w:pPr>
        <w:jc w:val="both"/>
        <w:ind w:firstLine="1505"/>
        <w:spacing w:after="0" w:line="241"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ORIC’s orders for Development Supply shall be made pursuant to a purchase order which is in a form mutually acceptable to the Parties, as agreed upon from time to time by ORIC and Voronoi. Any terms or conditions of any acknowledgment given or received which are additional to or inconsistent with the terms of the agreed upon form of purchase order shall have no effect, and such terms and conditions are hereby excluded and rejected by each Party. Voronoi shall use [***] to deliver the Development Supply requested by ORIC on the due date designated by ORIC in the relevant order provided such order has been placed by ORIC at least [***] in advance of the requested delivery date. [***].</w:t>
      </w:r>
    </w:p>
    <w:p>
      <w:pPr>
        <w:spacing w:after="0" w:line="190" w:lineRule="exact"/>
        <w:rPr>
          <w:rFonts w:ascii="Times New Roman" w:cs="Times New Roman" w:eastAsia="Times New Roman" w:hAnsi="Times New Roman"/>
          <w:sz w:val="22"/>
          <w:szCs w:val="22"/>
          <w:color w:val="auto"/>
        </w:rPr>
      </w:pPr>
    </w:p>
    <w:p>
      <w:pPr>
        <w:jc w:val="both"/>
        <w:ind w:firstLine="1505"/>
        <w:spacing w:after="0" w:line="242" w:lineRule="auto"/>
        <w:tabs>
          <w:tab w:leader="none" w:pos="192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ORIC’s request, the Parties shall enter into a separate clinical supply agreement and quality agreement substantially reflecting the terms and conditions of this Section 5.4 and of Section 13.2, as well as other customary terms and conditions (the “</w:t>
      </w:r>
      <w:r>
        <w:rPr>
          <w:rFonts w:ascii="Times New Roman" w:cs="Times New Roman" w:eastAsia="Times New Roman" w:hAnsi="Times New Roman"/>
          <w:sz w:val="22"/>
          <w:szCs w:val="22"/>
          <w:b w:val="1"/>
          <w:bCs w:val="1"/>
          <w:color w:val="auto"/>
        </w:rPr>
        <w:t>Clinical Supply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8" w:name="page139"/>
    <w:bookmarkEnd w:id="138"/>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Until such time as the Parties have executed a separate Clinical Supply Agreement and quality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Section 5.4 and of Section 13.2 shall govern the supply of Development Supply.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COMMERCIALIZATION</w:t>
      </w:r>
    </w:p>
    <w:p>
      <w:pPr>
        <w:spacing w:after="0" w:line="17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ORIC Commercialization</w:t>
      </w:r>
      <w:r>
        <w:rPr>
          <w:rFonts w:ascii="Times New Roman" w:cs="Times New Roman" w:eastAsia="Times New Roman" w:hAnsi="Times New Roman"/>
          <w:sz w:val="22"/>
          <w:szCs w:val="22"/>
          <w:color w:val="auto"/>
        </w:rPr>
        <w:t>. As between the Parties, ORIC shall be solely responsible for, and shall control the conduct of, the Commercialization of Licensed Products in the ORIC Territory, at its expense, and shall book all sales of Licensed Products in the ORIC Territory.</w:t>
      </w:r>
    </w:p>
    <w:p>
      <w:pPr>
        <w:spacing w:after="0" w:line="16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Commercialization Efforts</w:t>
      </w:r>
      <w:r>
        <w:rPr>
          <w:rFonts w:ascii="Times New Roman" w:cs="Times New Roman" w:eastAsia="Times New Roman" w:hAnsi="Times New Roman"/>
          <w:sz w:val="22"/>
          <w:szCs w:val="22"/>
          <w:color w:val="auto"/>
        </w:rPr>
        <w:t>. Following receipt of all applicable Regulatory Approvals, ORIC, directly and/or through its Affiliates, Sublicensees and/or other Third Parties, will use Commercially Reasonable Efforts to Commercialize at least one (1) Licensed Product in at least [***] in the Major Markets.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6.3  [***].</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PAYMENTS</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Upfront Payment</w:t>
      </w:r>
      <w:r>
        <w:rPr>
          <w:rFonts w:ascii="Times New Roman" w:cs="Times New Roman" w:eastAsia="Times New Roman" w:hAnsi="Times New Roman"/>
          <w:sz w:val="22"/>
          <w:szCs w:val="22"/>
          <w:color w:val="auto"/>
        </w:rPr>
        <w:t>. ORIC shall pay to Voronoi an upfront payment equal to five million U.S. dollars ($5,000,000) within [***] days following the Effective Date in accordance with the payment provisions of Article VIII and subject to the receipt of an invoice from Voronoi. In addition, ORIC will issue shares of common stock of ORIC to Voronoi in accordance with the terms set forth in the Stock Issuance Agreements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505"/>
        <w:spacing w:after="0"/>
        <w:tabs>
          <w:tab w:leader="none" w:pos="19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 In addition, ORIC shall pay to Voronoi the one-time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 payments set out below following the first achievement by ORIC, and/or any of its Affiliates or Sublicensees, of the corresponding milestone events set out below (each, a “</w:t>
      </w:r>
      <w:r>
        <w:rPr>
          <w:rFonts w:ascii="Times New Roman" w:cs="Times New Roman" w:eastAsia="Times New Roman" w:hAnsi="Times New Roman"/>
          <w:sz w:val="22"/>
          <w:szCs w:val="22"/>
          <w:b w:val="1"/>
          <w:bCs w:val="1"/>
          <w:color w:val="auto"/>
        </w:rPr>
        <w:t>Development Milestone Event</w:t>
      </w:r>
      <w:r>
        <w:rPr>
          <w:rFonts w:ascii="Times New Roman" w:cs="Times New Roman" w:eastAsia="Times New Roman" w:hAnsi="Times New Roman"/>
          <w:sz w:val="22"/>
          <w:szCs w:val="22"/>
          <w:color w:val="auto"/>
        </w:rPr>
        <w:t>”) with respect to the first Licensed Product to achieve such stage of Development, with respect to Development Milestone Events 1 through 13, or the second Licensed Product to achieve such stage of Development, with respect to Development Milestone Events 14 through 21b, in accordance with this Section 7.2 and the payment provisions in Article VIII and following receipt of the relevant invoice from Voronoi as further described in Section 7.2(c). [***].</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13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No.</w:t>
            </w:r>
          </w:p>
        </w:tc>
        <w:tc>
          <w:tcPr>
            <w:tcW w:w="3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Development Milestone Event</w:t>
            </w:r>
          </w:p>
        </w:tc>
        <w:tc>
          <w:tcPr>
            <w:tcW w:w="3440" w:type="dxa"/>
            <w:vAlign w:val="bottom"/>
            <w:tcBorders>
              <w:top w:val="single" w:sz="8" w:color="auto"/>
              <w:right w:val="single" w:sz="8" w:color="auto"/>
            </w:tcBorders>
          </w:tcPr>
          <w:p>
            <w:pPr>
              <w:spacing w:after="0"/>
              <w:rPr>
                <w:sz w:val="24"/>
                <w:szCs w:val="24"/>
                <w:color w:val="auto"/>
              </w:rPr>
            </w:pPr>
          </w:p>
        </w:tc>
        <w:tc>
          <w:tcPr>
            <w:tcW w:w="29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Payment</w:t>
            </w:r>
          </w:p>
        </w:tc>
      </w:tr>
      <w:tr>
        <w:trPr>
          <w:trHeight w:val="52"/>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6"/>
        </w:trPr>
        <w:tc>
          <w:tcPr>
            <w:tcW w:w="1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4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4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4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465"/>
        </w:trPr>
        <w:tc>
          <w:tcPr>
            <w:tcW w:w="1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40" w:type="dxa"/>
            <w:vAlign w:val="bottom"/>
          </w:tcPr>
          <w:p>
            <w:pPr>
              <w:jc w:val="right"/>
              <w:ind w:right="2372"/>
              <w:spacing w:after="0"/>
              <w:rPr>
                <w:sz w:val="20"/>
                <w:szCs w:val="20"/>
                <w:color w:val="auto"/>
              </w:rPr>
            </w:pPr>
            <w:r>
              <w:rPr>
                <w:rFonts w:ascii="Times New Roman" w:cs="Times New Roman" w:eastAsia="Times New Roman" w:hAnsi="Times New Roman"/>
                <w:sz w:val="22"/>
                <w:szCs w:val="22"/>
                <w:color w:val="auto"/>
              </w:rPr>
              <w:t>-12-</w:t>
            </w:r>
          </w:p>
        </w:tc>
        <w:tc>
          <w:tcPr>
            <w:tcW w:w="2960" w:type="dxa"/>
            <w:vAlign w:val="bottom"/>
          </w:tcPr>
          <w:p>
            <w:pPr>
              <w:spacing w:after="0"/>
              <w:rPr>
                <w:sz w:val="24"/>
                <w:szCs w:val="24"/>
                <w:color w:val="auto"/>
              </w:rPr>
            </w:pPr>
          </w:p>
        </w:tc>
      </w:tr>
      <w:tr>
        <w:trPr>
          <w:trHeight w:val="211"/>
        </w:trPr>
        <w:tc>
          <w:tcPr>
            <w:tcW w:w="138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3440" w:type="dxa"/>
            <w:vAlign w:val="bottom"/>
            <w:tcBorders>
              <w:bottom w:val="single" w:sz="8" w:color="9A9A9A"/>
            </w:tcBorders>
          </w:tcPr>
          <w:p>
            <w:pPr>
              <w:spacing w:after="0"/>
              <w:rPr>
                <w:sz w:val="18"/>
                <w:szCs w:val="18"/>
                <w:color w:val="auto"/>
              </w:rPr>
            </w:pPr>
          </w:p>
        </w:tc>
        <w:tc>
          <w:tcPr>
            <w:tcW w:w="29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326"/>
        </w:trPr>
        <w:tc>
          <w:tcPr>
            <w:tcW w:w="1380" w:type="dxa"/>
            <w:vAlign w:val="bottom"/>
            <w:tcBorders>
              <w:top w:val="single" w:sz="8" w:color="auto"/>
              <w:left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2"/>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6"/>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spacing w:after="0"/>
              <w:rPr>
                <w:sz w:val="24"/>
                <w:szCs w:val="24"/>
                <w:color w:val="auto"/>
              </w:rPr>
            </w:pP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Total Development Milestone Payments for the first Licensed Product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$111,000,000</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3"/>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302"/>
        </w:trPr>
        <w:tc>
          <w:tcPr>
            <w:tcW w:w="1380" w:type="dxa"/>
            <w:vAlign w:val="bottom"/>
            <w:tcBorders>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38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r>
        <w:trPr>
          <w:trHeight w:val="465"/>
        </w:trPr>
        <w:tc>
          <w:tcPr>
            <w:tcW w:w="1380" w:type="dxa"/>
            <w:vAlign w:val="bottom"/>
          </w:tcPr>
          <w:p>
            <w:pPr>
              <w:spacing w:after="0"/>
              <w:rPr>
                <w:sz w:val="24"/>
                <w:szCs w:val="24"/>
                <w:color w:val="auto"/>
              </w:rPr>
            </w:pPr>
          </w:p>
        </w:tc>
        <w:tc>
          <w:tcPr>
            <w:tcW w:w="6900" w:type="dxa"/>
            <w:vAlign w:val="bottom"/>
          </w:tcPr>
          <w:p>
            <w:pPr>
              <w:ind w:left="4060"/>
              <w:spacing w:after="0"/>
              <w:rPr>
                <w:sz w:val="20"/>
                <w:szCs w:val="20"/>
                <w:color w:val="auto"/>
              </w:rPr>
            </w:pPr>
            <w:r>
              <w:rPr>
                <w:rFonts w:ascii="Times New Roman" w:cs="Times New Roman" w:eastAsia="Times New Roman" w:hAnsi="Times New Roman"/>
                <w:sz w:val="22"/>
                <w:szCs w:val="22"/>
                <w:color w:val="auto"/>
              </w:rPr>
              <w:t>-13-</w:t>
            </w:r>
          </w:p>
        </w:tc>
        <w:tc>
          <w:tcPr>
            <w:tcW w:w="2960" w:type="dxa"/>
            <w:vAlign w:val="bottom"/>
          </w:tcPr>
          <w:p>
            <w:pPr>
              <w:spacing w:after="0"/>
              <w:rPr>
                <w:sz w:val="24"/>
                <w:szCs w:val="24"/>
                <w:color w:val="auto"/>
              </w:rPr>
            </w:pPr>
          </w:p>
        </w:tc>
      </w:tr>
      <w:tr>
        <w:trPr>
          <w:trHeight w:val="211"/>
        </w:trPr>
        <w:tc>
          <w:tcPr>
            <w:tcW w:w="1380" w:type="dxa"/>
            <w:vAlign w:val="bottom"/>
            <w:tcBorders>
              <w:bottom w:val="single" w:sz="8" w:color="9A9A9A"/>
            </w:tcBorders>
          </w:tcPr>
          <w:p>
            <w:pPr>
              <w:spacing w:after="0"/>
              <w:rPr>
                <w:sz w:val="18"/>
                <w:szCs w:val="18"/>
                <w:color w:val="auto"/>
              </w:rPr>
            </w:pPr>
          </w:p>
        </w:tc>
        <w:tc>
          <w:tcPr>
            <w:tcW w:w="6900" w:type="dxa"/>
            <w:vAlign w:val="bottom"/>
            <w:tcBorders>
              <w:bottom w:val="single" w:sz="8" w:color="9A9A9A"/>
            </w:tcBorders>
          </w:tcPr>
          <w:p>
            <w:pPr>
              <w:spacing w:after="0"/>
              <w:rPr>
                <w:sz w:val="18"/>
                <w:szCs w:val="18"/>
                <w:color w:val="auto"/>
              </w:rPr>
            </w:pPr>
          </w:p>
        </w:tc>
        <w:tc>
          <w:tcPr>
            <w:tcW w:w="29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0" w:name="page141"/>
    <w:bookmarkEnd w:id="140"/>
    <w:tbl>
      <w:tblPr>
        <w:tblLayout w:type="fixed"/>
        <w:tblInd w:w="10" w:type="dxa"/>
        <w:tblCellMar>
          <w:top w:w="0" w:type="dxa"/>
          <w:left w:w="0" w:type="dxa"/>
          <w:bottom w:w="0" w:type="dxa"/>
          <w:right w:w="0" w:type="dxa"/>
        </w:tblCellMar>
      </w:tblPr>
      <w:tr>
        <w:trPr>
          <w:trHeight w:val="326"/>
        </w:trPr>
        <w:tc>
          <w:tcPr>
            <w:tcW w:w="1380" w:type="dxa"/>
            <w:vAlign w:val="bottom"/>
            <w:tcBorders>
              <w:top w:val="single" w:sz="8" w:color="auto"/>
              <w:left w:val="single" w:sz="8" w:color="auto"/>
              <w:right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w:t>
            </w:r>
          </w:p>
        </w:tc>
        <w:tc>
          <w:tcPr>
            <w:tcW w:w="6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60" w:type="dxa"/>
            <w:vAlign w:val="bottom"/>
            <w:tcBorders>
              <w:top w:val="single" w:sz="8" w:color="auto"/>
              <w:right w:val="single" w:sz="8" w:color="auto"/>
            </w:tcBorders>
          </w:tcPr>
          <w:p>
            <w:pPr>
              <w:jc w:val="right"/>
              <w:ind w:right="2292"/>
              <w:spacing w:after="0"/>
              <w:rPr>
                <w:sz w:val="20"/>
                <w:szCs w:val="20"/>
                <w:color w:val="auto"/>
              </w:rPr>
            </w:pPr>
            <w:r>
              <w:rPr>
                <w:rFonts w:ascii="Times New Roman" w:cs="Times New Roman" w:eastAsia="Times New Roman" w:hAnsi="Times New Roman"/>
                <w:sz w:val="22"/>
                <w:szCs w:val="22"/>
                <w:color w:val="auto"/>
              </w:rPr>
              <w:t>[***]</w:t>
            </w:r>
          </w:p>
        </w:tc>
      </w:tr>
      <w:tr>
        <w:trPr>
          <w:trHeight w:val="72"/>
        </w:trPr>
        <w:tc>
          <w:tcPr>
            <w:tcW w:w="1380" w:type="dxa"/>
            <w:vAlign w:val="bottom"/>
            <w:tcBorders>
              <w:left w:val="single" w:sz="8" w:color="auto"/>
              <w:bottom w:val="single" w:sz="8" w:color="auto"/>
              <w:right w:val="single" w:sz="8" w:color="auto"/>
            </w:tcBorders>
          </w:tcPr>
          <w:p>
            <w:pPr>
              <w:spacing w:after="0"/>
              <w:rPr>
                <w:sz w:val="6"/>
                <w:szCs w:val="6"/>
                <w:color w:val="auto"/>
              </w:rPr>
            </w:pPr>
          </w:p>
        </w:tc>
        <w:tc>
          <w:tcPr>
            <w:tcW w:w="6900" w:type="dxa"/>
            <w:vAlign w:val="bottom"/>
            <w:tcBorders>
              <w:bottom w:val="single" w:sz="8" w:color="auto"/>
              <w:right w:val="single" w:sz="8" w:color="auto"/>
            </w:tcBorders>
          </w:tcPr>
          <w:p>
            <w:pPr>
              <w:spacing w:after="0"/>
              <w:rPr>
                <w:sz w:val="6"/>
                <w:szCs w:val="6"/>
                <w:color w:val="auto"/>
              </w:rPr>
            </w:pPr>
          </w:p>
        </w:tc>
        <w:tc>
          <w:tcPr>
            <w:tcW w:w="2960" w:type="dxa"/>
            <w:vAlign w:val="bottom"/>
            <w:tcBorders>
              <w:bottom w:val="single" w:sz="8" w:color="auto"/>
              <w:right w:val="single" w:sz="8" w:color="auto"/>
            </w:tcBorders>
          </w:tcPr>
          <w:p>
            <w:pPr>
              <w:spacing w:after="0"/>
              <w:rPr>
                <w:sz w:val="6"/>
                <w:szCs w:val="6"/>
                <w:color w:val="auto"/>
              </w:rPr>
            </w:pPr>
          </w:p>
        </w:tc>
      </w:tr>
      <w:tr>
        <w:trPr>
          <w:trHeight w:val="229"/>
        </w:trPr>
        <w:tc>
          <w:tcPr>
            <w:tcW w:w="1380" w:type="dxa"/>
            <w:vAlign w:val="bottom"/>
            <w:tcBorders>
              <w:left w:val="single" w:sz="8" w:color="auto"/>
              <w:right w:val="single" w:sz="8" w:color="auto"/>
            </w:tcBorders>
          </w:tcPr>
          <w:p>
            <w:pPr>
              <w:spacing w:after="0"/>
              <w:rPr>
                <w:sz w:val="19"/>
                <w:szCs w:val="19"/>
                <w:color w:val="auto"/>
              </w:rPr>
            </w:pPr>
          </w:p>
        </w:tc>
        <w:tc>
          <w:tcPr>
            <w:tcW w:w="690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b w:val="1"/>
                <w:bCs w:val="1"/>
                <w:color w:val="auto"/>
              </w:rPr>
              <w:t>Total Development Milestone Payments for the second Licensed</w:t>
            </w:r>
          </w:p>
        </w:tc>
        <w:tc>
          <w:tcPr>
            <w:tcW w:w="2960" w:type="dxa"/>
            <w:vAlign w:val="bottom"/>
            <w:tcBorders>
              <w:right w:val="single" w:sz="8" w:color="auto"/>
            </w:tcBorders>
          </w:tcPr>
          <w:p>
            <w:pPr>
              <w:jc w:val="right"/>
              <w:ind w:right="2292"/>
              <w:spacing w:after="0" w:line="229" w:lineRule="exact"/>
              <w:rPr>
                <w:sz w:val="20"/>
                <w:szCs w:val="20"/>
                <w:color w:val="auto"/>
              </w:rPr>
            </w:pPr>
            <w:r>
              <w:rPr>
                <w:rFonts w:ascii="Times New Roman" w:cs="Times New Roman" w:eastAsia="Times New Roman" w:hAnsi="Times New Roman"/>
                <w:sz w:val="22"/>
                <w:szCs w:val="22"/>
                <w:color w:val="auto"/>
              </w:rPr>
              <w:t>[***]</w:t>
            </w:r>
          </w:p>
        </w:tc>
      </w:tr>
      <w:tr>
        <w:trPr>
          <w:trHeight w:val="286"/>
        </w:trPr>
        <w:tc>
          <w:tcPr>
            <w:tcW w:w="1380" w:type="dxa"/>
            <w:vAlign w:val="bottom"/>
            <w:tcBorders>
              <w:left w:val="single" w:sz="8" w:color="auto"/>
              <w:right w:val="single" w:sz="8" w:color="auto"/>
            </w:tcBorders>
          </w:tcPr>
          <w:p>
            <w:pPr>
              <w:spacing w:after="0"/>
              <w:rPr>
                <w:sz w:val="24"/>
                <w:szCs w:val="24"/>
                <w:color w:val="auto"/>
              </w:rPr>
            </w:pPr>
          </w:p>
        </w:tc>
        <w:tc>
          <w:tcPr>
            <w:tcW w:w="6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Product</w:t>
            </w:r>
          </w:p>
        </w:tc>
        <w:tc>
          <w:tcPr>
            <w:tcW w:w="2960" w:type="dxa"/>
            <w:vAlign w:val="bottom"/>
            <w:tcBorders>
              <w:right w:val="single" w:sz="8" w:color="auto"/>
            </w:tcBorders>
          </w:tcPr>
          <w:p>
            <w:pPr>
              <w:spacing w:after="0"/>
              <w:rPr>
                <w:sz w:val="24"/>
                <w:szCs w:val="24"/>
                <w:color w:val="auto"/>
              </w:rPr>
            </w:pPr>
          </w:p>
        </w:tc>
      </w:tr>
      <w:tr>
        <w:trPr>
          <w:trHeight w:val="56"/>
        </w:trPr>
        <w:tc>
          <w:tcPr>
            <w:tcW w:w="1380" w:type="dxa"/>
            <w:vAlign w:val="bottom"/>
            <w:tcBorders>
              <w:left w:val="single" w:sz="8" w:color="auto"/>
              <w:bottom w:val="single" w:sz="8" w:color="auto"/>
              <w:right w:val="single" w:sz="8" w:color="auto"/>
            </w:tcBorders>
          </w:tcPr>
          <w:p>
            <w:pPr>
              <w:spacing w:after="0"/>
              <w:rPr>
                <w:sz w:val="4"/>
                <w:szCs w:val="4"/>
                <w:color w:val="auto"/>
              </w:rPr>
            </w:pPr>
          </w:p>
        </w:tc>
        <w:tc>
          <w:tcPr>
            <w:tcW w:w="6900" w:type="dxa"/>
            <w:vAlign w:val="bottom"/>
            <w:tcBorders>
              <w:bottom w:val="single" w:sz="8" w:color="auto"/>
              <w:right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r>
    </w:tbl>
    <w:p>
      <w:pPr>
        <w:spacing w:after="0" w:line="185" w:lineRule="exact"/>
        <w:rPr>
          <w:sz w:val="20"/>
          <w:szCs w:val="20"/>
          <w:color w:val="auto"/>
        </w:rPr>
      </w:pPr>
    </w:p>
    <w:p>
      <w:pPr>
        <w:ind w:left="1940" w:hanging="435"/>
        <w:spacing w:after="0"/>
        <w:tabs>
          <w:tab w:leader="none" w:pos="19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Terms With Respect to Development Milestone Payments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29"/>
        <w:spacing w:after="0" w:line="268" w:lineRule="auto"/>
        <w:tabs>
          <w:tab w:leader="none" w:pos="3053"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if two or more Development milestone payments become due based on Initiation of any single Clinical Study or receipt of any single Regulatory Approval, and the aggregate of such Development milestone payments would exceed [***], then ORIC shall have the right to defer payment of such amount due in excess of [***].</w:t>
      </w:r>
    </w:p>
    <w:p>
      <w:pPr>
        <w:spacing w:after="0" w:line="149" w:lineRule="exact"/>
        <w:rPr>
          <w:rFonts w:ascii="Times New Roman" w:cs="Times New Roman" w:eastAsia="Times New Roman" w:hAnsi="Times New Roman"/>
          <w:sz w:val="21"/>
          <w:szCs w:val="21"/>
          <w:color w:val="auto"/>
        </w:rPr>
      </w:pPr>
    </w:p>
    <w:p>
      <w:pPr>
        <w:jc w:val="both"/>
        <w:ind w:firstLine="2629"/>
        <w:spacing w:after="0" w:line="250" w:lineRule="auto"/>
        <w:tabs>
          <w:tab w:leader="none" w:pos="305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this Section 7.2 above, if the Development of a particular Licensed Product is discontinued (other than with respect to wind-down activities or other activities required by applicable law) (“</w:t>
      </w:r>
      <w:r>
        <w:rPr>
          <w:rFonts w:ascii="Times New Roman" w:cs="Times New Roman" w:eastAsia="Times New Roman" w:hAnsi="Times New Roman"/>
          <w:sz w:val="22"/>
          <w:szCs w:val="22"/>
          <w:b w:val="1"/>
          <w:bCs w:val="1"/>
          <w:color w:val="auto"/>
        </w:rPr>
        <w:t>Discontinued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w:t>
      </w:r>
    </w:p>
    <w:p>
      <w:pPr>
        <w:spacing w:after="0" w:line="167" w:lineRule="exact"/>
        <w:rPr>
          <w:rFonts w:ascii="Times New Roman" w:cs="Times New Roman" w:eastAsia="Times New Roman" w:hAnsi="Times New Roman"/>
          <w:sz w:val="22"/>
          <w:szCs w:val="22"/>
          <w:color w:val="auto"/>
        </w:rPr>
      </w:pPr>
    </w:p>
    <w:p>
      <w:pPr>
        <w:jc w:val="both"/>
        <w:ind w:firstLine="2629"/>
        <w:spacing w:after="0" w:line="243" w:lineRule="auto"/>
        <w:tabs>
          <w:tab w:leader="none" w:pos="305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foregoing milestone payments shall be paid no more than once and no amounts shall be due hereunder for any subsequent or repeated achievement of any Development Milestone Event by ORIC, its Affiliates or Sublicensees. In no event shall the aggregate amount to be paid to Voronoi pursuant to this Section 7.2 exceed (A) One Hundred Eleven Million U.S. Dollars ($111,000,000) with respect to the achievement of Development Milestone Events 1 through 13 or (B) [***] with respect to the achievement of Development Milestone Events 14 through 21b.</w:t>
      </w:r>
    </w:p>
    <w:p>
      <w:pPr>
        <w:spacing w:after="0" w:line="173" w:lineRule="exact"/>
        <w:rPr>
          <w:rFonts w:ascii="Times New Roman" w:cs="Times New Roman" w:eastAsia="Times New Roman" w:hAnsi="Times New Roman"/>
          <w:sz w:val="22"/>
          <w:szCs w:val="22"/>
          <w:color w:val="auto"/>
        </w:rPr>
      </w:pPr>
    </w:p>
    <w:p>
      <w:pPr>
        <w:jc w:val="both"/>
        <w:ind w:firstLine="1505"/>
        <w:spacing w:after="0" w:line="245"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Reports and Payments</w:t>
      </w:r>
      <w:r>
        <w:rPr>
          <w:rFonts w:ascii="Times New Roman" w:cs="Times New Roman" w:eastAsia="Times New Roman" w:hAnsi="Times New Roman"/>
          <w:sz w:val="22"/>
          <w:szCs w:val="22"/>
          <w:color w:val="auto"/>
        </w:rPr>
        <w:t>. ORIC shall notify Voronoi in writing within (i) [***] days after the achievement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each milestone event set out in Section 7.2(a) by ORIC or any of its Affiliates or (ii) [***] days after the achievement of such milestone event by any Sublicensee. Based on this notice, Voronoi shall then issue and send to ORIC the invoice for the appropriate milestone payment, which shall be paid by ORIC within [***] of receipt of such invoice.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Sales Milestone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Sales Milestone Payments</w:t>
      </w:r>
      <w:r>
        <w:rPr>
          <w:rFonts w:ascii="Times New Roman" w:cs="Times New Roman" w:eastAsia="Times New Roman" w:hAnsi="Times New Roman"/>
          <w:sz w:val="22"/>
          <w:szCs w:val="22"/>
          <w:color w:val="auto"/>
        </w:rPr>
        <w:t>. In addition, ORIC shall pay to Voronoi the one-time sales milestone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out below following the first achievement by ORIC, and/or any of its Affiliates or Sublicensees, of the corresponding milestone events set out below (each, a “</w:t>
      </w:r>
      <w:r>
        <w:rPr>
          <w:rFonts w:ascii="Times New Roman" w:cs="Times New Roman" w:eastAsia="Times New Roman" w:hAnsi="Times New Roman"/>
          <w:sz w:val="22"/>
          <w:szCs w:val="22"/>
          <w:b w:val="1"/>
          <w:bCs w:val="1"/>
          <w:color w:val="auto"/>
        </w:rPr>
        <w:t>Sales Milestone Event</w:t>
      </w:r>
      <w:r>
        <w:rPr>
          <w:rFonts w:ascii="Times New Roman" w:cs="Times New Roman" w:eastAsia="Times New Roman" w:hAnsi="Times New Roman"/>
          <w:sz w:val="22"/>
          <w:szCs w:val="22"/>
          <w:color w:val="auto"/>
        </w:rPr>
        <w:t>”) with respect to the first Licensed Product to achieve such milestone, with respect to Sales Milestone Events 1 through 4, or the second Licensed Product to achieve such milestone, with respect to Sales Milestone Events 5 and 6, in accordance with this Section 7.3 and the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provisions in Article VIII and following receipt of the relevant invoice from Voronoi as further described in Section 7.3(b).</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1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No.</w:t>
            </w:r>
          </w:p>
        </w:tc>
        <w:tc>
          <w:tcPr>
            <w:tcW w:w="7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Sales Milestone Event</w:t>
            </w:r>
          </w:p>
        </w:tc>
        <w:tc>
          <w:tcPr>
            <w:tcW w:w="2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Payment</w:t>
            </w:r>
          </w:p>
        </w:tc>
      </w:tr>
      <w:tr>
        <w:trPr>
          <w:trHeight w:val="52"/>
        </w:trPr>
        <w:tc>
          <w:tcPr>
            <w:tcW w:w="1100" w:type="dxa"/>
            <w:vAlign w:val="bottom"/>
            <w:tcBorders>
              <w:left w:val="single" w:sz="8" w:color="auto"/>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6"/>
        </w:trPr>
        <w:tc>
          <w:tcPr>
            <w:tcW w:w="1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3"/>
        </w:trPr>
        <w:tc>
          <w:tcPr>
            <w:tcW w:w="1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3"/>
        </w:trPr>
        <w:tc>
          <w:tcPr>
            <w:tcW w:w="1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3"/>
        </w:trPr>
        <w:tc>
          <w:tcPr>
            <w:tcW w:w="1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2"/>
        </w:trPr>
        <w:tc>
          <w:tcPr>
            <w:tcW w:w="1100" w:type="dxa"/>
            <w:vAlign w:val="bottom"/>
            <w:tcBorders>
              <w:right w:val="single" w:sz="8" w:color="auto"/>
            </w:tcBorders>
          </w:tcPr>
          <w:p>
            <w:pPr>
              <w:spacing w:after="0"/>
              <w:rPr>
                <w:sz w:val="24"/>
                <w:szCs w:val="24"/>
                <w:color w:val="auto"/>
              </w:rPr>
            </w:pP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Total Sales Milestone Payments for the first Licensed Product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$225,000,000</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3"/>
        </w:trPr>
        <w:tc>
          <w:tcPr>
            <w:tcW w:w="1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2"/>
        </w:trPr>
        <w:tc>
          <w:tcPr>
            <w:tcW w:w="1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303"/>
        </w:trPr>
        <w:tc>
          <w:tcPr>
            <w:tcW w:w="1100" w:type="dxa"/>
            <w:vAlign w:val="bottom"/>
            <w:tcBorders>
              <w:right w:val="single" w:sz="8" w:color="auto"/>
            </w:tcBorders>
          </w:tcPr>
          <w:p>
            <w:pPr>
              <w:spacing w:after="0"/>
              <w:rPr>
                <w:sz w:val="24"/>
                <w:szCs w:val="24"/>
                <w:color w:val="auto"/>
              </w:rPr>
            </w:pPr>
          </w:p>
        </w:tc>
        <w:tc>
          <w:tcPr>
            <w:tcW w:w="7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Total Sales Milestone Payments for the second Licensed Product</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110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bl>
    <w:p>
      <w:pPr>
        <w:spacing w:after="0" w:line="185" w:lineRule="exact"/>
        <w:rPr>
          <w:sz w:val="20"/>
          <w:szCs w:val="20"/>
          <w:color w:val="auto"/>
        </w:rPr>
      </w:pPr>
    </w:p>
    <w:p>
      <w:pPr>
        <w:jc w:val="both"/>
        <w:ind w:firstLine="1505"/>
        <w:spacing w:after="0" w:line="256" w:lineRule="auto"/>
        <w:tabs>
          <w:tab w:leader="none" w:pos="194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Certain Terms With Respect to Sales Milestone Payments</w:t>
      </w:r>
      <w:r>
        <w:rPr>
          <w:rFonts w:ascii="Times New Roman" w:cs="Times New Roman" w:eastAsia="Times New Roman" w:hAnsi="Times New Roman"/>
          <w:sz w:val="21"/>
          <w:szCs w:val="21"/>
          <w:color w:val="auto"/>
        </w:rPr>
        <w:t>. Each of the foregoing milestone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paid no more than once and no amounts shall be due hereunder for any subsequent or repeated achievement of any Sales Milestone Event by ORIC, its Affiliates or Sublicensees. In no event shall the aggregate amount to be paid to Voronoi pursuant to this Section 7.3 exceed (i) Two Hundred Twenty-Five Million U.S. Dollars ($225,000,000) with respect to the achievement of Sales Milestone Events 1 through 4 or (ii) [***] with respect to the achievement of Sales Milestone Events 5 and 6.</w:t>
      </w:r>
    </w:p>
    <w:p>
      <w:pPr>
        <w:spacing w:after="0" w:line="170" w:lineRule="exact"/>
        <w:rPr>
          <w:rFonts w:ascii="Times New Roman" w:cs="Times New Roman" w:eastAsia="Times New Roman" w:hAnsi="Times New Roman"/>
          <w:sz w:val="21"/>
          <w:szCs w:val="21"/>
          <w:color w:val="auto"/>
        </w:rPr>
      </w:pPr>
    </w:p>
    <w:p>
      <w:pPr>
        <w:jc w:val="both"/>
        <w:ind w:firstLine="1505"/>
        <w:spacing w:after="0" w:line="245" w:lineRule="auto"/>
        <w:tabs>
          <w:tab w:leader="none" w:pos="192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Reports and Payments</w:t>
      </w:r>
      <w:r>
        <w:rPr>
          <w:rFonts w:ascii="Times New Roman" w:cs="Times New Roman" w:eastAsia="Times New Roman" w:hAnsi="Times New Roman"/>
          <w:sz w:val="22"/>
          <w:szCs w:val="22"/>
          <w:color w:val="auto"/>
        </w:rPr>
        <w:t>. ORIC shall notify Voronoi in writing of the achievement of each milestone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out in Section 7.3(a) by ORIC, or any of its Affiliates or Sublicensees, within [***] days after the end of the calendar quarter in which such milestone event is achieved. Based on this notice, Voronoi shall then issue and send to ORIC the invoice for the appropriate milestone payment, which shall be paid by ORIC within [***] of receipt of such invoice.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Royalty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505"/>
        <w:spacing w:after="0" w:line="245" w:lineRule="auto"/>
        <w:tabs>
          <w:tab w:leader="none" w:pos="192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Running Royalties</w:t>
      </w:r>
      <w:r>
        <w:rPr>
          <w:rFonts w:ascii="Times New Roman" w:cs="Times New Roman" w:eastAsia="Times New Roman" w:hAnsi="Times New Roman"/>
          <w:sz w:val="22"/>
          <w:szCs w:val="22"/>
          <w:color w:val="auto"/>
        </w:rPr>
        <w:t>. Subject to the terms and conditions of this Agreement, in consideration for the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licenses granted under this Agreement, ORIC shall pay to Voronoi the following running royalties in accordance with this Section 7.4 and the payment provisions in Article VIII and following receipt of the relevant invoice from Voronoi as further described in Section 7.4(d):</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326"/>
        </w:trPr>
        <w:tc>
          <w:tcPr>
            <w:tcW w:w="514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Annual Net Sales of Product in the ORIC Territory</w:t>
            </w:r>
          </w:p>
        </w:tc>
        <w:tc>
          <w:tcPr>
            <w:tcW w:w="362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52"/>
        </w:trPr>
        <w:tc>
          <w:tcPr>
            <w:tcW w:w="5140" w:type="dxa"/>
            <w:vAlign w:val="bottom"/>
            <w:tcBorders>
              <w:left w:val="single" w:sz="8" w:color="auto"/>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r>
      <w:tr>
        <w:trPr>
          <w:trHeight w:val="306"/>
        </w:trPr>
        <w:tc>
          <w:tcPr>
            <w:tcW w:w="5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6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514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r>
      <w:tr>
        <w:trPr>
          <w:trHeight w:val="303"/>
        </w:trPr>
        <w:tc>
          <w:tcPr>
            <w:tcW w:w="5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6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55"/>
        </w:trPr>
        <w:tc>
          <w:tcPr>
            <w:tcW w:w="514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r>
      <w:tr>
        <w:trPr>
          <w:trHeight w:val="303"/>
        </w:trPr>
        <w:tc>
          <w:tcPr>
            <w:tcW w:w="5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6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514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r>
      <w:tr>
        <w:trPr>
          <w:trHeight w:val="302"/>
        </w:trPr>
        <w:tc>
          <w:tcPr>
            <w:tcW w:w="5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6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56"/>
        </w:trPr>
        <w:tc>
          <w:tcPr>
            <w:tcW w:w="5140" w:type="dxa"/>
            <w:vAlign w:val="bottom"/>
            <w:tcBorders>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r>
      <w:tr>
        <w:trPr>
          <w:trHeight w:val="451"/>
        </w:trPr>
        <w:tc>
          <w:tcPr>
            <w:tcW w:w="5140" w:type="dxa"/>
            <w:vAlign w:val="bottom"/>
          </w:tcPr>
          <w:p>
            <w:pPr>
              <w:spacing w:after="0"/>
              <w:rPr>
                <w:sz w:val="24"/>
                <w:szCs w:val="24"/>
                <w:color w:val="auto"/>
              </w:rPr>
            </w:pPr>
          </w:p>
        </w:tc>
        <w:tc>
          <w:tcPr>
            <w:tcW w:w="3620" w:type="dxa"/>
            <w:vAlign w:val="bottom"/>
          </w:tcPr>
          <w:p>
            <w:pPr>
              <w:jc w:val="right"/>
              <w:ind w:right="2852"/>
              <w:spacing w:after="0"/>
              <w:rPr>
                <w:sz w:val="20"/>
                <w:szCs w:val="20"/>
                <w:color w:val="auto"/>
              </w:rPr>
            </w:pPr>
            <w:r>
              <w:rPr>
                <w:rFonts w:ascii="Times New Roman" w:cs="Times New Roman" w:eastAsia="Times New Roman" w:hAnsi="Times New Roman"/>
                <w:sz w:val="22"/>
                <w:szCs w:val="22"/>
                <w:color w:val="auto"/>
              </w:rPr>
              <w:t>-15-</w:t>
            </w:r>
          </w:p>
        </w:tc>
        <w:tc>
          <w:tcPr>
            <w:tcW w:w="2480" w:type="dxa"/>
            <w:vAlign w:val="bottom"/>
          </w:tcPr>
          <w:p>
            <w:pPr>
              <w:spacing w:after="0"/>
              <w:rPr>
                <w:sz w:val="24"/>
                <w:szCs w:val="24"/>
                <w:color w:val="auto"/>
              </w:rPr>
            </w:pPr>
          </w:p>
        </w:tc>
      </w:tr>
      <w:tr>
        <w:trPr>
          <w:trHeight w:val="225"/>
        </w:trPr>
        <w:tc>
          <w:tcPr>
            <w:tcW w:w="5140" w:type="dxa"/>
            <w:vAlign w:val="bottom"/>
            <w:tcBorders>
              <w:bottom w:val="single" w:sz="8" w:color="9A9A9A"/>
            </w:tcBorders>
          </w:tcPr>
          <w:p>
            <w:pPr>
              <w:spacing w:after="0"/>
              <w:rPr>
                <w:sz w:val="19"/>
                <w:szCs w:val="19"/>
                <w:color w:val="auto"/>
              </w:rPr>
            </w:pPr>
          </w:p>
        </w:tc>
        <w:tc>
          <w:tcPr>
            <w:tcW w:w="3620" w:type="dxa"/>
            <w:vAlign w:val="bottom"/>
            <w:tcBorders>
              <w:bottom w:val="single" w:sz="8" w:color="9A9A9A"/>
            </w:tcBorders>
          </w:tcPr>
          <w:p>
            <w:pPr>
              <w:spacing w:after="0"/>
              <w:rPr>
                <w:sz w:val="19"/>
                <w:szCs w:val="19"/>
                <w:color w:val="auto"/>
              </w:rPr>
            </w:pPr>
          </w:p>
        </w:tc>
        <w:tc>
          <w:tcPr>
            <w:tcW w:w="24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2" w:name="page143"/>
    <w:bookmarkEnd w:id="142"/>
    <w:p>
      <w:pPr>
        <w:jc w:val="both"/>
        <w:ind w:firstLine="1505"/>
        <w:spacing w:after="0" w:line="242" w:lineRule="auto"/>
        <w:tabs>
          <w:tab w:leader="none" w:pos="194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ORIC’s obligation to pay royalties under this Section 7.4 shall continue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of Licensed Products on a [***]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After the expiration of the applicable Royalty Term with respect to a Licensed Product in a country, no further royalties shall be due with respect to such Licensed Product in such country and the licenses and rights granted by Voronoi to ORIC under this Agreement with respect to such Licensed Product (and the Licensed Compound(s) included therein and Companion Diagnostics with respect thereto) in such country will become fully paid-up, royalty-free, perpetual and irrevocable.</w:t>
      </w:r>
    </w:p>
    <w:p>
      <w:pPr>
        <w:spacing w:after="0" w:line="183" w:lineRule="exact"/>
        <w:rPr>
          <w:rFonts w:ascii="Times New Roman" w:cs="Times New Roman" w:eastAsia="Times New Roman" w:hAnsi="Times New Roman"/>
          <w:sz w:val="22"/>
          <w:szCs w:val="22"/>
          <w:color w:val="auto"/>
        </w:rPr>
      </w:pPr>
    </w:p>
    <w:p>
      <w:pPr>
        <w:ind w:left="1480" w:hanging="439"/>
        <w:spacing w:after="0"/>
        <w:tabs>
          <w:tab w:leader="none" w:pos="14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Adjustments.</w:t>
      </w:r>
    </w:p>
    <w:p>
      <w:pPr>
        <w:spacing w:after="0" w:line="206" w:lineRule="exact"/>
        <w:rPr>
          <w:rFonts w:ascii="Times New Roman" w:cs="Times New Roman" w:eastAsia="Times New Roman" w:hAnsi="Times New Roman"/>
          <w:sz w:val="22"/>
          <w:szCs w:val="22"/>
          <w:color w:val="auto"/>
        </w:rPr>
      </w:pPr>
    </w:p>
    <w:p>
      <w:pPr>
        <w:ind w:right="20" w:firstLine="2629"/>
        <w:spacing w:after="0" w:line="262" w:lineRule="auto"/>
        <w:tabs>
          <w:tab w:leader="none" w:pos="305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Generic Version</w:t>
      </w:r>
      <w:r>
        <w:rPr>
          <w:rFonts w:ascii="Times New Roman" w:cs="Times New Roman" w:eastAsia="Times New Roman" w:hAnsi="Times New Roman"/>
          <w:sz w:val="22"/>
          <w:szCs w:val="22"/>
          <w:color w:val="auto"/>
        </w:rPr>
        <w:t>. On a Licensed Product-by-Licensed Product and country-by-country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in a calendar quarter one or more Generic Versions of such Licensed Product is launched in such country [***].</w:t>
      </w:r>
    </w:p>
    <w:p>
      <w:pPr>
        <w:spacing w:after="0" w:line="163" w:lineRule="exact"/>
        <w:rPr>
          <w:rFonts w:ascii="Times New Roman" w:cs="Times New Roman" w:eastAsia="Times New Roman" w:hAnsi="Times New Roman"/>
          <w:sz w:val="22"/>
          <w:szCs w:val="22"/>
          <w:color w:val="auto"/>
        </w:rPr>
      </w:pPr>
    </w:p>
    <w:p>
      <w:pPr>
        <w:jc w:val="both"/>
        <w:ind w:firstLine="2629"/>
        <w:spacing w:after="0" w:line="249" w:lineRule="auto"/>
        <w:tabs>
          <w:tab w:leader="none" w:pos="305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Third Party Payments. </w:t>
      </w:r>
      <w:r>
        <w:rPr>
          <w:rFonts w:ascii="Times New Roman" w:cs="Times New Roman" w:eastAsia="Times New Roman" w:hAnsi="Times New Roman"/>
          <w:sz w:val="22"/>
          <w:szCs w:val="22"/>
          <w:color w:val="auto"/>
        </w:rPr>
        <w:t>If ORIC, its Affiliate or Sublicensee becomes obligated to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 a Third Party with respect to any intellectual property right owned or controlled by such Third Party reasonably necessary for, or utilized in, the manufacture, use or sale of a Licensed Compound, ORIC may deduct [***] of the amount which is actually paid to each such Third Party from the amounts payable to Voronoi under this Article VII.</w:t>
      </w:r>
    </w:p>
    <w:p>
      <w:pPr>
        <w:spacing w:after="0" w:line="165" w:lineRule="exact"/>
        <w:rPr>
          <w:rFonts w:ascii="Times New Roman" w:cs="Times New Roman" w:eastAsia="Times New Roman" w:hAnsi="Times New Roman"/>
          <w:sz w:val="22"/>
          <w:szCs w:val="22"/>
          <w:color w:val="auto"/>
        </w:rPr>
      </w:pPr>
    </w:p>
    <w:p>
      <w:pPr>
        <w:ind w:firstLine="2629"/>
        <w:spacing w:after="0" w:line="275" w:lineRule="auto"/>
        <w:tabs>
          <w:tab w:leader="none" w:pos="305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Valid Claim Coverage</w:t>
      </w:r>
      <w:r>
        <w:rPr>
          <w:rFonts w:ascii="Times New Roman" w:cs="Times New Roman" w:eastAsia="Times New Roman" w:hAnsi="Times New Roman"/>
          <w:sz w:val="22"/>
          <w:szCs w:val="22"/>
          <w:color w:val="auto"/>
        </w:rPr>
        <w:t>. If a Licensed Product is not Covered by a Valid Claim of a Voronoi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in the country in which such Licensed Product is sold, [***].</w:t>
      </w:r>
    </w:p>
    <w:p>
      <w:pPr>
        <w:spacing w:after="0" w:line="135" w:lineRule="exact"/>
        <w:rPr>
          <w:rFonts w:ascii="Times New Roman" w:cs="Times New Roman" w:eastAsia="Times New Roman" w:hAnsi="Times New Roman"/>
          <w:sz w:val="22"/>
          <w:szCs w:val="22"/>
          <w:color w:val="auto"/>
        </w:rPr>
      </w:pPr>
    </w:p>
    <w:p>
      <w:pPr>
        <w:jc w:val="both"/>
        <w:ind w:firstLine="2629"/>
        <w:spacing w:after="0" w:line="252" w:lineRule="auto"/>
        <w:tabs>
          <w:tab w:leader="none" w:pos="3066"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One Royalty. </w:t>
      </w:r>
      <w:r>
        <w:rPr>
          <w:rFonts w:ascii="Times New Roman" w:cs="Times New Roman" w:eastAsia="Times New Roman" w:hAnsi="Times New Roman"/>
          <w:sz w:val="22"/>
          <w:szCs w:val="22"/>
          <w:color w:val="auto"/>
        </w:rPr>
        <w:t>No more than one royalty payment shall be due under this Agreement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 sale of a particular Licensed Product (e.g., even if such Licensed Product is Covered by multiple Valid Claims or multiple Voronoi Patents or contains, incorporates or comprises multiple Licensed Compounds).</w:t>
      </w:r>
    </w:p>
    <w:p>
      <w:pPr>
        <w:spacing w:after="0" w:line="161" w:lineRule="exact"/>
        <w:rPr>
          <w:rFonts w:ascii="Times New Roman" w:cs="Times New Roman" w:eastAsia="Times New Roman" w:hAnsi="Times New Roman"/>
          <w:sz w:val="22"/>
          <w:szCs w:val="22"/>
          <w:color w:val="auto"/>
        </w:rPr>
      </w:pPr>
    </w:p>
    <w:p>
      <w:pPr>
        <w:jc w:val="both"/>
        <w:ind w:firstLine="2629"/>
        <w:spacing w:after="0" w:line="249" w:lineRule="auto"/>
        <w:tabs>
          <w:tab w:leader="none" w:pos="305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Floor</w:t>
      </w:r>
      <w:r>
        <w:rPr>
          <w:rFonts w:ascii="Times New Roman" w:cs="Times New Roman" w:eastAsia="Times New Roman" w:hAnsi="Times New Roman"/>
          <w:sz w:val="22"/>
          <w:szCs w:val="22"/>
          <w:color w:val="auto"/>
        </w:rPr>
        <w:t>. Notwithstanding the foregoing, in no event will the deductions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7.4(c) above reduce the amounts otherwise payable to Voronoi under this Article VII in any given calendar quarter to less than [***] of the amount that otherwise would have been due and payable to Voronoi in accordance with this Agreement in such calendar quarter (the “</w:t>
      </w:r>
      <w:r>
        <w:rPr>
          <w:rFonts w:ascii="Times New Roman" w:cs="Times New Roman" w:eastAsia="Times New Roman" w:hAnsi="Times New Roman"/>
          <w:sz w:val="22"/>
          <w:szCs w:val="22"/>
          <w:b w:val="1"/>
          <w:bCs w:val="1"/>
          <w:color w:val="auto"/>
        </w:rPr>
        <w:t>Royalty Floor</w:t>
      </w:r>
      <w:r>
        <w:rPr>
          <w:rFonts w:ascii="Times New Roman" w:cs="Times New Roman" w:eastAsia="Times New Roman" w:hAnsi="Times New Roman"/>
          <w:sz w:val="22"/>
          <w:szCs w:val="22"/>
          <w:color w:val="auto"/>
        </w:rPr>
        <w:t>”); [***].</w:t>
      </w:r>
    </w:p>
    <w:p>
      <w:pPr>
        <w:spacing w:after="0" w:line="165" w:lineRule="exact"/>
        <w:rPr>
          <w:rFonts w:ascii="Times New Roman" w:cs="Times New Roman" w:eastAsia="Times New Roman" w:hAnsi="Times New Roman"/>
          <w:sz w:val="22"/>
          <w:szCs w:val="22"/>
          <w:color w:val="auto"/>
        </w:rPr>
      </w:pPr>
    </w:p>
    <w:p>
      <w:pPr>
        <w:jc w:val="both"/>
        <w:ind w:firstLine="1505"/>
        <w:spacing w:after="0" w:line="252" w:lineRule="auto"/>
        <w:tabs>
          <w:tab w:leader="none" w:pos="197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Royalty Reports</w:t>
      </w:r>
      <w:r>
        <w:rPr>
          <w:rFonts w:ascii="Times New Roman" w:cs="Times New Roman" w:eastAsia="Times New Roman" w:hAnsi="Times New Roman"/>
          <w:sz w:val="22"/>
          <w:szCs w:val="22"/>
          <w:color w:val="auto"/>
        </w:rPr>
        <w:t>. Commencing with the calendar quarter in which the First Commercial Sale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 occurs in the ORIC Territory, ORIC shall deliver to Voronoi a report (each, a “</w:t>
      </w:r>
      <w:r>
        <w:rPr>
          <w:rFonts w:ascii="Times New Roman" w:cs="Times New Roman" w:eastAsia="Times New Roman" w:hAnsi="Times New Roman"/>
          <w:sz w:val="22"/>
          <w:szCs w:val="22"/>
          <w:b w:val="1"/>
          <w:bCs w:val="1"/>
          <w:color w:val="auto"/>
        </w:rPr>
        <w:t>Royalty Report</w:t>
      </w:r>
      <w:r>
        <w:rPr>
          <w:rFonts w:ascii="Times New Roman" w:cs="Times New Roman" w:eastAsia="Times New Roman" w:hAnsi="Times New Roman"/>
          <w:sz w:val="22"/>
          <w:szCs w:val="22"/>
          <w:color w:val="auto"/>
        </w:rPr>
        <w:t>”) setting out all details necessary to calculate the payments due under this Section 7.4, including:</w:t>
      </w:r>
    </w:p>
    <w:p>
      <w:pPr>
        <w:spacing w:after="0" w:line="165"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3" w:name="page144"/>
    <w:bookmarkEnd w:id="143"/>
    <w:p>
      <w:pPr>
        <w:ind w:left="3060" w:hanging="431"/>
        <w:spacing w:after="0"/>
        <w:tabs>
          <w:tab w:leader="none" w:pos="30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Royalty Reports shall be due [***] days following the end of each such calendar quarter during the term of this Agreement. Promptly following the delivery of the applicable Royalty Report, Voronoi will invoice ORIC for the royalties due to Voronoi with respect to Net Sales by ORIC, its Affiliates and their respective Sublicensees in the ORIC Territory in such calendar quarter and the share of Net Receipts due to Voronoi with respect to such calendar quarter. ORIC will pay such amounts to Voronoi within [***] following ORIC’s receipt of such invoice. [***].</w:t>
      </w:r>
    </w:p>
    <w:p>
      <w:pPr>
        <w:spacing w:after="0" w:line="173"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Net Receipts</w:t>
      </w:r>
      <w:r>
        <w:rPr>
          <w:rFonts w:ascii="Times New Roman" w:cs="Times New Roman" w:eastAsia="Times New Roman" w:hAnsi="Times New Roman"/>
          <w:sz w:val="22"/>
          <w:szCs w:val="22"/>
          <w:color w:val="auto"/>
        </w:rPr>
        <w:t>. During the Royalty Term for a Licensed Product, the Parties will share Net Receipts received with respect to such Licensed Product in any calendar [***] to ORIC and [***] to Voronoi.</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Development and Research Cost Sharing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24" w:lineRule="auto"/>
        <w:tabs>
          <w:tab w:leader="none" w:pos="192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shall solely bear the first Development and Research Costs incurred, up to the Development and Research Cost Threshold, regardless of the Party first incurring such Development and Research Costs. After Voronoi has borne Development and Research Costs equal to the Development and Research Cost Threshold, the Parties [***]. During the term of this Agreement, within [***] days after the end of each calendar quarter, each Party will provide to the other Party a report detailing all Development and Research Costs incurred by such Party during such calendar quarter (“</w:t>
      </w:r>
      <w:r>
        <w:rPr>
          <w:rFonts w:ascii="Times New Roman" w:cs="Times New Roman" w:eastAsia="Times New Roman" w:hAnsi="Times New Roman"/>
          <w:sz w:val="22"/>
          <w:szCs w:val="22"/>
          <w:b w:val="1"/>
          <w:bCs w:val="1"/>
          <w:color w:val="auto"/>
        </w:rPr>
        <w:t>Development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Research Cost Report</w:t>
      </w:r>
      <w:r>
        <w:rPr>
          <w:rFonts w:ascii="Times New Roman" w:cs="Times New Roman" w:eastAsia="Times New Roman" w:hAnsi="Times New Roman"/>
          <w:sz w:val="22"/>
          <w:szCs w:val="22"/>
          <w:color w:val="auto"/>
        </w:rPr>
        <w:t>”). Within [***] days after receipt of each such Development and Research Cost Report, the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Officer of ORIC (or his or her designee) and the Chief Financial Officer of Voronoi (or his or her designee) shall determine and report to the Parties whether a Development and Research Cost payment is due from one Party to the other Party, and if so, the amount of such payment, so that the Development and Research Costs are borne by each Party in accordance with this Section 7.6 above. The Party owed such payment (“</w:t>
      </w:r>
      <w:r>
        <w:rPr>
          <w:rFonts w:ascii="Times New Roman" w:cs="Times New Roman" w:eastAsia="Times New Roman" w:hAnsi="Times New Roman"/>
          <w:sz w:val="22"/>
          <w:szCs w:val="22"/>
          <w:b w:val="1"/>
          <w:bCs w:val="1"/>
          <w:color w:val="auto"/>
        </w:rPr>
        <w:t>Payee</w:t>
      </w:r>
      <w:r>
        <w:rPr>
          <w:rFonts w:ascii="Times New Roman" w:cs="Times New Roman" w:eastAsia="Times New Roman" w:hAnsi="Times New Roman"/>
          <w:sz w:val="22"/>
          <w:szCs w:val="22"/>
          <w:color w:val="auto"/>
        </w:rPr>
        <w:t>”) shall issue an invoice to the Party owing such payment (“</w:t>
      </w:r>
      <w:r>
        <w:rPr>
          <w:rFonts w:ascii="Times New Roman" w:cs="Times New Roman" w:eastAsia="Times New Roman" w:hAnsi="Times New Roman"/>
          <w:sz w:val="22"/>
          <w:szCs w:val="22"/>
          <w:b w:val="1"/>
          <w:bCs w:val="1"/>
          <w:color w:val="auto"/>
        </w:rPr>
        <w:t>Payor</w:t>
      </w:r>
      <w:r>
        <w:rPr>
          <w:rFonts w:ascii="Times New Roman" w:cs="Times New Roman" w:eastAsia="Times New Roman" w:hAnsi="Times New Roman"/>
          <w:sz w:val="22"/>
          <w:szCs w:val="22"/>
          <w:color w:val="auto"/>
        </w:rPr>
        <w:t>”). The Payor shall make such payment to the Payee within [***] days of receipt of an undisputed invoice therefor. Each Party will provide supporting documentation for Development and Research Costs incurred by such Party as reasonably requested by the other Party. Each Party agrees, upon request, to use good faith efforts to provide additional information and assistance to the other Party, which assistance may include providing the reports and other information required by this Section 7.6 on an accelerated timeline, as reasonably necessary to enable the other Party to satisfy financial reporting requirements pursuant to its applicable accounting standards and/or to comply with applicable laws, including the rules of any recognized stock exchange on which such other Party’s securities are traded. For the avoidance of doubt, except for the Prior Development and Research Costs, no Development and Research Costs incurred prior to the Effective Date will be included within the Development and Research Cost Threshold or subject to sharing pursuant to this Section 7.6 without ORIC’s prior written consent.</w:t>
      </w:r>
    </w:p>
    <w:p>
      <w:pPr>
        <w:spacing w:after="0" w:line="178" w:lineRule="exact"/>
        <w:rPr>
          <w:rFonts w:ascii="Times New Roman" w:cs="Times New Roman" w:eastAsia="Times New Roman" w:hAnsi="Times New Roman"/>
          <w:sz w:val="22"/>
          <w:szCs w:val="22"/>
          <w:color w:val="auto"/>
        </w:rPr>
      </w:pPr>
    </w:p>
    <w:p>
      <w:pPr>
        <w:jc w:val="both"/>
        <w:ind w:firstLine="1505"/>
        <w:spacing w:after="0"/>
        <w:tabs>
          <w:tab w:leader="none" w:pos="1929"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Voronoi has borne Development and Research Costs equal to the Development and Research Cost Threshold, Voronoi has the option, exercisable at any time upon prior written notice to ORIC (“Opt-Out Notice”) as specified in this Section 7.6, to elect not to participate in the further Development activities pursuant to the Research and Development Plan.</w:t>
      </w:r>
    </w:p>
    <w:p>
      <w:pPr>
        <w:spacing w:after="0" w:line="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Voronoi shall provide (i) [***] prior written notice if Voronoi exercises such right after Voronoi has completed all Development activities that are allocated to Voronoi under the Research and Development Plan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4" w:name="page145"/>
    <w:bookmarkEnd w:id="144"/>
    <w:p>
      <w:pPr>
        <w:jc w:val="both"/>
        <w:ind w:firstLine="8"/>
        <w:spacing w:after="0" w:line="224" w:lineRule="auto"/>
        <w:tabs>
          <w:tab w:leader="none" w:pos="32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written notice if Voronoi exercises such right prior to the completion by Voronoi of all Development activities that are allocated to Voronoi under the Research and Development Plan. The date on which the applicable notice period expires is referred to in this Agreement as the “Opt-Out Date”. Effective from and after the Opt-Out Date, (A) Voronoi shall not be obligated to conduct any further Development activities allocated to Voronoi under the Research and Development Plan or share any Development and Research Costs accrued after such Opt-Out Date and (B) Section 4.9(c)(ii) shall expire and be of no further force or effect. Following the delivery of an Opt-Out Notice prior to the completion by Voronoi of all Development activities that are allocated to Voronoi under the Research and Development Plan, (I) Voronoi shall continue to conduct such Development activities in accordance with the Research and Development Plan until the Opt-Out Date, unless otherwise requested by ORIC and (II) Voronoi shall promptly prepare a transition plan, for review and approval by the JSC, for the transition to ORIC of such Development activities and cooperate with ORIC to effect a smooth and orderly transition to ORIC of such Development activities, in a prompt and expeditious manner as requested by ORIC. If Voronoi has entered into one or more contracts that relate to such Development activities with one or more Third Parties whose services are reasonably necessary for ORIC to assume responsibility for such Development activities, then Voronoi shall, to the extent requested by ORIC (x) assign to ORIC each such Third Party contract that relates solely to such Development activities and (y) for any such contract that does not relate solely to such Development activities, make available to ORIC the benefits of such contract. Promptly upon ORIC’s request, Voronoi shall, and if applicable, shall cause its Affiliates and Third Party service providers to, transfer some or all supplies of Licensed Compounds in Voronoi’s or any of its Affiliates’ Control as of the Opt-Out Date, without additional charge, except that ORIC shall bear the cost of shipping such material (including tariff and import/export fees), which is charged at accrued basis. Prior to any such transfer, Voronoi shall hold and maintain under proper storage conditions such Licensed Compounds for the benefit of ORIC.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PAYMENTS; BOOKS AND RECORDS</w:t>
      </w:r>
    </w:p>
    <w:p>
      <w:pPr>
        <w:spacing w:after="0" w:line="19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Payment Method; Currency Conversion</w:t>
      </w:r>
      <w:r>
        <w:rPr>
          <w:rFonts w:ascii="Times New Roman" w:cs="Times New Roman" w:eastAsia="Times New Roman" w:hAnsi="Times New Roman"/>
          <w:sz w:val="22"/>
          <w:szCs w:val="22"/>
          <w:color w:val="auto"/>
        </w:rPr>
        <w:t>. All amounts specified in this Agreement are in U.S. Dollars, and all cash payments by one Party to the other Party under this Agreement shall be paid in U.S. Dollars. As applicable, Development and Research Costs, Net Receipts, Net Sales and any royalty reductions will be translated into U.S. Dollars in the manner used by the Payor with respect to such amount from time to time in the preparation of its audited financial statements for external reporting purposes. All payments under this Agreement will be paid in U.S. Dollars by wire transfer to an account designated by the receiving Party (which account the receiving Party may update from time to time in writing, subject to the paying Party’s reasonable confirmation). If at any time legal restrictions prevent the prompt remittance of any royalties or other amounts with respect to any country where Licensed Products are sold, ORIC shall have the right, at its option, to make such payments by depositing, or causing to be deposited, the amount of such payments in local currency to Voronoi’s account in a bank or other depository designated by Voronoi in such country.</w:t>
      </w:r>
    </w:p>
    <w:p>
      <w:pPr>
        <w:spacing w:after="0" w:line="191" w:lineRule="exact"/>
        <w:rPr>
          <w:sz w:val="20"/>
          <w:szCs w:val="20"/>
          <w:color w:val="auto"/>
        </w:rPr>
      </w:pPr>
    </w:p>
    <w:p>
      <w:pPr>
        <w:jc w:val="both"/>
        <w:ind w:firstLine="749"/>
        <w:spacing w:after="0" w:line="225"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 Notwithstanding any other provision of this Agreement, the Payor shall be entitled to deduct and withhold from any payments such amounts as it is required to deduct and withhold pursuant to any tax laws of any jurisdiction or any regulation of any taxing authority thereof and may offset against future payments any amounts imposed on it by any governmental agency for failing to deduct and withhold as required by law. To the extent such amounts are deducted, withheld and paid by or on behalf of the Payor to the appropriate taxing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5" w:name="page146"/>
    <w:bookmarkEnd w:id="145"/>
    <w:p>
      <w:pPr>
        <w:jc w:val="both"/>
        <w:spacing w:after="0" w:line="232" w:lineRule="auto"/>
        <w:rPr>
          <w:sz w:val="20"/>
          <w:szCs w:val="20"/>
          <w:color w:val="auto"/>
        </w:rPr>
      </w:pPr>
      <w:r>
        <w:rPr>
          <w:rFonts w:ascii="Times New Roman" w:cs="Times New Roman" w:eastAsia="Times New Roman" w:hAnsi="Times New Roman"/>
          <w:sz w:val="22"/>
          <w:szCs w:val="22"/>
          <w:color w:val="auto"/>
        </w:rPr>
        <w:t>authority, such amounts shall be treated for all purposes of this Agreement as having been paid to the Payee. The Payor shall provide the Payee with official receipts issued by the appropriate governmental agency or such other evidence as is reasonably requested by the Payee to establish that such taxes have been paid. Each Party shall provide to the other Party with such assistance as may be reasonably requested in connection with any application to qualify for the benefit of a reduced rate of withholding taxation, under the terms of any income tax treaty between the United States and other jurisdictions.</w:t>
      </w:r>
    </w:p>
    <w:p>
      <w:pPr>
        <w:spacing w:after="0" w:line="16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Late Payments</w:t>
      </w:r>
      <w:r>
        <w:rPr>
          <w:rFonts w:ascii="Times New Roman" w:cs="Times New Roman" w:eastAsia="Times New Roman" w:hAnsi="Times New Roman"/>
          <w:sz w:val="22"/>
          <w:szCs w:val="22"/>
          <w:color w:val="auto"/>
        </w:rPr>
        <w:t>. In the event that any undisputed amount payable by the Payor to the Payee is not made when due, such outstanding payment shall accrue interest, to the extent permitted by applicable law, at an annual rate of [***] on the date payment was due or the highest rate permitted by applicable law (whichever is higher), computed from the date such payment was due until the date the Payor makes the payment.</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Records.</w:t>
      </w:r>
      <w:r>
        <w:rPr>
          <w:rFonts w:ascii="Times New Roman" w:cs="Times New Roman" w:eastAsia="Times New Roman" w:hAnsi="Times New Roman"/>
          <w:sz w:val="22"/>
          <w:szCs w:val="22"/>
          <w:color w:val="auto"/>
        </w:rPr>
        <w:t xml:space="preserve"> Each Party shall keep, and shall require that its Affiliates and, with respect to ORIC, Sublicensees keep, complete and accurate books of account and records in sufficient detail to enable the amounts payable under this Agreement to be determined. Such books and records shall be kept at the principal place of business of such Party, its Affiliate or, with respect to ORIC, Sublicensee, as the case may be, for at least [***] months following the end of the calendar year to which such books and records pertain.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Audits.</w:t>
      </w:r>
    </w:p>
    <w:p>
      <w:pPr>
        <w:spacing w:after="0" w:line="220" w:lineRule="exact"/>
        <w:rPr>
          <w:sz w:val="20"/>
          <w:szCs w:val="20"/>
          <w:color w:val="auto"/>
        </w:rPr>
      </w:pPr>
    </w:p>
    <w:p>
      <w:pPr>
        <w:jc w:val="both"/>
        <w:ind w:firstLine="1505"/>
        <w:spacing w:after="0"/>
        <w:tabs>
          <w:tab w:leader="none" w:pos="194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Audit Rights. </w:t>
      </w:r>
      <w:r>
        <w:rPr>
          <w:rFonts w:ascii="Times New Roman" w:cs="Times New Roman" w:eastAsia="Times New Roman" w:hAnsi="Times New Roman"/>
          <w:sz w:val="22"/>
          <w:szCs w:val="22"/>
          <w:color w:val="auto"/>
        </w:rPr>
        <w:t>Upon at least [***] prior written notice from a Party (“</w:t>
      </w:r>
      <w:r>
        <w:rPr>
          <w:rFonts w:ascii="Times New Roman" w:cs="Times New Roman" w:eastAsia="Times New Roman" w:hAnsi="Times New Roman"/>
          <w:sz w:val="22"/>
          <w:szCs w:val="22"/>
          <w:b w:val="1"/>
          <w:bCs w:val="1"/>
          <w:color w:val="auto"/>
        </w:rPr>
        <w:t>Auditing Party</w:t>
      </w:r>
      <w:r>
        <w:rPr>
          <w:rFonts w:ascii="Times New Roman" w:cs="Times New Roman" w:eastAsia="Times New Roman" w:hAnsi="Times New Roman"/>
          <w:sz w:val="22"/>
          <w:szCs w:val="22"/>
          <w:color w:val="auto"/>
        </w:rPr>
        <w:t>”), the other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Audited Party</w:t>
      </w:r>
      <w:r>
        <w:rPr>
          <w:rFonts w:ascii="Times New Roman" w:cs="Times New Roman" w:eastAsia="Times New Roman" w:hAnsi="Times New Roman"/>
          <w:sz w:val="22"/>
          <w:szCs w:val="22"/>
          <w:color w:val="auto"/>
        </w:rPr>
        <w:t>”) shall permit, and shall require its Affiliates and, with respect to ORIC, use reasonable efforts to require its Sublicensees, to permit, an independent certified public accounting firm of nationally recognized standing, selected by the Auditing Party and reasonably acceptable to the Audited Party, to have access during normal business hours to such books of account and records of the Audited Party, and its Affiliates and, with respect to ORIC, Sublicensees, at such Person’s principal place of business, as may be reasonably necessary to verify the accuracy of the reports provided by the Audited Party pursuant to Section 7.4(d) or Section 7.6. Such audits may not (i) be conducted for any calendar year ending more than [***] prior to the date of such request, (ii) be conducted more than once in any calendar year or (iii) be repeated for any calendar quarter.</w:t>
      </w:r>
    </w:p>
    <w:p>
      <w:pPr>
        <w:spacing w:after="0" w:line="176" w:lineRule="exact"/>
        <w:rPr>
          <w:rFonts w:ascii="Times New Roman" w:cs="Times New Roman" w:eastAsia="Times New Roman" w:hAnsi="Times New Roman"/>
          <w:sz w:val="22"/>
          <w:szCs w:val="22"/>
          <w:color w:val="auto"/>
        </w:rPr>
      </w:pPr>
    </w:p>
    <w:p>
      <w:pPr>
        <w:jc w:val="both"/>
        <w:ind w:firstLine="1505"/>
        <w:spacing w:after="0" w:line="243" w:lineRule="auto"/>
        <w:tabs>
          <w:tab w:leader="none" w:pos="195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Audit Results. </w:t>
      </w:r>
      <w:r>
        <w:rPr>
          <w:rFonts w:ascii="Times New Roman" w:cs="Times New Roman" w:eastAsia="Times New Roman" w:hAnsi="Times New Roman"/>
          <w:sz w:val="22"/>
          <w:szCs w:val="22"/>
          <w:color w:val="auto"/>
        </w:rPr>
        <w:t>The Auditing Party shall require the independent accountant to provide to the Audited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an audit report containing its conclusions regarding any audit, and specifying whether the amounts paid were correct or, if incorrect, the amount of any underpayment or overpayment. The independent accountant shall provide to the Audited Party a preliminary copy of its audit report, and shall discuss with the Audited Party any issues or discrepancies that the Audited Party</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identifies, prior to submission to the Auditing Party. If such audit establishes that additional amounts were owed to the Auditing Party during the period covered by any audit pursuant to Section 8.5(a), the Audited Party shall remit to the Auditing Party within</w:t>
      </w:r>
    </w:p>
    <w:p>
      <w:pPr>
        <w:spacing w:after="0" w:line="1" w:lineRule="exact"/>
        <w:rPr>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date on which the Auditing Party delivers to the Audited Party such accounting firm’s written report so concluding:</w:t>
      </w:r>
    </w:p>
    <w:p>
      <w:pPr>
        <w:spacing w:after="0" w:line="15"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the amount of such additional amount; and (ii) interest on such amount which shall be calculated pursuant to Section 8.3. In the event such audit establishes that amounts were overpaid by the Audited Party during such period, the amount of such overpayment shall promptly be refunded to the Audited Party. The fees charged by the independent accountant in connection with any audit pursuant to this Section 8.5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22"/>
          <w:szCs w:val="22"/>
          <w:color w:val="auto"/>
        </w:rPr>
        <w:t>shall be paid by the Auditing Party; provided, however, that if a discrepancy in favor of the Auditing Party of more than [***] of the payments due hereunder for the period being audited is established, then the Audited Party shall pay the fees and expenses charged by such accounting firm in connection with such audit.</w:t>
      </w:r>
    </w:p>
    <w:p>
      <w:pPr>
        <w:spacing w:after="0" w:line="164" w:lineRule="exact"/>
        <w:rPr>
          <w:sz w:val="20"/>
          <w:szCs w:val="20"/>
          <w:color w:val="auto"/>
        </w:rPr>
      </w:pPr>
    </w:p>
    <w:p>
      <w:pPr>
        <w:jc w:val="both"/>
        <w:ind w:firstLine="1505"/>
        <w:spacing w:after="0" w:line="242" w:lineRule="auto"/>
        <w:tabs>
          <w:tab w:leader="none" w:pos="198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Confidential Financial Information; Other Matters. </w:t>
      </w:r>
      <w:r>
        <w:rPr>
          <w:rFonts w:ascii="Times New Roman" w:cs="Times New Roman" w:eastAsia="Times New Roman" w:hAnsi="Times New Roman"/>
          <w:sz w:val="22"/>
          <w:szCs w:val="22"/>
          <w:color w:val="auto"/>
        </w:rPr>
        <w:t>The Auditing Party shall treat all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subject to review under this Article VIII as confidential, and shall cause its accounting firm to retain all such financial information in confidence. If ORIC is unable to obtain from any Sublicensee a right for Voronoi to audit the books of account and records of such Sublicensee, ORIC shall obtain the right to inspect and audit such Sublicensee’s books and records for itself and shall exercise such audit rights on behalf and at the expense of Voronoi upon Voronoi’s written request and disclose the results of any such audit to Voronoi in accordance with Section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9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Except to the extent expressly authorized by this Agreement, each Party agrees that, during the Term, and for [***] thereafter, such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shall keep confidential, and shall not publish or otherwise disclose and shall not use for any purpose other than as expressly provided for in this Agreement, any information furnished to it by or on behalf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pursuant to this Agreement that is marked or otherwise identified as confidential or proprietary at the time of disclosure or is disclosed in such a manner or is of such a nature that a reasonable person would understand such information to be confidential or proprietary (collectively, “</w:t>
      </w:r>
      <w:r>
        <w:rPr>
          <w:rFonts w:ascii="Times New Roman" w:cs="Times New Roman" w:eastAsia="Times New Roman" w:hAnsi="Times New Roman"/>
          <w:sz w:val="22"/>
          <w:szCs w:val="22"/>
          <w:b w:val="1"/>
          <w:b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The Receiving Party may use and disclose the Disclosing Party’s Confidential Information only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accomplish the purposes of this Agreement. The Receiving Party shall use at least the same standard of care as it uses to protect proprietary or confidential information of its own (but in no event less than reasonable care) to prevent unauthorized access, use and disclosure of the Disclosing Party’s Confidential Information and to ensure that its, and its Affiliates’, employees, agents, consultants, other representatives and sublicensees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do not disclose, except as otherwise expressly permitted under this Agreement, or make any unauthorized use of, the Disclosing Party’s Confidential Information. The Receiving Party shall promptly notify the Disclosing Party upon discovery of any unauthorized use or unauthorized disclosure of the Disclosing Party’s Confidential Information.</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Exceptions.</w:t>
      </w:r>
      <w:r>
        <w:rPr>
          <w:rFonts w:ascii="Times New Roman" w:cs="Times New Roman" w:eastAsia="Times New Roman" w:hAnsi="Times New Roman"/>
          <w:sz w:val="22"/>
          <w:szCs w:val="22"/>
          <w:color w:val="auto"/>
        </w:rPr>
        <w:t xml:space="preserve"> Confidential Information of a Disclosing Party shall not include any information to the extent that such information (which the Receiving Party can prove by competent evidence): (a) is now, or hereafter becomes, through no act or failure to act on the part of the Receiving Party in violation of this Article IX, generally known or available; (b) is lawfully known by the Receiving Party or any of its Affiliates (to the extent such Receiving Party or Affiliate has the right to use and disclose such information) at the time of receiving such information from the Disclosing Party; (c) is hereafter furnished to the Receiving Party or any of its Affiliates by a Third Party, as a matter of right (to the extent such Receiving Party or Affiliate has the right to use and disclose such information); or (d) is independently discovered or developed by the Receiving Party or any of its Affiliates, without the use of or reference to Confidential Information of the Disclosing Party.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7" w:name="page148"/>
    <w:bookmarkEnd w:id="147"/>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Authorized Disclosure.</w:t>
      </w:r>
      <w:r>
        <w:rPr>
          <w:rFonts w:ascii="Times New Roman" w:cs="Times New Roman" w:eastAsia="Times New Roman" w:hAnsi="Times New Roman"/>
          <w:sz w:val="22"/>
          <w:szCs w:val="22"/>
          <w:color w:val="auto"/>
        </w:rPr>
        <w:t xml:space="preserve"> Notwithstanding the provisions of Section 9.1, the Receiving Party may disclose Confidential Information of the Disclosing Party as expressly permitted by this Agreement, or if and to the extent such disclosure is reasonably necessary in the following instances:</w:t>
      </w:r>
    </w:p>
    <w:p>
      <w:pPr>
        <w:spacing w:after="0" w:line="166" w:lineRule="exact"/>
        <w:rPr>
          <w:sz w:val="20"/>
          <w:szCs w:val="20"/>
          <w:color w:val="auto"/>
        </w:rPr>
      </w:pPr>
    </w:p>
    <w:p>
      <w:pPr>
        <w:ind w:left="1940" w:hanging="435"/>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enforcing such Party’s rights or performing its obligations under this Agreement and, with respect to ORIC, exercising its rights under this Agreement;</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prosecuting or defending litigation as permitted by this Agreement;</w:t>
      </w:r>
    </w:p>
    <w:p>
      <w:pPr>
        <w:spacing w:after="0" w:line="206"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applicable court orders, applicable laws, or the listing rules of any recognized stock exchange on which the Receiving Party’s securities are traded (specifically including the recommendations and requests from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or otherwise submitting information to tax or other governmental authorities);</w:t>
      </w:r>
    </w:p>
    <w:p>
      <w:pPr>
        <w:spacing w:after="0" w:line="16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Each Party shall be responsible for any breaches of confidentiality by any of its Affiliates, Sublicensees (or licensees or sublicensees), Subcontractors (or subcontractors, including those of Sublicensees), Representatives, advisors and Third Parties (to whom it discloses Confidential Information pursuant to Sections 9.3(g), 9.3(h) and 9.4).</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Notwithstanding the foregoing, in the event the Receiving Party is required to make a disclosure of the Disclosing Party’s Confidential Information pursuant to Section 9.3(d) or 9.3(e), it will, except where impracticable, (i) give [***] advance notice to the Disclosing Party of such disclosure, (ii) use efforts to secure confidential treatment of such information at least as diligent as the Receiving Party would use to protect its own confidential information, but in no event less than reasonable efforts, and (iii) cooperate with any efforts by the Disclosing Party, at the Disclosing Party’s request and expense, to secure confidential treatment of such Confidential Information.</w:t>
      </w:r>
    </w:p>
    <w:p>
      <w:pPr>
        <w:spacing w:after="0" w:line="18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Confidential Terms</w:t>
      </w:r>
      <w:r>
        <w:rPr>
          <w:rFonts w:ascii="Times New Roman" w:cs="Times New Roman" w:eastAsia="Times New Roman" w:hAnsi="Times New Roman"/>
          <w:sz w:val="22"/>
          <w:szCs w:val="22"/>
          <w:color w:val="auto"/>
        </w:rPr>
        <w:t>. Each Party agrees not to disclose to any Third Party the existence and/or terms of this Agreement without the prior written consent of the other Party hereto, except each Party may disclose the existence and/or terms of this Agreement: (a) to its advisors (including financial advisors, attorneys and accountants), potential and existing investors, collaboration partners or acquirers, and others on a need to know basis, in each case under circumstances that reasonably protect the confidentiality thereof; or (b) to the extent necessary to comply with applicable laws and court orders, including securities laws, regulations or guidances or pursuant to the listing rules of any recognized stock exchange on which the such Party’s securities are traded; provided that in the case of clause (b) the Disclosing Party shall promptly notify the other Party and (other than in the case where such disclosure is necessary, in the reasonable opinion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8" w:name="page149"/>
    <w:bookmarkEnd w:id="148"/>
    <w:p>
      <w:pPr>
        <w:jc w:val="both"/>
        <w:spacing w:after="0" w:line="250" w:lineRule="auto"/>
        <w:rPr>
          <w:sz w:val="20"/>
          <w:szCs w:val="20"/>
          <w:color w:val="auto"/>
        </w:rPr>
      </w:pPr>
      <w:r>
        <w:rPr>
          <w:rFonts w:ascii="Times New Roman" w:cs="Times New Roman" w:eastAsia="Times New Roman" w:hAnsi="Times New Roman"/>
          <w:sz w:val="22"/>
          <w:szCs w:val="22"/>
          <w:color w:val="auto"/>
        </w:rPr>
        <w:t>disclosing Party’s legal counsel, to comply with securities laws, regulations or guidances or such listing rules) allow the other Party a reasonable opportunity to oppose with the relevant authority initiating the process and, to the extent allowable by law, to seek limitations on the portion of the Agreement that is required to be disclosed.</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940" w:hanging="435"/>
        <w:spacing w:after="0"/>
        <w:tabs>
          <w:tab w:leader="none" w:pos="19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b w:val="1"/>
          <w:bCs w:val="1"/>
          <w:color w:val="auto"/>
        </w:rPr>
        <w:t>Press Releases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5" w:lineRule="auto"/>
        <w:tabs>
          <w:tab w:leader="none" w:pos="192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have mutually approved the press releases attached hereto as Exhibit 9.6 with respect to this Agreement. Voronoi agrees not to issue any other press release or other public statement, whether oral or written, disclosing the terms hereof or any of the activities conducted hereunder without the prior written consent of ORIC (such consent not to be unreasonably withheld, conditioned or delayed). Subject to ORIC’s obligations under Sections 9.1 and 9.4, ORIC shall have the right to issue subsequent press releases or other public statements pertaining to the activities conducted hereunder. In any case, neither Party will be prevented from complying with any duty of disclosure it may have pursuant to applicable laws or pursuant to the listing rules of any recognized stock exchange on which such Party’s securities are traded, subject to that Party notifying the other Party of such duty and limiting such disclosure as reasonably requested by the other Party (unless such disclosure is necessary, in the reasonable opinion of the disclosing Party’s legal counsel, to comply with applicable laws or such listing rules) and giving the other Party sufficient time to review and comment on any proposed disclosure. After release of a press release in accordance with this Section 9.6(a), each Party may disclose to Third Parties the information contained in such press release without the prior written consent of the other Party. Within 180 days from the Effective Date, ORIC will not disclose additional information regarding the financial terms other than the level of detail disclosed in the ORIC press release attached hereto as Exhibit 9.6, without Voronoi’s prior written consent, unless required by applicable law or the listing rules of any recognized stock exchange on which the ORIC’s securities are traded (specifically including the recommendations and requests from the SEC, the recommendations and advice of legal counsel, or otherwise submitting information to tax or other governmental authorities).</w:t>
      </w:r>
    </w:p>
    <w:p>
      <w:pPr>
        <w:spacing w:after="0" w:line="172" w:lineRule="exact"/>
        <w:rPr>
          <w:rFonts w:ascii="Times New Roman" w:cs="Times New Roman" w:eastAsia="Times New Roman" w:hAnsi="Times New Roman"/>
          <w:sz w:val="21"/>
          <w:szCs w:val="21"/>
          <w:color w:val="auto"/>
        </w:rPr>
      </w:pPr>
    </w:p>
    <w:p>
      <w:pPr>
        <w:jc w:val="both"/>
        <w:ind w:firstLine="1505"/>
        <w:spacing w:after="0" w:line="244" w:lineRule="auto"/>
        <w:tabs>
          <w:tab w:leader="none" w:pos="19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ORIC shall have the right to publicly disclose without Voronoi’s prior written consent: (A) the achievement of any milestone under this Agreement; (B) the commencement, completion, material data and key results of any Clinical Study conducted under this Agreement; and (C) any information relating to the Development or Commercialization of Licensed Products in the Field in the ORIC Territory.</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b w:val="1"/>
          <w:bCs w:val="1"/>
          <w:color w:val="auto"/>
        </w:rPr>
        <w:t>Prior Non-Disclosure Agreements</w:t>
      </w:r>
      <w:r>
        <w:rPr>
          <w:rFonts w:ascii="Times New Roman" w:cs="Times New Roman" w:eastAsia="Times New Roman" w:hAnsi="Times New Roman"/>
          <w:sz w:val="22"/>
          <w:szCs w:val="22"/>
          <w:color w:val="auto"/>
        </w:rPr>
        <w:t>. This Agreement supersedes the Prior CDA regarding the subject matter of this Agreement. All information exchanged between the Parties under the Prior CDA shall be deemed to have been disclosed under this Agreement on a going-forward basis and shall be subject to the terms of this Article IX as of the Effective Date.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PATENT PROSECUTION AND ENFORCEMENT</w:t>
      </w:r>
    </w:p>
    <w:p>
      <w:pPr>
        <w:spacing w:after="0" w:line="17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Ownership of Inventions</w:t>
      </w:r>
      <w:r>
        <w:rPr>
          <w:rFonts w:ascii="Times New Roman" w:cs="Times New Roman" w:eastAsia="Times New Roman" w:hAnsi="Times New Roman"/>
          <w:sz w:val="22"/>
          <w:szCs w:val="22"/>
          <w:color w:val="auto"/>
        </w:rPr>
        <w:t>. Inventorship of Inventions shall be determined in accordance with the rules of inventorship under U.S. patent laws. ORIC (or its Affiliate) shall solely own all ORIC Inventions. Voronoi (or its Affiliate) shall solely own all Voronoi Inventions. [***].</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10.2 [***].</w:t>
      </w:r>
    </w:p>
    <w:p>
      <w:pPr>
        <w:spacing w:after="0" w:line="220" w:lineRule="exact"/>
        <w:rPr>
          <w:sz w:val="20"/>
          <w:szCs w:val="20"/>
          <w:color w:val="auto"/>
        </w:rPr>
      </w:pPr>
    </w:p>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10.3 [***].</w:t>
      </w:r>
    </w:p>
    <w:p>
      <w:pPr>
        <w:spacing w:after="0" w:line="206"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3060" w:hanging="431"/>
        <w:spacing w:after="0"/>
        <w:tabs>
          <w:tab w:leader="none" w:pos="30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40" w:hanging="435"/>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 [***].</w:t>
      </w:r>
    </w:p>
    <w:p>
      <w:pPr>
        <w:spacing w:after="0" w:line="220" w:lineRule="exact"/>
        <w:rPr>
          <w:sz w:val="20"/>
          <w:szCs w:val="20"/>
          <w:color w:val="auto"/>
        </w:rPr>
      </w:pPr>
    </w:p>
    <w:p>
      <w:pPr>
        <w:ind w:left="1940" w:hanging="435"/>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shall commence on the Effective Date and, unless terminated earlier pursuant to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Section 11.3 or Section 11.4, shall continue in full force and effect until the expiration of the last to expire Royalty Term.</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Termination for Material Breach</w:t>
      </w:r>
      <w:r>
        <w:rPr>
          <w:rFonts w:ascii="Times New Roman" w:cs="Times New Roman" w:eastAsia="Times New Roman" w:hAnsi="Times New Roman"/>
          <w:sz w:val="22"/>
          <w:szCs w:val="22"/>
          <w:color w:val="auto"/>
        </w:rPr>
        <w:t>. If either Party materially breaches this Agreement at any time, the non-breaching Party shall have the right to terminate this Agreement by written notice to the breaching Party, if such material breach is not cured within [***] after written notice is given by the non-breaching Party to the breaching Party specifying the breach, subject to Section 15.2. [***].</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Termination for Bankruptcy</w:t>
      </w:r>
      <w:r>
        <w:rPr>
          <w:rFonts w:ascii="Times New Roman" w:cs="Times New Roman" w:eastAsia="Times New Roman" w:hAnsi="Times New Roman"/>
          <w:sz w:val="22"/>
          <w:szCs w:val="22"/>
          <w:color w:val="auto"/>
        </w:rPr>
        <w:t>. Either Party shall have the right to terminate this Agreement upon written notice to the other Party: (a) if such other Party is declared insolvent or bankrupt by a court of competent jurisdiction; (b) if a voluntary or involuntary petition in bankruptcy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1"/>
          <w:szCs w:val="21"/>
          <w:color w:val="auto"/>
        </w:rPr>
        <w:t>is filed in any court of competent jurisdiction against such other Party and such petition is not dismissed within [***] after filing;</w:t>
      </w:r>
    </w:p>
    <w:p>
      <w:pPr>
        <w:spacing w:after="0" w:line="39" w:lineRule="exact"/>
        <w:rPr>
          <w:sz w:val="20"/>
          <w:szCs w:val="20"/>
          <w:color w:val="auto"/>
        </w:rPr>
      </w:pPr>
    </w:p>
    <w:p>
      <w:pPr>
        <w:ind w:firstLine="8"/>
        <w:spacing w:after="0" w:line="237" w:lineRule="auto"/>
        <w:tabs>
          <w:tab w:leader="none" w:pos="31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other Party shall make or execute an assignment of substantially all of its assets for the benefit of creditors; or (d) substantially all of the assets of such other Party are seized or attached and not released within [***] thereafter.</w:t>
      </w:r>
    </w:p>
    <w:p>
      <w:pPr>
        <w:spacing w:after="0" w:line="17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Termination by ORIC</w:t>
      </w:r>
      <w:r>
        <w:rPr>
          <w:rFonts w:ascii="Times New Roman" w:cs="Times New Roman" w:eastAsia="Times New Roman" w:hAnsi="Times New Roman"/>
          <w:sz w:val="22"/>
          <w:szCs w:val="22"/>
          <w:color w:val="auto"/>
        </w:rPr>
        <w:t>. ORIC shall have the right to terminate this Agreement in its entirety for convenience, without cause, and for any or no reason on not less than [***] prior written notice to Voronoi.</w:t>
      </w:r>
    </w:p>
    <w:p>
      <w:pPr>
        <w:spacing w:after="0" w:line="13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Termination by Voronoi for ORIC’s Abandonment</w:t>
      </w:r>
      <w:r>
        <w:rPr>
          <w:rFonts w:ascii="Times New Roman" w:cs="Times New Roman" w:eastAsia="Times New Roman" w:hAnsi="Times New Roman"/>
          <w:sz w:val="21"/>
          <w:szCs w:val="21"/>
          <w:color w:val="auto"/>
        </w:rPr>
        <w:t>. At any point in time prior to the [***], if ORIC has ceased to conduct or cause to be conducted, itself or through one or more Affiliates or Third Parties, all Development activities with respect to all Licensed Compounds and Licensed Products for [***], then, provided that such inactivity was (a) not imposed by or in response to guidance from a Regulatory Authority, (b) not prevented by applicable law, (c) not a result of Voronoi’s breach of any of its obligations, representations, warranties or covenants under this Agreement, and (d) not due to a force majeure event, Voronoi may provide written notice to ORIC of its intent to terminate this Agreement and, if ORIC does not commence any activities in support of the Development of at least one Licensed Compound or Licensed Product within ninety [***] after receipt such notice from Voronoi, then Voronoi may terminate this Agreement upon written notice to ORIC, subject to Section 15.2.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TERMINATION</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The expiration or termination of this Agreement for any reason shall not release either Party from any liability which, at the time of such expiration or termination, has already accrued to the other Party or which is attributable to a period prior to such expiration or termination, nor will any termination of this Agreement preclude either Party from pursuing all rights and remedies it may have under this Agreement, or at law or in equity, with respect to breach of this Agreement.</w:t>
      </w:r>
    </w:p>
    <w:p>
      <w:pPr>
        <w:spacing w:after="0" w:line="18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Rights on Termination of Agreement</w:t>
      </w:r>
      <w:r>
        <w:rPr>
          <w:rFonts w:ascii="Times New Roman" w:cs="Times New Roman" w:eastAsia="Times New Roman" w:hAnsi="Times New Roman"/>
          <w:sz w:val="22"/>
          <w:szCs w:val="22"/>
          <w:color w:val="auto"/>
        </w:rPr>
        <w:t>. This Section 12.2 shall apply solely in the event of any termination of this Agreement by Voronoi pursuant to Section 11.2 or Section 11.3 or by ORIC pursuant to Section 11.4.</w:t>
      </w:r>
    </w:p>
    <w:p>
      <w:pPr>
        <w:spacing w:after="0" w:line="150" w:lineRule="exact"/>
        <w:rPr>
          <w:sz w:val="20"/>
          <w:szCs w:val="20"/>
          <w:color w:val="auto"/>
        </w:rPr>
      </w:pPr>
    </w:p>
    <w:p>
      <w:pPr>
        <w:ind w:firstLine="1505"/>
        <w:spacing w:after="0" w:line="275" w:lineRule="auto"/>
        <w:tabs>
          <w:tab w:leader="none" w:pos="197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In the event ORIC is conducting any on-going Clinical Studies of Licensed Products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date a notice of termination has been issued by Voronoi or ORIC, as applicable, [***].</w:t>
      </w:r>
    </w:p>
    <w:p>
      <w:pPr>
        <w:spacing w:after="0" w:line="13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jc w:val="both"/>
        <w:ind w:firstLine="1505"/>
        <w:spacing w:after="0"/>
        <w:tabs>
          <w:tab w:leader="none" w:pos="192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of Regulatory Filings</w:t>
      </w:r>
      <w:r>
        <w:rPr>
          <w:rFonts w:ascii="Times New Roman" w:cs="Times New Roman" w:eastAsia="Times New Roman" w:hAnsi="Times New Roman"/>
          <w:sz w:val="22"/>
          <w:szCs w:val="22"/>
          <w:color w:val="auto"/>
        </w:rPr>
        <w:t>. Within [***] after the effective date of termination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required by any applicable law or regulation), at Voronoi’s [***], ORIC shall assign (or cause to be assigned) to Voronoi or its designee (or to the extent not so assignable, ORIC shall take reasonable actions to make available to Voronoi or its designee the benefits of) all Regulatory Filings for a Licensed Product in the ORIC Territory owned and Controlled as of the effective date of termination by ORIC or any of its Affiliates.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1" w:name="page152"/>
    <w:bookmarkEnd w:id="151"/>
    <w:p>
      <w:pPr>
        <w:jc w:val="both"/>
        <w:ind w:firstLine="1505"/>
        <w:spacing w:after="0" w:line="229" w:lineRule="auto"/>
        <w:tabs>
          <w:tab w:leader="none" w:pos="192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 Effective as of the effective date of any such termination, (i) subject to Section 12.2(g), all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ORIC under the Voronoi Patents and Voronoi Know-How pursuant to Section 2.1 shall terminate and (ii) ORIC hereby grants to Voronoi a non-exclusive, transferable, royalty-bearing, license, with the right to grant and authorize sublicenses through multiple tiers, under ORIC’s rights in and to any and all ORIC Inventions and ORIC Patents in existence as of the effective date of termination solely to enable Voronoi to Develop, manufacture and/or Commercialize Licensed Compounds, Licensed Products and/or Companion Diagnostics, in each case, as such Licensed Compound, Licensed Product and/or Companion Diagnostic exists at such time, for any and all Indications and uses (such Licensed Compounds, the “</w:t>
      </w:r>
      <w:r>
        <w:rPr>
          <w:rFonts w:ascii="Times New Roman" w:cs="Times New Roman" w:eastAsia="Times New Roman" w:hAnsi="Times New Roman"/>
          <w:sz w:val="22"/>
          <w:szCs w:val="22"/>
          <w:b w:val="1"/>
          <w:bCs w:val="1"/>
          <w:color w:val="auto"/>
        </w:rPr>
        <w:t>Terminated Compounds</w:t>
      </w:r>
      <w:r>
        <w:rPr>
          <w:rFonts w:ascii="Times New Roman" w:cs="Times New Roman" w:eastAsia="Times New Roman" w:hAnsi="Times New Roman"/>
          <w:sz w:val="22"/>
          <w:szCs w:val="22"/>
          <w:color w:val="auto"/>
        </w:rPr>
        <w:t>” and such Licensed Products, the “</w:t>
      </w:r>
      <w:r>
        <w:rPr>
          <w:rFonts w:ascii="Times New Roman" w:cs="Times New Roman" w:eastAsia="Times New Roman" w:hAnsi="Times New Roman"/>
          <w:sz w:val="22"/>
          <w:szCs w:val="22"/>
          <w:b w:val="1"/>
          <w:bCs w:val="1"/>
          <w:color w:val="auto"/>
        </w:rPr>
        <w:t>Terminated Products</w:t>
      </w:r>
      <w:r>
        <w:rPr>
          <w:rFonts w:ascii="Times New Roman" w:cs="Times New Roman" w:eastAsia="Times New Roman" w:hAnsi="Times New Roman"/>
          <w:sz w:val="22"/>
          <w:szCs w:val="22"/>
          <w:color w:val="auto"/>
        </w:rPr>
        <w:t>”). [***].</w:t>
      </w:r>
    </w:p>
    <w:p>
      <w:pPr>
        <w:spacing w:after="0" w:line="16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505"/>
        <w:spacing w:after="0" w:line="250" w:lineRule="auto"/>
        <w:tabs>
          <w:tab w:leader="none" w:pos="192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Return of Confidential Information</w:t>
      </w:r>
      <w:r>
        <w:rPr>
          <w:rFonts w:ascii="Times New Roman" w:cs="Times New Roman" w:eastAsia="Times New Roman" w:hAnsi="Times New Roman"/>
          <w:sz w:val="22"/>
          <w:szCs w:val="22"/>
          <w:color w:val="auto"/>
        </w:rPr>
        <w:t>. Within [***] after the effective date of any such termination,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shall promptly return to the other Party, or delete or destroy, all Confidential Information of the other Party; provided that</w:t>
      </w:r>
    </w:p>
    <w:p>
      <w:pPr>
        <w:jc w:val="both"/>
        <w:ind w:firstLine="8"/>
        <w:spacing w:after="0" w:line="238" w:lineRule="auto"/>
        <w:tabs>
          <w:tab w:leader="none" w:pos="30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retain copies of the Confidential Information of the other Party to the extent necessary to perform its obligations or exercise its rights that survive expiration or termination of this Agreement; (ii) each Party may retain one copy of the Confidential Information of the other Party in its secure legal archives solely for purposes of monitoring compliance with its continuing obligations hereunder and (iii) neither Party shall be required to transfer or destroy any electronically stored Confidential Information made as a matter of the receiving Party’s routine information technology backup.</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firstLine="749"/>
        <w:spacing w:after="0" w:line="275"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Upon the expiration or termination of this Agreement, all rights and obligations of the Parties under this Agreement shall terminate except that [***] shall survive expiration or any termination of this Agreement.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b w:val="1"/>
          <w:bCs w:val="1"/>
          <w:color w:val="auto"/>
        </w:rPr>
        <w:t>Representations and Warranties of Voronoi</w:t>
      </w:r>
      <w:r>
        <w:rPr>
          <w:rFonts w:ascii="Times New Roman" w:cs="Times New Roman" w:eastAsia="Times New Roman" w:hAnsi="Times New Roman"/>
          <w:sz w:val="21"/>
          <w:szCs w:val="21"/>
          <w:color w:val="auto"/>
        </w:rPr>
        <w:t>. Voronoi represents, warrants to ORIC that, as of the Effective Date:</w:t>
      </w:r>
    </w:p>
    <w:p>
      <w:pPr>
        <w:spacing w:after="0" w:line="222" w:lineRule="exact"/>
        <w:rPr>
          <w:sz w:val="20"/>
          <w:szCs w:val="20"/>
          <w:color w:val="auto"/>
        </w:rPr>
      </w:pPr>
    </w:p>
    <w:p>
      <w:pPr>
        <w:jc w:val="both"/>
        <w:ind w:firstLine="1505"/>
        <w:spacing w:after="0" w:line="248"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is a corporation duly organized, validly existing and is in good standing under the laws of Republic of Korea is qualified to do business and is in good standing as a foreign corporation in each jurisdiction in which the conduct of its business or the ownership of its properties requires such qualification and failure to have such would prevent Voronoi from performing its obligations under this Agreement;</w:t>
      </w:r>
    </w:p>
    <w:p>
      <w:pPr>
        <w:spacing w:after="0" w:line="169"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a legal and valid obligation binding upon Voronoi and enforceable in accordance with its terms. The execution, delivery and performance of this Agreement by Voronoi have been duly authorized by all necessary</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corporate action and do not and will not: (i) to Voronoi’s knowledge, violate any law, rule, regulation, order, writ, judgment, decree, determination or award of any court, governmental body or administrative or other agency having jurisdiction over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52" w:name="page153"/>
    <w:bookmarkEnd w:id="152"/>
    <w:p>
      <w:pPr>
        <w:spacing w:after="0" w:line="271" w:lineRule="auto"/>
        <w:rPr>
          <w:sz w:val="20"/>
          <w:szCs w:val="20"/>
          <w:color w:val="auto"/>
        </w:rPr>
      </w:pPr>
      <w:r>
        <w:rPr>
          <w:rFonts w:ascii="Times New Roman" w:cs="Times New Roman" w:eastAsia="Times New Roman" w:hAnsi="Times New Roman"/>
          <w:sz w:val="22"/>
          <w:szCs w:val="22"/>
          <w:color w:val="auto"/>
        </w:rPr>
        <w:t>Voronoi; nor (ii) conflict with, or constitute a default under, any agreement, instrument or understanding, oral or written, to which Voronoi is a party or by which it is bound;</w:t>
      </w:r>
    </w:p>
    <w:p>
      <w:pPr>
        <w:spacing w:after="0" w:line="144" w:lineRule="exact"/>
        <w:rPr>
          <w:sz w:val="20"/>
          <w:szCs w:val="20"/>
          <w:color w:val="auto"/>
        </w:rPr>
      </w:pPr>
    </w:p>
    <w:p>
      <w:pPr>
        <w:ind w:left="1940" w:hanging="435"/>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13.1, Voronoi is the sole owner of all right, title and interest in the [***];</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in the [***] is owned by Voronoi, solely or jointly with one or more of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Affiliates;</w:t>
      </w:r>
    </w:p>
    <w:p>
      <w:pPr>
        <w:spacing w:after="0" w:line="169" w:lineRule="exact"/>
        <w:rPr>
          <w:sz w:val="20"/>
          <w:szCs w:val="20"/>
          <w:color w:val="auto"/>
        </w:rPr>
      </w:pPr>
    </w:p>
    <w:p>
      <w:pPr>
        <w:jc w:val="both"/>
        <w:ind w:firstLine="1505"/>
        <w:spacing w:after="0" w:line="233" w:lineRule="auto"/>
        <w:tabs>
          <w:tab w:leader="none" w:pos="198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has the full right, power and authority to grant the rights and licenses granted by Voronoi to ORIC herein, including the right to grant and authorize sublicenses in accordance with Section 2.2, and no consent, approval or authorization of any other Person (including Voronoi Bio INC. or B2S Bio INC.) is or will be required for ORIC to grant or authorize any such sublicense;</w:t>
      </w:r>
    </w:p>
    <w:p>
      <w:pPr>
        <w:spacing w:after="0" w:line="165" w:lineRule="exact"/>
        <w:rPr>
          <w:rFonts w:ascii="Times New Roman" w:cs="Times New Roman" w:eastAsia="Times New Roman" w:hAnsi="Times New Roman"/>
          <w:sz w:val="22"/>
          <w:szCs w:val="22"/>
          <w:color w:val="auto"/>
        </w:rPr>
      </w:pPr>
    </w:p>
    <w:p>
      <w:pPr>
        <w:jc w:val="both"/>
        <w:ind w:right="20" w:firstLine="1505"/>
        <w:spacing w:after="0" w:line="250"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has not previously granted and will not grant any right, license or interest in or to a Licensed Compound, Licensed Product, Companion Diagnostic, the Voronoi Know-How and/or the [***] or any portion thereof, that is in conflict with the rights or licenses granted to ORIC under this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Voronoi Patents and the Voronoi Know-How are free and clear of all liens, claims, security interests or other encumbrances of any kind and during the term of this Agreement, Voronoi shall not permit the Voronoi Patents or the Voronoi Know-How to become encumbered by any liens, claims, security interests or other encumbrances that could diminish ORIC’s rights or licenses with respect to any Patent or other subject matter;</w:t>
      </w:r>
    </w:p>
    <w:p>
      <w:pPr>
        <w:spacing w:after="0" w:line="172" w:lineRule="exact"/>
        <w:rPr>
          <w:rFonts w:ascii="Times New Roman" w:cs="Times New Roman" w:eastAsia="Times New Roman" w:hAnsi="Times New Roman"/>
          <w:sz w:val="22"/>
          <w:szCs w:val="22"/>
          <w:color w:val="auto"/>
        </w:rPr>
      </w:pPr>
    </w:p>
    <w:p>
      <w:pPr>
        <w:jc w:val="both"/>
        <w:ind w:firstLine="1505"/>
        <w:spacing w:after="0" w:line="250"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actual, pending, alleged or threatened actions, suits, claims, interference or governmental investigations involving a Licensed Compound, Licensed Product, Companion Diagnostic, the Voronoi Patents or the Voronoi Know-How by or against Voronoi, or any of its Affiliates or other licensees;</w:t>
      </w:r>
    </w:p>
    <w:p>
      <w:pPr>
        <w:spacing w:after="0" w:line="167" w:lineRule="exact"/>
        <w:rPr>
          <w:rFonts w:ascii="Times New Roman" w:cs="Times New Roman" w:eastAsia="Times New Roman" w:hAnsi="Times New Roman"/>
          <w:sz w:val="22"/>
          <w:szCs w:val="22"/>
          <w:color w:val="auto"/>
        </w:rPr>
      </w:pPr>
    </w:p>
    <w:p>
      <w:pPr>
        <w:jc w:val="both"/>
        <w:ind w:firstLine="1505"/>
        <w:spacing w:after="0" w:line="250"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consents, approvals and authorizations of all Regulatory Authorities, other governmental authorities and other persons or entities required to be obtained by Voronoi in order to enter into this Agreement have been obtained;</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Voronoi’s knowledge, the practice of the Voronoi Patents or the Voronoi Know-How and the making, using, selling, offering for sale and importing of a Licensed Compound, Licensed Product and/or Companion Diagnostic does not infringe, violate or misappropriate the intellectual property rights of any Third Party;</w:t>
      </w:r>
    </w:p>
    <w:p>
      <w:pPr>
        <w:spacing w:after="0" w:line="186" w:lineRule="exact"/>
        <w:rPr>
          <w:rFonts w:ascii="Times New Roman" w:cs="Times New Roman" w:eastAsia="Times New Roman" w:hAnsi="Times New Roman"/>
          <w:sz w:val="22"/>
          <w:szCs w:val="22"/>
          <w:color w:val="auto"/>
        </w:rPr>
      </w:pPr>
    </w:p>
    <w:p>
      <w:pPr>
        <w:jc w:val="both"/>
        <w:ind w:firstLine="1505"/>
        <w:spacing w:after="0" w:line="242"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has not received notice from a Third Party claiming that the practice of the Voronoi Patents or the Voronoi Know-How or the making, using, selling, offering for sale and importing of a Licensed Compound, Licensed Product and/or Companion Diagnostic infringes, violates or misappropriates the intellectual property rights of any Third Party;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53" w:name="page154"/>
    <w:bookmarkEnd w:id="153"/>
    <w:p>
      <w:pPr>
        <w:jc w:val="both"/>
        <w:ind w:right="20" w:firstLine="1505"/>
        <w:spacing w:after="0" w:line="250"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has not knowingly withheld any Voronoi Know-How that is reasonably relevant for ORIC’s conduct of activities under this Agreement and, to Voronoi’s knowledge, all Voronoi Know-How provided to ORIC is free from any material inaccuracies;</w:t>
      </w:r>
    </w:p>
    <w:p>
      <w:pPr>
        <w:spacing w:after="0" w:line="167" w:lineRule="exact"/>
        <w:rPr>
          <w:rFonts w:ascii="Times New Roman" w:cs="Times New Roman" w:eastAsia="Times New Roman" w:hAnsi="Times New Roman"/>
          <w:sz w:val="22"/>
          <w:szCs w:val="22"/>
          <w:color w:val="auto"/>
        </w:rPr>
      </w:pPr>
    </w:p>
    <w:p>
      <w:pPr>
        <w:ind w:right="20" w:firstLine="1505"/>
        <w:spacing w:after="0" w:line="271"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Voronoi’s knowledge, there is no actual, pending, alleged or threatened infringement by a Third Party of any of the Voronoi Patents or the Voronoi Know-How;</w:t>
      </w:r>
    </w:p>
    <w:p>
      <w:pPr>
        <w:spacing w:after="0" w:line="144" w:lineRule="exact"/>
        <w:rPr>
          <w:rFonts w:ascii="Times New Roman" w:cs="Times New Roman" w:eastAsia="Times New Roman" w:hAnsi="Times New Roman"/>
          <w:sz w:val="22"/>
          <w:szCs w:val="22"/>
          <w:color w:val="auto"/>
        </w:rPr>
      </w:pPr>
    </w:p>
    <w:p>
      <w:pPr>
        <w:ind w:firstLine="1505"/>
        <w:spacing w:after="0" w:line="250"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Voronoi has complied with all applicable laws in all material respects, including any disclosure requirements, in connection with the filing, prosecution and maintenance of the Voronoi Patents and, to Voronoi’s knowledge, none of the issued Voronoi Patents are invalid or unenforceable;</w:t>
      </w:r>
    </w:p>
    <w:p>
      <w:pPr>
        <w:spacing w:after="0" w:line="167" w:lineRule="exact"/>
        <w:rPr>
          <w:rFonts w:ascii="Times New Roman" w:cs="Times New Roman" w:eastAsia="Times New Roman" w:hAnsi="Times New Roman"/>
          <w:sz w:val="22"/>
          <w:szCs w:val="22"/>
          <w:color w:val="auto"/>
        </w:rPr>
      </w:pPr>
    </w:p>
    <w:p>
      <w:pPr>
        <w:jc w:val="both"/>
        <w:ind w:firstLine="1505"/>
        <w:spacing w:after="0" w:line="248"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Voronoi nor any of its Affiliates are, or have been, debarred or disqualified by any Regulatory Authority; and none of Voronoi or any of its Affiliates’ employees or contractors who were or will be involved in the Development, manufacture or Commercialization of Licensed Compounds and/or Licensed Products are, or have been, debarred or disqualified by any Regulatory Authority; and</w:t>
      </w:r>
    </w:p>
    <w:p>
      <w:pPr>
        <w:spacing w:after="0" w:line="169"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Voronoi’s knowledge, none of the materials and documents provided to ORIC in the course of ORIC’s due diligence preceding execution of this Agreement contained any untrue statement of material fact.</w:t>
      </w:r>
    </w:p>
    <w:p>
      <w:pPr>
        <w:spacing w:after="0" w:line="16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Covenants, Representations and Warranties of Voronoi as to Manufacture and Supply to ORIC</w:t>
      </w:r>
      <w:r>
        <w:rPr>
          <w:rFonts w:ascii="Times New Roman" w:cs="Times New Roman" w:eastAsia="Times New Roman" w:hAnsi="Times New Roman"/>
          <w:sz w:val="22"/>
          <w:szCs w:val="22"/>
          <w:color w:val="auto"/>
        </w:rPr>
        <w:t>. Voronoi covenants, represents and warrants to ORIC that all Licensed Compound and Licensed Product manufactured and delivered by or under the authority of Voronoi to ORIC under this Agreement shall comply with all applicable laws and shall be manufactured in accordance with: (i) the specifications for such Licensed Compound and/or Licensed Product agreed upon by the Parties; (ii) GMP and any other applicable manufacturing standards; and (iii) any further manufacturing, packaging or other standards agreed in writing by the Parties.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b w:val="1"/>
          <w:bCs w:val="1"/>
          <w:color w:val="auto"/>
        </w:rPr>
        <w:t>Representations and Warranties of ORIC</w:t>
      </w:r>
      <w:r>
        <w:rPr>
          <w:rFonts w:ascii="Times New Roman" w:cs="Times New Roman" w:eastAsia="Times New Roman" w:hAnsi="Times New Roman"/>
          <w:sz w:val="22"/>
          <w:szCs w:val="22"/>
          <w:color w:val="auto"/>
        </w:rPr>
        <w:t>.  ORIC represents and warrants to Voronoi that, as of the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jc w:val="both"/>
        <w:ind w:firstLine="1505"/>
        <w:spacing w:after="0" w:line="244" w:lineRule="auto"/>
        <w:tabs>
          <w:tab w:leader="none" w:pos="192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 is a corporation duly organized, validly existing and is in good standing under the laws of the State of Delaware, U.S.A., is qualified to do business and is in good standing as a foreign corporation in each jurisdiction in which the conduct of its business or the ownership of its properties requires such qualification and failure to have such would prevent ORIC from performing its obligations under this Agreement;</w:t>
      </w:r>
    </w:p>
    <w:p>
      <w:pPr>
        <w:spacing w:after="0" w:line="172" w:lineRule="exact"/>
        <w:rPr>
          <w:rFonts w:ascii="Times New Roman" w:cs="Times New Roman" w:eastAsia="Times New Roman" w:hAnsi="Times New Roman"/>
          <w:sz w:val="22"/>
          <w:szCs w:val="22"/>
          <w:color w:val="auto"/>
        </w:rPr>
      </w:pPr>
    </w:p>
    <w:p>
      <w:pPr>
        <w:jc w:val="both"/>
        <w:ind w:firstLine="1505"/>
        <w:spacing w:after="0" w:line="258" w:lineRule="auto"/>
        <w:tabs>
          <w:tab w:leader="none" w:pos="192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a legal and valid obligation binding upon ORIC and enforceable in accordance with its terms. The execution, delivery and performance of this Agreement by ORIC have been duly authorized by all necessary corporate action and do not and will not: (i) to ORIC’s knowledge, violate any law, rule, regulation, order, writ, judgment, decree,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determination or award of any court, governmental body or administrative or other agency having jurisdiction over ORIC; nor (ii) conflict with, or constitute a default under, any agreement, instrument or understanding, oral or written, to which ORIC is a party or by which it is bound;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54" w:name="page155"/>
    <w:bookmarkEnd w:id="154"/>
    <w:p>
      <w:pPr>
        <w:jc w:val="both"/>
        <w:ind w:right="20" w:firstLine="1505"/>
        <w:spacing w:after="0" w:line="250"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consents, approvals and authorizations of all Regulatory Authorities, other governmental authorities and other persons or entities required to be obtained by ORIC in order to enter into this Agreement have been obtained;</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right="20" w:firstLine="1505"/>
        <w:spacing w:after="0" w:line="282" w:lineRule="auto"/>
        <w:tabs>
          <w:tab w:leader="none" w:pos="192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judgments or settlements in writing against or owed by ORIC and, to ORIC’s knowledge, no pending litigation against ORIC, in each case, involving a Licensed Compound, Licensed Product or Companion Diagnostic.</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color w:val="auto"/>
        </w:rPr>
        <w:t>Mutual Representations, Warranties and Covenants</w:t>
      </w:r>
      <w:r>
        <w:rPr>
          <w:rFonts w:ascii="Times New Roman" w:cs="Times New Roman" w:eastAsia="Times New Roman" w:hAnsi="Times New Roman"/>
          <w:sz w:val="22"/>
          <w:szCs w:val="22"/>
          <w:color w:val="auto"/>
        </w:rPr>
        <w:t>. Each Party covenants to the other that:</w:t>
      </w:r>
    </w:p>
    <w:p>
      <w:pPr>
        <w:spacing w:after="0" w:line="210" w:lineRule="exact"/>
        <w:rPr>
          <w:sz w:val="20"/>
          <w:szCs w:val="20"/>
          <w:color w:val="auto"/>
        </w:rPr>
      </w:pPr>
    </w:p>
    <w:p>
      <w:pPr>
        <w:jc w:val="both"/>
        <w:ind w:firstLine="1505"/>
        <w:spacing w:after="0"/>
        <w:tabs>
          <w:tab w:leader="none" w:pos="19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such Party nor any of its Affiliates will employ or use the services of any Person who is debarred or disqualified debarred or disqualified by any Regulatory Authority in connection with activities relating to any Licensed Compounds, Licensed Products and/or Companion Diagnostics; and in the event that such Party becomes aware of the debarment or disqualification or threatened debarment or disqualification of any Person providing services to such Party or any of its Affiliates with respect to any activities relating to any Licensed Compounds, Licensed Products and/or Companion Diagnostics, such Party will promptly notify the other party in writing and such Party will cease, or cause its Affiliate to cease (as applicable), employing, contracting with, or retaining any such Person to perform any services relating to the applicable Licensed Compounds, Licensed Products and/or Companion Diagnostics; and</w:t>
      </w:r>
    </w:p>
    <w:p>
      <w:pPr>
        <w:spacing w:after="0" w:line="176" w:lineRule="exact"/>
        <w:rPr>
          <w:rFonts w:ascii="Times New Roman" w:cs="Times New Roman" w:eastAsia="Times New Roman" w:hAnsi="Times New Roman"/>
          <w:sz w:val="22"/>
          <w:szCs w:val="22"/>
          <w:color w:val="auto"/>
        </w:rPr>
      </w:pPr>
    </w:p>
    <w:p>
      <w:pPr>
        <w:jc w:val="both"/>
        <w:ind w:firstLine="1505"/>
        <w:spacing w:after="0" w:line="237" w:lineRule="auto"/>
        <w:tabs>
          <w:tab w:leader="none" w:pos="19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and its Affiliates are in compliance with, and at all times during the term of this Agreement shall remain in compliance with, all antibribery or anticorruption laws, including the U.S. Foreign Corrupt Practices Act of 1977, as amended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Neither such Party nor any of its Affiliates has or will, in connection with the exercise of such party’s rights or performance of its obligations under this Agreement, authorized, offered or made payments or otherwise provided anything of value directly or indirectly to: (i) an executive, official, employee or agent of a governmental department, agency or instrumentality, (ii) a director, officer, employee or agent of a wholly or partially government-owned or government-controlled company or business, (iii) a political party or official thereof, or candidate for political office, or (iv) an executive, official, employee or agent of a public international organization (e.g., the International Monetary Fund or the World Bank) (“</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for purposes of (A) (I) improperly influencing any act or decision of such Government Official in his or her official capacity, (II) inducing such Government Official to do or omit to do any act in violation of the lawful duty of such Government Official, or (III) securing any improper advantage; or (B) inducing such Government Official improperly to use his or her influence in order to assist such Party or any of its Affiliates in obtaining or retaining business.</w:t>
      </w:r>
    </w:p>
    <w:p>
      <w:pPr>
        <w:spacing w:after="0" w:line="19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b w:val="1"/>
          <w:bCs w:val="1"/>
          <w:color w:val="auto"/>
        </w:rPr>
        <w:t>Disclaimer</w:t>
      </w:r>
      <w:r>
        <w:rPr>
          <w:rFonts w:ascii="Times New Roman" w:cs="Times New Roman" w:eastAsia="Times New Roman" w:hAnsi="Times New Roman"/>
          <w:sz w:val="22"/>
          <w:szCs w:val="22"/>
          <w:color w:val="auto"/>
        </w:rPr>
        <w:t>. EXCEPT AS OTHERWISE EXPRESSLY SET FORTH IN THIS AGREEMENT, NEITHER PARTY MAKES ANY REPRESENTATION OR EXTENDS ANY WARRANTIES OF ANY KIND EITHER EXPRESS OR IMPLIED, INCLUDING, BUT NOT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LIMITED TO, WARRANTIES OF MERCHANTABILITY OR FITNESS FOR A PARTICULAR PURPOSE.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Limitations on Claims for Representations and Warranties</w:t>
      </w:r>
      <w:r>
        <w:rPr>
          <w:rFonts w:ascii="Times New Roman" w:cs="Times New Roman" w:eastAsia="Times New Roman" w:hAnsi="Times New Roman"/>
          <w:sz w:val="22"/>
          <w:szCs w:val="22"/>
          <w:color w:val="auto"/>
        </w:rPr>
        <w:t>. [***].</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RECALLS</w:t>
      </w:r>
    </w:p>
    <w:p>
      <w:pPr>
        <w:spacing w:after="0" w:line="19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Indemnification of Voronoi</w:t>
      </w:r>
      <w:r>
        <w:rPr>
          <w:rFonts w:ascii="Times New Roman" w:cs="Times New Roman" w:eastAsia="Times New Roman" w:hAnsi="Times New Roman"/>
          <w:sz w:val="22"/>
          <w:szCs w:val="22"/>
          <w:color w:val="auto"/>
        </w:rPr>
        <w:t>. ORIC shall indemnify and hold harmless each of Voronoi, its Affiliates, and the directors, officers, shareholders and employees of such entities and the successors and assigns of any of the foregoing (the “</w:t>
      </w:r>
      <w:r>
        <w:rPr>
          <w:rFonts w:ascii="Times New Roman" w:cs="Times New Roman" w:eastAsia="Times New Roman" w:hAnsi="Times New Roman"/>
          <w:sz w:val="22"/>
          <w:szCs w:val="22"/>
          <w:b w:val="1"/>
          <w:bCs w:val="1"/>
          <w:color w:val="auto"/>
        </w:rPr>
        <w:t>Voronoi Indemnitees</w:t>
      </w:r>
      <w:r>
        <w:rPr>
          <w:rFonts w:ascii="Times New Roman" w:cs="Times New Roman" w:eastAsia="Times New Roman" w:hAnsi="Times New Roman"/>
          <w:sz w:val="22"/>
          <w:szCs w:val="22"/>
          <w:color w:val="auto"/>
        </w:rPr>
        <w:t>”), from and against any and all liabilities, damages, penalties, fines, costs, expenses (including, reasonable attorneys’ fees and other expenses of litigation)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incurred by any Voronoi Indemnitee as a result of any claims, actions, suits or proceedings brought by a Third Party (a “</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against a Voronoi Indemnitee, arising from, or occurring as a result of: (a) the Development or Commercialization of any Licensed Product by ORIC, its Affiliates or Sublicensees in the ORIC Territory; and (b) any breach of any representations, warranties or covenants by ORIC in Article XIII above; except to the extent such Third Party Claims fall within the scope of Voronoi’s indemnification obligations set forth in Section 14.2 below or result from the fault of a Voronoi Indemnitee.</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Indemnification of ORIC</w:t>
      </w:r>
      <w:r>
        <w:rPr>
          <w:rFonts w:ascii="Times New Roman" w:cs="Times New Roman" w:eastAsia="Times New Roman" w:hAnsi="Times New Roman"/>
          <w:sz w:val="22"/>
          <w:szCs w:val="22"/>
          <w:color w:val="auto"/>
        </w:rPr>
        <w:t>. Voronoi shall indemnify and hold harmless each of ORIC, its Affiliates and Sublicensees and the directors, officers and employees of ORIC, its Affiliates and Sublicensees and the successors and assigns of any of the foregoing (the “</w:t>
      </w:r>
      <w:r>
        <w:rPr>
          <w:rFonts w:ascii="Times New Roman" w:cs="Times New Roman" w:eastAsia="Times New Roman" w:hAnsi="Times New Roman"/>
          <w:sz w:val="22"/>
          <w:szCs w:val="22"/>
          <w:b w:val="1"/>
          <w:bCs w:val="1"/>
          <w:color w:val="auto"/>
        </w:rPr>
        <w:t>ORIC Indemnitees</w:t>
      </w:r>
      <w:r>
        <w:rPr>
          <w:rFonts w:ascii="Times New Roman" w:cs="Times New Roman" w:eastAsia="Times New Roman" w:hAnsi="Times New Roman"/>
          <w:sz w:val="22"/>
          <w:szCs w:val="22"/>
          <w:color w:val="auto"/>
        </w:rPr>
        <w:t>”), from and against any and all Liabilities incurred by any ORIC Indemnitee as a result of any Third Party Claims against an ORIC Indemnitee, arising from, or occurring as a result of: (a) the Development or Commercialization of any Licensed Product by Voronoi, its Affiliates or licensees in any Territory; and (b) any breach of any representations, warranties or covenants by Voronoi in Article XIII above, except to the extent such Third Party Claims fall within the scope of ORIC’s indemnification obligations set forth in Section 14.1 above or result from the fault of an ORIC Indemnitee.</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A Party that intends to claim indemnification under this Article XIV (the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shall promptly notify the other Party (the “</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in writing of any Third Party Claim, in respect of which the Indemnitee intends to claim such indemnification, and the Indemnitor shall have sole control of the defense and/or settlement thereof. The indemnity arrangement in this Section 14.3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if prejudicial to its ability to defend such action, shall relieve such Indemnitor of any liability to the Indemnitee under this Section 14.3, but the omission to so deliver written notice to the Indemnitor shall not relieve the Indemnitor of any liability that it may have to any Indemnitee otherwise than under this Section 14.3. The Indemnitee under this Section 14.3 shall cooperate fully with the Indemnitor and its legal representatives in the investigation of any action with respect to a Third Party Claim covered by this indemnification.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56" w:name="page157"/>
    <w:bookmarkEnd w:id="156"/>
    <w:p>
      <w:pPr>
        <w:jc w:val="both"/>
        <w:ind w:firstLine="749"/>
        <w:spacing w:after="0" w:line="260"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b w:val="1"/>
          <w:bCs w:val="1"/>
          <w:color w:val="auto"/>
        </w:rPr>
        <w:t>Limitation of Liability.</w:t>
      </w:r>
      <w:r>
        <w:rPr>
          <w:rFonts w:ascii="Times New Roman" w:cs="Times New Roman" w:eastAsia="Times New Roman" w:hAnsi="Times New Roman"/>
          <w:sz w:val="21"/>
          <w:szCs w:val="21"/>
          <w:color w:val="auto"/>
        </w:rPr>
        <w:t xml:space="preserve"> NEITHER PARTY SHALL BE LIABLE TO THE OTHER PARTY FOR ANY SPECIAL, CONSEQUENTIAL, OR INDIRECT DAMAGES ARISING FROM OR RELATING TO ANY BREACH OF THIS AGREEMENT, REGARDLESS OF ANY NOTICE OF THE POSSIBILITY OF SUCH DAMAGES. NOTWITHSTANDING THE FOREGOING, NOTHING IN THIS SECTION 14.4 IS INTENDED TO OR SHALL LIMIT OR RESTRICT [***].</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b w:val="1"/>
          <w:bCs w:val="1"/>
          <w:color w:val="auto"/>
        </w:rPr>
        <w:t>Recalls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4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and Mandatory Recalls; Decision-Making</w:t>
      </w:r>
      <w:r>
        <w:rPr>
          <w:rFonts w:ascii="Times New Roman" w:cs="Times New Roman" w:eastAsia="Times New Roman" w:hAnsi="Times New Roman"/>
          <w:sz w:val="22"/>
          <w:szCs w:val="22"/>
          <w:color w:val="auto"/>
        </w:rPr>
        <w:t>. To the extent that: (i) any Regulatory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ORIC Territory or in the Voronoi Territory issues a directive or order that a Licensed Product be recalled or withdrawn in any country within the ORIC Territory or the Voronoi Territory; (ii) a court of competent jurisdiction orders a recall or withdrawal of a Licensed Product in any country within the ORIC Territory or the Voronoi Territory, (iii) the Parties mutually agree that a Licensed Product should be recalled or withdrawn voluntarily in any country within the ORIC Territory or the Voronoi Territory, or (iv) a Party reasonably determines that a Licensed Product should be recalled or withdrawn voluntarily in any country within its Territory, the applicable Party(ies) shall recall or withdraw the Licensed Product in such country as set forth in this Section 14.5. As between the Parties, [***]; provided, however, that each of ORIC and Voronoi shall provide the other Party with [***] notice of any voluntary recall or withdrawal of a Licensed Product in its Territory (and to the extent practicable, of any recall or withdrawal of a Licensed Product in its Territory ordered by a Regulatory Authority or court), and in any event shall keep the other Party promptly and fully informed of any such recall or withdrawal and shall [***].</w:t>
      </w:r>
    </w:p>
    <w:p>
      <w:pPr>
        <w:spacing w:after="0" w:line="196"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5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Recall Costs</w:t>
      </w:r>
      <w:r>
        <w:rPr>
          <w:rFonts w:ascii="Times New Roman" w:cs="Times New Roman" w:eastAsia="Times New Roman" w:hAnsi="Times New Roman"/>
          <w:sz w:val="22"/>
          <w:szCs w:val="22"/>
          <w:color w:val="auto"/>
        </w:rPr>
        <w:t>. All out-of-pocket expenses for the execution of any recall or withdrawal of a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w:t>
      </w:r>
      <w:r>
        <w:rPr>
          <w:rFonts w:ascii="Times New Roman" w:cs="Times New Roman" w:eastAsia="Times New Roman" w:hAnsi="Times New Roman"/>
          <w:sz w:val="22"/>
          <w:szCs w:val="22"/>
          <w:b w:val="1"/>
          <w:bCs w:val="1"/>
          <w:color w:val="auto"/>
        </w:rPr>
        <w:t>Recall Costs</w:t>
      </w:r>
      <w:r>
        <w:rPr>
          <w:rFonts w:ascii="Times New Roman" w:cs="Times New Roman" w:eastAsia="Times New Roman" w:hAnsi="Times New Roman"/>
          <w:sz w:val="22"/>
          <w:szCs w:val="22"/>
          <w:color w:val="auto"/>
        </w:rPr>
        <w:t>”) pursuant to Section 14.5(a) above shall be initially borne by the [***]. In the event that it is finally determined, or agreed between the Parties, that such recall or withdrawal is caused by:</w:t>
      </w:r>
    </w:p>
    <w:p>
      <w:pPr>
        <w:spacing w:after="0" w:line="184"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3060" w:hanging="431"/>
        <w:spacing w:after="0"/>
        <w:tabs>
          <w:tab w:leader="none" w:pos="306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Each Party shall secure and maintain in effect, during the term of this Agreement and for a period of</w:t>
      </w:r>
    </w:p>
    <w:p>
      <w:pPr>
        <w:spacing w:after="0" w:line="5" w:lineRule="exact"/>
        <w:rPr>
          <w:sz w:val="20"/>
          <w:szCs w:val="20"/>
          <w:color w:val="auto"/>
        </w:rPr>
      </w:pPr>
    </w:p>
    <w:p>
      <w:pPr>
        <w:jc w:val="both"/>
        <w:ind w:firstLine="8"/>
        <w:spacing w:after="0" w:line="222" w:lineRule="auto"/>
        <w:tabs>
          <w:tab w:leader="none" w:pos="53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comprehensive general liability insurance (including product liability insurance and coverage for clinical trials), underwritten by a reputable insurance carrier, in a form and having liability limits standard and customary for entities in the pharmaceutical industry based on such Party’s activities and indemnification obligations under this Agreement, as applicable. During the term of this Agreement, the out-of-pocket cost of such insurance policy(ies), to the extent incurred by Voronoi with respect to Development in the Republic of Korea, under and in accordance with the Research and Development Plan and the Research and Development Budget, shall be included as Development and Research Costs until the Opt-Out Date, after which date Voronoi shall solely bear the cost of such insurance. Each Party shall furnish to the other Party, on request, certificates of insurance setting forth the amount of liability insurance and shall provide the other Party at least [***] written notice prior to any termination or material reduction to the level of coverage. For clarity, ORIC and Voronoi may self-insure, in whole or in part, the insurance requirements described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57" w:name="page158"/>
    <w:bookmarkEnd w:id="157"/>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in this Section 14.6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Party (on a consolidated basis with its Affiliates) has generated aggregate revenue of at least [***] from the sale of pharmaceutical products in each of its last [***], and, if such Party is not publicly traded on a recognized securities exchange, upon request of the other Party, provides reasonable evidence thereof to such other Party.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15.1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15.2 [***].</w:t>
      </w:r>
    </w:p>
    <w:p>
      <w:pPr>
        <w:spacing w:after="0" w:line="220" w:lineRule="exact"/>
        <w:rPr>
          <w:sz w:val="20"/>
          <w:szCs w:val="20"/>
          <w:color w:val="auto"/>
        </w:rPr>
      </w:pPr>
    </w:p>
    <w:p>
      <w:pPr>
        <w:ind w:left="1940" w:hanging="435"/>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15.3 [***].</w:t>
      </w:r>
    </w:p>
    <w:p>
      <w:pPr>
        <w:spacing w:after="0" w:line="206" w:lineRule="exact"/>
        <w:rPr>
          <w:sz w:val="20"/>
          <w:szCs w:val="20"/>
          <w:color w:val="auto"/>
        </w:rPr>
      </w:pPr>
    </w:p>
    <w:p>
      <w:pPr>
        <w:ind w:left="1940" w:hanging="435"/>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7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 Neither Party shall be held liable or responsible to the other Party or be deemed to have defaulted under or breached this Agreement for failure or delay in fulfilling or performing any term of this Agreement when such failure or delay is caused by or results from events beyond the reasonable control of the non-performing Party, including fire, flood, earthquake, hurricane, embargo, shortage, [***], war, act of war (whether war be declared or not), terrorist act, insurrection, riot, civil commotion, strike, lockout or other labor disturbance (whether involving the workforce of the non-performing Party or of any other Person) or act, omission or delay in acting by any governmental authority, including due to a clinical hold pursuant to 21 C.F.R. §312.42, as amended (and any equivalent in any jurisdiction outside the United States).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necessary to resolve such force majeure event and the non-performing Party shall use Commercially Reasonable Efforts to remedy its inability to perform.</w:t>
      </w:r>
    </w:p>
    <w:p>
      <w:pPr>
        <w:spacing w:after="0" w:line="17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and all questions regarding its validity or interpretation, or the breach or performance of this Agreement, shall be governed by, and construed and enforced in accordance with, the laws of the State of [***], U.S.A., without reference to conflict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58" w:name="page159"/>
    <w:bookmarkEnd w:id="158"/>
    <w:p>
      <w:pPr>
        <w:jc w:val="both"/>
        <w:spacing w:after="0" w:line="271" w:lineRule="auto"/>
        <w:rPr>
          <w:sz w:val="20"/>
          <w:szCs w:val="20"/>
          <w:color w:val="auto"/>
        </w:rPr>
      </w:pPr>
      <w:r>
        <w:rPr>
          <w:rFonts w:ascii="Times New Roman" w:cs="Times New Roman" w:eastAsia="Times New Roman" w:hAnsi="Times New Roman"/>
          <w:sz w:val="22"/>
          <w:szCs w:val="22"/>
          <w:color w:val="auto"/>
        </w:rPr>
        <w:t>of law principles. The Parties hereby agree that the provisions of the United Nations Convention on Contracts for the International Sale of Goods shall not apply to this Agreement and are strictly excluded.</w:t>
      </w:r>
    </w:p>
    <w:p>
      <w:pPr>
        <w:spacing w:after="0" w:line="14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color w:val="auto"/>
        </w:rPr>
        <w:t>Waiver of Breach</w:t>
      </w:r>
      <w:r>
        <w:rPr>
          <w:rFonts w:ascii="Times New Roman" w:cs="Times New Roman" w:eastAsia="Times New Roman" w:hAnsi="Times New Roman"/>
          <w:sz w:val="22"/>
          <w:szCs w:val="22"/>
          <w:color w:val="auto"/>
        </w:rPr>
        <w:t>. The failure of either Party at any time or times to require performance of any provision hereof shall in no manner affect its rights at a later time to enforce the same. No waiver by either Party of any condition or term in any one or more instances shall be construed as a further or continuing waiver of such condition or term or of another condition or term.</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color w:val="auto"/>
        </w:rPr>
        <w:t>Modification</w:t>
      </w:r>
      <w:r>
        <w:rPr>
          <w:rFonts w:ascii="Times New Roman" w:cs="Times New Roman" w:eastAsia="Times New Roman" w:hAnsi="Times New Roman"/>
          <w:sz w:val="22"/>
          <w:szCs w:val="22"/>
          <w:color w:val="auto"/>
        </w:rPr>
        <w:t>. No amendment or modification of any provision of this Agreement shall be effective unless in writing signed by both Parties hereto. No provision of this Agreement shall be varied, contradicted or explained by any oral agreement, course of dealing or performance or any other matter not set forth in an agreement in writing and signed by both Parties hereto.</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In the event any provision of this Agreement should be held invalid, illegal, or unenforceable in any jurisdiction, the Parties shall negotiate in good faith a valid, legal and enforceable substitute provision that most nearly reflects the original intent of the Parties and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b w:val="1"/>
          <w:bCs w:val="1"/>
          <w:color w:val="auto"/>
        </w:rPr>
        <w:t>Entire Agreement; Amendments</w:t>
      </w:r>
      <w:r>
        <w:rPr>
          <w:rFonts w:ascii="Times New Roman" w:cs="Times New Roman" w:eastAsia="Times New Roman" w:hAnsi="Times New Roman"/>
          <w:sz w:val="22"/>
          <w:szCs w:val="22"/>
          <w:color w:val="auto"/>
        </w:rPr>
        <w:t>. This Agreement (including the Exhibits and Schedules attached hereto), together with the Stock Issuance Agreements, the pharmacovigilance agreement specified in Section 4.12(b) the Clinical Supply Agreement specified in Section 5.4(d), and the stock issuance agreement and standstill and stock restriction agreement referenced in Section 7.2(b)(i) (in each case, when executed), constitute the entire agreement between the Parties relating to the subject matter hereof and supersede all prior and contemporaneous agreements, representations and/or understandings, including the Prior CDA. In the event that the terms of this Agreement and the Stock Issuance Agreement or the subsequent stock issuance agreement and standstill and stock restriction agreement referenced in Section 7.2(b)(i) conflict, then the terms of such Stock Issuance Agreement or subsequent stock issuance agreement and standstill and stock restriction agreement (when executed) shall control with respect to matters pertaining to the common stock issued under such agreements, and this Agreement shall control in all other respects. No terms or provisions of this Agreement shall be varied or modified by any prior or subsequent statement, conduct or act of either of the Parties, except that the Parties may amend this Agreement by written instruments specifically referring to and executed in the same manner as this Agreement.</w:t>
      </w:r>
    </w:p>
    <w:p>
      <w:pPr>
        <w:spacing w:after="0" w:line="18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16.7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Unless otherwise agreed by the Parties or specified in this Agreement, all communications between the Parties relating to, and all written documentation to be prepared and provided under, this Agreement shall be in the English language. Any notice between the Parties required or permitted under this Agreement shall be in writing in the English language, and (a) delivered personally, (b) sent by air mail or express courier service providing evidence of receipt, postage pre-paid where applicable, or (c) by electronic transmission or facsimile (complete transmission confirmed and a copy promptly sent by another permissible method of providing notice described in paragraph (a) or (b) above), to the following addresses of the Parties (or such other address for a Party as may be specified by like notice)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59" w:name="page160"/>
    <w:bookmarkEnd w:id="159"/>
    <w:p>
      <w:pPr>
        <w:ind w:left="100"/>
        <w:spacing w:after="0"/>
        <w:rPr>
          <w:sz w:val="20"/>
          <w:szCs w:val="20"/>
          <w:color w:val="auto"/>
        </w:rPr>
      </w:pPr>
      <w:r>
        <w:rPr>
          <w:rFonts w:ascii="Times New Roman" w:cs="Times New Roman" w:eastAsia="Times New Roman" w:hAnsi="Times New Roman"/>
          <w:sz w:val="19"/>
          <w:szCs w:val="19"/>
          <w:b w:val="1"/>
          <w:bCs w:val="1"/>
          <w:color w:val="auto"/>
        </w:rPr>
        <w:t>To Voronoi: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To ORIC:</w:t>
      </w:r>
    </w:p>
    <w:p>
      <w:pPr>
        <w:spacing w:after="0" w:line="200" w:lineRule="exact"/>
        <w:rPr>
          <w:sz w:val="20"/>
          <w:szCs w:val="20"/>
          <w:color w:val="auto"/>
        </w:rPr>
      </w:pPr>
    </w:p>
    <w:p>
      <w:pPr>
        <w:sectPr>
          <w:pgSz w:w="11900" w:h="16838" w:orient="portrait"/>
          <w:cols w:equalWidth="0" w:num="2">
            <w:col w:w="3880" w:space="720"/>
            <w:col w:w="6640"/>
          </w:cols>
          <w:pgMar w:left="320" w:top="527" w:right="339" w:bottom="1440" w:gutter="0" w:footer="0" w:header="0"/>
        </w:sectPr>
      </w:pP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Voronoi Inc.</w:t>
      </w:r>
    </w:p>
    <w:p>
      <w:pPr>
        <w:ind w:left="120"/>
        <w:spacing w:after="0" w:line="228" w:lineRule="auto"/>
        <w:rPr>
          <w:sz w:val="20"/>
          <w:szCs w:val="20"/>
          <w:color w:val="auto"/>
        </w:rPr>
      </w:pPr>
      <w:r>
        <w:rPr>
          <w:rFonts w:ascii="Times New Roman" w:cs="Times New Roman" w:eastAsia="Times New Roman" w:hAnsi="Times New Roman"/>
          <w:sz w:val="21"/>
          <w:szCs w:val="21"/>
          <w:color w:val="auto"/>
        </w:rPr>
        <w:t>S 18th F, Songdogwahak-ro 32 [IT Center],</w:t>
      </w:r>
    </w:p>
    <w:p>
      <w:pPr>
        <w:ind w:left="120"/>
        <w:spacing w:after="0" w:line="205" w:lineRule="auto"/>
        <w:rPr>
          <w:sz w:val="20"/>
          <w:szCs w:val="20"/>
          <w:color w:val="auto"/>
        </w:rPr>
      </w:pPr>
      <w:r>
        <w:rPr>
          <w:rFonts w:ascii="Times New Roman" w:cs="Times New Roman" w:eastAsia="Times New Roman" w:hAnsi="Times New Roman"/>
          <w:sz w:val="22"/>
          <w:szCs w:val="22"/>
          <w:color w:val="auto"/>
        </w:rPr>
        <w:t>Yeonsu-gu, Incheon, Korea</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ORIC Pharmaceuticals, Inc.</w:t>
      </w:r>
    </w:p>
    <w:p>
      <w:pPr>
        <w:spacing w:after="0" w:line="218" w:lineRule="auto"/>
        <w:rPr>
          <w:sz w:val="20"/>
          <w:szCs w:val="20"/>
          <w:color w:val="auto"/>
        </w:rPr>
      </w:pPr>
      <w:r>
        <w:rPr>
          <w:rFonts w:ascii="Times New Roman" w:cs="Times New Roman" w:eastAsia="Times New Roman" w:hAnsi="Times New Roman"/>
          <w:sz w:val="22"/>
          <w:szCs w:val="22"/>
          <w:color w:val="auto"/>
        </w:rPr>
        <w:t>240 East Grand Ave, 2nd Floor</w:t>
      </w:r>
    </w:p>
    <w:p>
      <w:pPr>
        <w:spacing w:after="0" w:line="214" w:lineRule="auto"/>
        <w:rPr>
          <w:sz w:val="20"/>
          <w:szCs w:val="20"/>
          <w:color w:val="auto"/>
        </w:rPr>
      </w:pPr>
      <w:r>
        <w:rPr>
          <w:rFonts w:ascii="Times New Roman" w:cs="Times New Roman" w:eastAsia="Times New Roman" w:hAnsi="Times New Roman"/>
          <w:sz w:val="21"/>
          <w:szCs w:val="21"/>
          <w:color w:val="auto"/>
        </w:rPr>
        <w:t>South San Francisco, CA 94080</w:t>
      </w:r>
    </w:p>
    <w:p>
      <w:pPr>
        <w:spacing w:after="0" w:line="218" w:lineRule="auto"/>
        <w:rPr>
          <w:sz w:val="20"/>
          <w:szCs w:val="20"/>
          <w:color w:val="auto"/>
        </w:rPr>
      </w:pPr>
      <w:r>
        <w:rPr>
          <w:rFonts w:ascii="Times New Roman" w:cs="Times New Roman" w:eastAsia="Times New Roman" w:hAnsi="Times New Roman"/>
          <w:sz w:val="22"/>
          <w:szCs w:val="22"/>
          <w:color w:val="auto"/>
        </w:rPr>
        <w:t>U.S.A.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880" w:space="720"/>
            <w:col w:w="6640"/>
          </w:cols>
          <w:pgMar w:left="320" w:top="527" w:right="339" w:bottom="1440" w:gutter="0" w:footer="0" w:header="0"/>
          <w:type w:val="continuous"/>
        </w:sectPr>
      </w:pP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With a copy 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With a copy to:</w:t>
      </w:r>
    </w:p>
    <w:p>
      <w:pPr>
        <w:spacing w:after="0" w:line="200" w:lineRule="exact"/>
        <w:rPr>
          <w:sz w:val="20"/>
          <w:szCs w:val="20"/>
          <w:color w:val="auto"/>
        </w:rPr>
      </w:pPr>
    </w:p>
    <w:p>
      <w:pPr>
        <w:sectPr>
          <w:pgSz w:w="11900" w:h="16838" w:orient="portrait"/>
          <w:cols w:equalWidth="0" w:num="2">
            <w:col w:w="3880" w:space="720"/>
            <w:col w:w="6640"/>
          </w:cols>
          <w:pgMar w:left="320" w:top="527" w:right="339" w:bottom="1440" w:gutter="0" w:footer="0" w:header="0"/>
          <w:type w:val="continuous"/>
        </w:sectPr>
      </w:pPr>
    </w:p>
    <w:p>
      <w:pPr>
        <w:spacing w:after="0" w:line="22" w:lineRule="exact"/>
        <w:rPr>
          <w:sz w:val="20"/>
          <w:szCs w:val="20"/>
          <w:color w:val="auto"/>
        </w:rPr>
      </w:pPr>
    </w:p>
    <w:p>
      <w:pPr>
        <w:ind w:left="100"/>
        <w:spacing w:after="0" w:line="227" w:lineRule="auto"/>
        <w:rPr>
          <w:sz w:val="20"/>
          <w:szCs w:val="20"/>
          <w:color w:val="auto"/>
        </w:rPr>
      </w:pPr>
      <w:r>
        <w:rPr>
          <w:rFonts w:ascii="Times New Roman" w:cs="Times New Roman" w:eastAsia="Times New Roman" w:hAnsi="Times New Roman"/>
          <w:sz w:val="22"/>
          <w:szCs w:val="22"/>
          <w:color w:val="auto"/>
        </w:rPr>
        <w:t>305-3403, Songdogwahak-ro 27bungil 30(Songdo-dong, SongdoHaemoroWorldview), Yeonsu-gu, Incheon, Korea [***]</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Wilson, Sonsini, Goodrich &amp; Rosati</w:t>
      </w:r>
    </w:p>
    <w:p>
      <w:pPr>
        <w:spacing w:after="0" w:line="229" w:lineRule="auto"/>
        <w:rPr>
          <w:sz w:val="20"/>
          <w:szCs w:val="20"/>
          <w:color w:val="auto"/>
        </w:rPr>
      </w:pPr>
      <w:r>
        <w:rPr>
          <w:rFonts w:ascii="Times New Roman" w:cs="Times New Roman" w:eastAsia="Times New Roman" w:hAnsi="Times New Roman"/>
          <w:sz w:val="22"/>
          <w:szCs w:val="22"/>
          <w:color w:val="auto"/>
        </w:rPr>
        <w:t>650 Page Mill Road</w:t>
      </w:r>
    </w:p>
    <w:p>
      <w:pPr>
        <w:spacing w:after="0" w:line="205" w:lineRule="auto"/>
        <w:rPr>
          <w:sz w:val="20"/>
          <w:szCs w:val="20"/>
          <w:color w:val="auto"/>
        </w:rPr>
      </w:pPr>
      <w:r>
        <w:rPr>
          <w:rFonts w:ascii="Times New Roman" w:cs="Times New Roman" w:eastAsia="Times New Roman" w:hAnsi="Times New Roman"/>
          <w:sz w:val="22"/>
          <w:szCs w:val="22"/>
          <w:color w:val="auto"/>
        </w:rPr>
        <w:t>Palo Alto, CA 94304</w:t>
      </w:r>
    </w:p>
    <w:p>
      <w:pPr>
        <w:spacing w:after="0" w:line="217" w:lineRule="auto"/>
        <w:rPr>
          <w:sz w:val="20"/>
          <w:szCs w:val="20"/>
          <w:color w:val="auto"/>
        </w:rPr>
      </w:pPr>
      <w:r>
        <w:rPr>
          <w:rFonts w:ascii="Times New Roman" w:cs="Times New Roman" w:eastAsia="Times New Roman" w:hAnsi="Times New Roman"/>
          <w:sz w:val="22"/>
          <w:szCs w:val="22"/>
          <w:color w:val="auto"/>
        </w:rPr>
        <w:t>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96" w:lineRule="exact"/>
        <w:rPr>
          <w:sz w:val="20"/>
          <w:szCs w:val="20"/>
          <w:color w:val="auto"/>
        </w:rPr>
      </w:pPr>
    </w:p>
    <w:p>
      <w:pPr>
        <w:sectPr>
          <w:pgSz w:w="11900" w:h="16838" w:orient="portrait"/>
          <w:cols w:equalWidth="0" w:num="2">
            <w:col w:w="4220" w:space="380"/>
            <w:col w:w="6640"/>
          </w:cols>
          <w:pgMar w:left="320" w:top="527" w:right="339" w:bottom="1440" w:gutter="0" w:footer="0" w:header="0"/>
          <w:type w:val="continuous"/>
        </w:sect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Any notice required or permitted to be given concerning this Agreement shall be effective upon receipt by the Party to whom it is addressed.</w:t>
      </w:r>
    </w:p>
    <w:p>
      <w:pPr>
        <w:spacing w:after="0" w:line="14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Either Party may assign or transfer this Agreement: (a) without the consent of the other Party, (i) to an [***] or (ii) [***] and (b) in any other circumstance, only [***]. Any purported assignment of this Agreement in contravention of this Section 16.8 shall be null and void.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16.9 [***].</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2"/>
          <w:szCs w:val="22"/>
          <w:color w:val="auto"/>
        </w:rPr>
        <w:t xml:space="preserve">16.10 </w:t>
      </w:r>
      <w:r>
        <w:rPr>
          <w:rFonts w:ascii="Times New Roman" w:cs="Times New Roman" w:eastAsia="Times New Roman" w:hAnsi="Times New Roman"/>
          <w:sz w:val="22"/>
          <w:szCs w:val="22"/>
          <w:b w:val="1"/>
          <w:bCs w:val="1"/>
          <w:color w:val="auto"/>
        </w:rPr>
        <w:t>No Partnership or Joint Venture</w:t>
      </w:r>
      <w:r>
        <w:rPr>
          <w:rFonts w:ascii="Times New Roman" w:cs="Times New Roman" w:eastAsia="Times New Roman" w:hAnsi="Times New Roman"/>
          <w:sz w:val="22"/>
          <w:szCs w:val="22"/>
          <w:color w:val="auto"/>
        </w:rPr>
        <w:t>. Nothing in this Agreement is intended, or shall be deemed, to establish a joint venture or partnership between ORIC and Voronoi. Neither Party shall have any express or implied right or authority to assume or create any obligations on behalf of, or in the name of, the other Party, or to bind the other Party to any contract, agreement or undertaking with any Third Party.</w:t>
      </w:r>
    </w:p>
    <w:p>
      <w:pPr>
        <w:spacing w:after="0" w:line="169"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22"/>
          <w:szCs w:val="22"/>
          <w:color w:val="auto"/>
        </w:rPr>
        <w:t>16.11</w:t>
      </w:r>
      <w:r>
        <w:rPr>
          <w:sz w:val="20"/>
          <w:szCs w:val="20"/>
          <w:color w:val="auto"/>
        </w:rPr>
        <w:tab/>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captions to the several Articles and Sections of this Agreement are not a part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but are included for convenience of reference and shall not affect its meaning or interpretation. In this Agreement:</w:t>
      </w:r>
    </w:p>
    <w:p>
      <w:pPr>
        <w:jc w:val="both"/>
        <w:ind w:firstLine="8"/>
        <w:spacing w:after="0" w:line="234" w:lineRule="auto"/>
        <w:tabs>
          <w:tab w:leader="none" w:pos="31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“including” shall be deemed to be followed by the phrase “without limitation” or like expression; (b) the singular shall include the plural and vice versa; and (c) masculine, feminine and neuter pronouns and expressions shall be interchangeable. Each accounting term used herein that is not specifically defined herein shall have the meaning given to it under generally accepted cost accounting principles, but only to the extent consistent with its usage and the other definitions in this Agreement. All references to “business day” or “business days” in this Agreement means any day other than a day which is a Saturday, a Sunday or any day banks are authorized or required to be closed in [***], U.S.A.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type w:val="continuous"/>
        </w:sectPr>
      </w:pPr>
    </w:p>
    <w:bookmarkStart w:id="160" w:name="page161"/>
    <w:bookmarkEnd w:id="160"/>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 xml:space="preserve">16.12 </w:t>
      </w:r>
      <w:r>
        <w:rPr>
          <w:rFonts w:ascii="Times New Roman" w:cs="Times New Roman" w:eastAsia="Times New Roman" w:hAnsi="Times New Roman"/>
          <w:sz w:val="22"/>
          <w:szCs w:val="22"/>
          <w:b w:val="1"/>
          <w:bCs w:val="1"/>
          <w:color w:val="auto"/>
        </w:rPr>
        <w:t>Export Laws</w:t>
      </w:r>
      <w:r>
        <w:rPr>
          <w:rFonts w:ascii="Times New Roman" w:cs="Times New Roman" w:eastAsia="Times New Roman" w:hAnsi="Times New Roman"/>
          <w:sz w:val="22"/>
          <w:szCs w:val="22"/>
          <w:color w:val="auto"/>
        </w:rPr>
        <w:t>. Notwithstanding anything to the contrary contained herein, all obligations of Voronoi and ORIC are subject to prior compliance with the export regulations of the United States and/or any other relevant country and such other laws and regulations in effect in the United States and/or any other relevant country as may be applicable, and to obtaining all necessary approvals required by the applicable agencies of the governments of the countries within the United States and any other relevant countries. Voronoi and ORIC shall cooperate with each other and shall provide assistance to the other as reasonably necessary to obtain any required approvals.</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16.13 </w:t>
      </w:r>
      <w:r>
        <w:rPr>
          <w:rFonts w:ascii="Times New Roman" w:cs="Times New Roman" w:eastAsia="Times New Roman" w:hAnsi="Times New Roman"/>
          <w:sz w:val="22"/>
          <w:szCs w:val="22"/>
          <w:b w:val="1"/>
          <w:bCs w:val="1"/>
          <w:color w:val="auto"/>
        </w:rPr>
        <w:t>Counterparts; Other Matters</w:t>
      </w:r>
      <w:r>
        <w:rPr>
          <w:rFonts w:ascii="Times New Roman" w:cs="Times New Roman" w:eastAsia="Times New Roman" w:hAnsi="Times New Roman"/>
          <w:sz w:val="22"/>
          <w:szCs w:val="22"/>
          <w:color w:val="auto"/>
        </w:rPr>
        <w:t>. This Agreement may be executed in any number of counterparts, each of which shall be deemed an original, and all of which together shall constitute one and the same instrument. Signatures to this Agreement delivered by facsimile or similar electronic transmission will be deemed to be binding as originals. This Agreement is established in the English language. Any translation in another language shall be deemed for convenience only and shall never prevail over the original English version.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this page intentionally blank.]</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61" w:name="page162"/>
    <w:bookmarkEnd w:id="161"/>
    <w:p>
      <w:pPr>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License and Collaboration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VORONOI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 Mr. Hyuntae Kim</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Mr. Hyuntae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-158750</wp:posOffset>
            </wp:positionV>
            <wp:extent cx="3566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ORIC PHARMACEUTICALS,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 Jacob M. Chacko, M.D.</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Jacob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-151765</wp:posOffset>
            </wp:positionV>
            <wp:extent cx="3566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62" w:name="page163"/>
    <w:bookmarkEnd w:id="162"/>
    <w:p>
      <w:pPr>
        <w:jc w:val="center"/>
        <w:ind w:right="-740"/>
        <w:spacing w:after="0"/>
        <w:rPr>
          <w:sz w:val="20"/>
          <w:szCs w:val="20"/>
          <w:color w:val="auto"/>
        </w:rPr>
      </w:pPr>
      <w:r>
        <w:rPr>
          <w:rFonts w:ascii="Times New Roman" w:cs="Times New Roman" w:eastAsia="Times New Roman" w:hAnsi="Times New Roman"/>
          <w:sz w:val="21"/>
          <w:szCs w:val="21"/>
          <w:b w:val="1"/>
          <w:bCs w:val="1"/>
          <w:color w:val="auto"/>
        </w:rPr>
        <w:t>Exhibit 1.32</w:t>
      </w:r>
    </w:p>
    <w:p>
      <w:pPr>
        <w:spacing w:after="0" w:line="4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195580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2"/>
                <w:szCs w:val="22"/>
                <w:color w:val="auto"/>
              </w:rPr>
            </w:pPr>
          </w:p>
        </w:tc>
        <w:tc>
          <w:tcPr>
            <w:tcW w:w="534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Exhibit 1.63</w:t>
            </w:r>
          </w:p>
        </w:tc>
        <w:tc>
          <w:tcPr>
            <w:tcW w:w="2720" w:type="dxa"/>
            <w:vAlign w:val="bottom"/>
          </w:tcPr>
          <w:p>
            <w:pPr>
              <w:spacing w:after="0"/>
              <w:rPr>
                <w:sz w:val="22"/>
                <w:szCs w:val="22"/>
                <w:color w:val="auto"/>
              </w:rPr>
            </w:pPr>
          </w:p>
        </w:tc>
      </w:tr>
      <w:tr>
        <w:trPr>
          <w:trHeight w:val="282"/>
        </w:trPr>
        <w:tc>
          <w:tcPr>
            <w:tcW w:w="3180" w:type="dxa"/>
            <w:vAlign w:val="bottom"/>
          </w:tcPr>
          <w:p>
            <w:pPr>
              <w:spacing w:after="0"/>
              <w:rPr>
                <w:sz w:val="24"/>
                <w:szCs w:val="24"/>
                <w:color w:val="auto"/>
              </w:rPr>
            </w:pPr>
          </w:p>
        </w:tc>
        <w:tc>
          <w:tcPr>
            <w:tcW w:w="534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spacing w:after="0"/>
              <w:rPr>
                <w:sz w:val="24"/>
                <w:szCs w:val="24"/>
                <w:color w:val="auto"/>
              </w:rPr>
            </w:pPr>
          </w:p>
        </w:tc>
      </w:tr>
      <w:tr>
        <w:trPr>
          <w:trHeight w:val="190"/>
        </w:trPr>
        <w:tc>
          <w:tcPr>
            <w:tcW w:w="318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r>
      <w:tr>
        <w:trPr>
          <w:trHeight w:val="250"/>
        </w:trPr>
        <w:tc>
          <w:tcPr>
            <w:tcW w:w="3180" w:type="dxa"/>
            <w:vAlign w:val="bottom"/>
            <w:tcBorders>
              <w:bottom w:val="single" w:sz="8" w:color="auto"/>
            </w:tcBorders>
          </w:tcPr>
          <w:p>
            <w:pPr>
              <w:jc w:val="right"/>
              <w:ind w:right="24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340" w:type="dxa"/>
            <w:vAlign w:val="bottom"/>
            <w:tcBorders>
              <w:bottom w:val="single" w:sz="8" w:color="auto"/>
            </w:tcBorders>
          </w:tcPr>
          <w:p>
            <w:pPr>
              <w:jc w:val="right"/>
              <w:ind w:right="7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720" w:type="dxa"/>
            <w:vAlign w:val="bottom"/>
            <w:tcBorders>
              <w:bottom w:val="single" w:sz="8" w:color="auto"/>
            </w:tcBorders>
          </w:tcPr>
          <w:p>
            <w:pPr>
              <w:jc w:val="right"/>
              <w:ind w:right="129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76"/>
        </w:trPr>
        <w:tc>
          <w:tcPr>
            <w:tcW w:w="318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w:t>
            </w:r>
          </w:p>
        </w:tc>
        <w:tc>
          <w:tcPr>
            <w:tcW w:w="534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w:t>
            </w:r>
          </w:p>
        </w:tc>
      </w:tr>
      <w:tr>
        <w:trPr>
          <w:trHeight w:val="258"/>
        </w:trPr>
        <w:tc>
          <w:tcPr>
            <w:tcW w:w="3180" w:type="dxa"/>
            <w:vAlign w:val="bottom"/>
            <w:tcBorders>
              <w:bottom w:val="single" w:sz="8" w:color="auto"/>
            </w:tcBorders>
          </w:tcPr>
          <w:p>
            <w:pPr>
              <w:spacing w:after="0"/>
              <w:rPr>
                <w:sz w:val="22"/>
                <w:szCs w:val="22"/>
                <w:color w:val="auto"/>
              </w:rPr>
            </w:pPr>
          </w:p>
        </w:tc>
        <w:tc>
          <w:tcPr>
            <w:tcW w:w="53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r>
      <w:tr>
        <w:trPr>
          <w:trHeight w:val="276"/>
        </w:trPr>
        <w:tc>
          <w:tcPr>
            <w:tcW w:w="318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w:t>
            </w:r>
          </w:p>
        </w:tc>
        <w:tc>
          <w:tcPr>
            <w:tcW w:w="534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w:t>
            </w:r>
          </w:p>
        </w:tc>
      </w:tr>
      <w:tr>
        <w:trPr>
          <w:trHeight w:val="339"/>
        </w:trPr>
        <w:tc>
          <w:tcPr>
            <w:tcW w:w="31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r>
        <w:trPr>
          <w:trHeight w:val="276"/>
        </w:trPr>
        <w:tc>
          <w:tcPr>
            <w:tcW w:w="318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w:t>
            </w:r>
          </w:p>
        </w:tc>
        <w:tc>
          <w:tcPr>
            <w:tcW w:w="534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w:t>
            </w:r>
          </w:p>
        </w:tc>
      </w:tr>
      <w:tr>
        <w:trPr>
          <w:trHeight w:val="271"/>
        </w:trPr>
        <w:tc>
          <w:tcPr>
            <w:tcW w:w="3180" w:type="dxa"/>
            <w:vAlign w:val="bottom"/>
            <w:tcBorders>
              <w:bottom w:val="single" w:sz="8" w:color="auto"/>
            </w:tcBorders>
          </w:tcPr>
          <w:p>
            <w:pPr>
              <w:spacing w:after="0"/>
              <w:rPr>
                <w:sz w:val="23"/>
                <w:szCs w:val="23"/>
                <w:color w:val="auto"/>
              </w:rPr>
            </w:pPr>
          </w:p>
        </w:tc>
        <w:tc>
          <w:tcPr>
            <w:tcW w:w="534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tcPr>
          <w:p>
            <w:pPr>
              <w:spacing w:after="0"/>
              <w:rPr>
                <w:sz w:val="23"/>
                <w:szCs w:val="23"/>
                <w:color w:val="auto"/>
              </w:rPr>
            </w:pPr>
          </w:p>
        </w:tc>
      </w:tr>
      <w:tr>
        <w:trPr>
          <w:trHeight w:val="276"/>
        </w:trPr>
        <w:tc>
          <w:tcPr>
            <w:tcW w:w="318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w:t>
            </w:r>
          </w:p>
        </w:tc>
        <w:tc>
          <w:tcPr>
            <w:tcW w:w="534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3180" w:type="dxa"/>
            <w:vAlign w:val="bottom"/>
            <w:tcBorders>
              <w:bottom w:val="single" w:sz="8" w:color="auto"/>
            </w:tcBorders>
          </w:tcPr>
          <w:p>
            <w:pPr>
              <w:spacing w:after="0"/>
              <w:rPr>
                <w:sz w:val="21"/>
                <w:szCs w:val="21"/>
                <w:color w:val="auto"/>
              </w:rPr>
            </w:pPr>
          </w:p>
        </w:tc>
        <w:tc>
          <w:tcPr>
            <w:tcW w:w="53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r>
      <w:tr>
        <w:trPr>
          <w:trHeight w:val="276"/>
        </w:trPr>
        <w:tc>
          <w:tcPr>
            <w:tcW w:w="318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w:t>
            </w:r>
          </w:p>
        </w:tc>
        <w:tc>
          <w:tcPr>
            <w:tcW w:w="534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w:t>
            </w:r>
          </w:p>
        </w:tc>
      </w:tr>
      <w:tr>
        <w:trPr>
          <w:trHeight w:val="190"/>
        </w:trPr>
        <w:tc>
          <w:tcPr>
            <w:tcW w:w="318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r>
      <w:tr>
        <w:trPr>
          <w:trHeight w:val="451"/>
        </w:trPr>
        <w:tc>
          <w:tcPr>
            <w:tcW w:w="3180" w:type="dxa"/>
            <w:vAlign w:val="bottom"/>
          </w:tcPr>
          <w:p>
            <w:pPr>
              <w:spacing w:after="0"/>
              <w:rPr>
                <w:sz w:val="24"/>
                <w:szCs w:val="24"/>
                <w:color w:val="auto"/>
              </w:rPr>
            </w:pPr>
          </w:p>
        </w:tc>
        <w:tc>
          <w:tcPr>
            <w:tcW w:w="5340" w:type="dxa"/>
            <w:vAlign w:val="bottom"/>
          </w:tcPr>
          <w:p>
            <w:pPr>
              <w:jc w:val="right"/>
              <w:ind w:right="2652"/>
              <w:spacing w:after="0"/>
              <w:rPr>
                <w:sz w:val="20"/>
                <w:szCs w:val="20"/>
                <w:color w:val="auto"/>
              </w:rPr>
            </w:pPr>
            <w:r>
              <w:rPr>
                <w:rFonts w:ascii="Times New Roman" w:cs="Times New Roman" w:eastAsia="Times New Roman" w:hAnsi="Times New Roman"/>
                <w:sz w:val="22"/>
                <w:szCs w:val="22"/>
                <w:color w:val="auto"/>
              </w:rPr>
              <w:t>-2-</w:t>
            </w:r>
          </w:p>
        </w:tc>
        <w:tc>
          <w:tcPr>
            <w:tcW w:w="2720" w:type="dxa"/>
            <w:vAlign w:val="bottom"/>
          </w:tcPr>
          <w:p>
            <w:pPr>
              <w:spacing w:after="0"/>
              <w:rPr>
                <w:sz w:val="24"/>
                <w:szCs w:val="24"/>
                <w:color w:val="auto"/>
              </w:rPr>
            </w:pPr>
          </w:p>
        </w:tc>
      </w:tr>
      <w:tr>
        <w:trPr>
          <w:trHeight w:val="225"/>
        </w:trPr>
        <w:tc>
          <w:tcPr>
            <w:tcW w:w="3180" w:type="dxa"/>
            <w:vAlign w:val="bottom"/>
            <w:tcBorders>
              <w:bottom w:val="single" w:sz="8" w:color="9A9A9A"/>
            </w:tcBorders>
          </w:tcPr>
          <w:p>
            <w:pPr>
              <w:spacing w:after="0"/>
              <w:rPr>
                <w:sz w:val="19"/>
                <w:szCs w:val="19"/>
                <w:color w:val="auto"/>
              </w:rPr>
            </w:pPr>
          </w:p>
        </w:tc>
        <w:tc>
          <w:tcPr>
            <w:tcW w:w="5340" w:type="dxa"/>
            <w:vAlign w:val="bottom"/>
            <w:tcBorders>
              <w:bottom w:val="single" w:sz="8" w:color="9A9A9A"/>
            </w:tcBorders>
          </w:tcPr>
          <w:p>
            <w:pPr>
              <w:spacing w:after="0"/>
              <w:rPr>
                <w:sz w:val="19"/>
                <w:szCs w:val="19"/>
                <w:color w:val="auto"/>
              </w:rPr>
            </w:pPr>
          </w:p>
        </w:tc>
        <w:tc>
          <w:tcPr>
            <w:tcW w:w="27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286"/>
        </w:trPr>
        <w:tc>
          <w:tcPr>
            <w:tcW w:w="2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40" w:type="dxa"/>
            <w:vAlign w:val="bottom"/>
            <w:gridSpan w:val="2"/>
          </w:tcPr>
          <w:p>
            <w:pPr>
              <w:jc w:val="right"/>
              <w:ind w:right="1552"/>
              <w:spacing w:after="0"/>
              <w:rPr>
                <w:sz w:val="20"/>
                <w:szCs w:val="20"/>
                <w:color w:val="auto"/>
              </w:rPr>
            </w:pPr>
            <w:r>
              <w:rPr>
                <w:rFonts w:ascii="Times New Roman" w:cs="Times New Roman" w:eastAsia="Times New Roman" w:hAnsi="Times New Roman"/>
                <w:sz w:val="22"/>
                <w:szCs w:val="22"/>
                <w:b w:val="1"/>
                <w:bCs w:val="1"/>
                <w:color w:val="auto"/>
              </w:rPr>
              <w:t>Exhibit 1.72 - Voronoi Patents</w:t>
            </w:r>
          </w:p>
        </w:tc>
        <w:tc>
          <w:tcPr>
            <w:tcW w:w="2580" w:type="dxa"/>
            <w:vAlign w:val="bottom"/>
          </w:tcPr>
          <w:p>
            <w:pPr>
              <w:spacing w:after="0"/>
              <w:rPr>
                <w:sz w:val="24"/>
                <w:szCs w:val="24"/>
                <w:color w:val="auto"/>
              </w:rPr>
            </w:pPr>
          </w:p>
        </w:tc>
      </w:tr>
      <w:tr>
        <w:trPr>
          <w:trHeight w:val="450"/>
        </w:trPr>
        <w:tc>
          <w:tcPr>
            <w:tcW w:w="2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r>
        <w:trPr>
          <w:trHeight w:val="250"/>
        </w:trPr>
        <w:tc>
          <w:tcPr>
            <w:tcW w:w="2840" w:type="dxa"/>
            <w:vAlign w:val="bottom"/>
            <w:tcBorders>
              <w:left w:val="single" w:sz="8" w:color="auto"/>
              <w:bottom w:val="single" w:sz="8" w:color="auto"/>
              <w:right w:val="single" w:sz="8" w:color="auto"/>
            </w:tcBorders>
          </w:tcPr>
          <w:p>
            <w:pPr>
              <w:jc w:val="right"/>
              <w:ind w:right="1072"/>
              <w:spacing w:after="0" w:line="23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32"/>
              <w:spacing w:after="0" w:line="23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1652"/>
              <w:spacing w:after="0" w:line="23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952"/>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233"/>
        </w:trPr>
        <w:tc>
          <w:tcPr>
            <w:tcW w:w="2840" w:type="dxa"/>
            <w:vAlign w:val="bottom"/>
            <w:tcBorders>
              <w:bottom w:val="single" w:sz="8" w:color="auto"/>
              <w:right w:val="single" w:sz="8" w:color="auto"/>
            </w:tcBorders>
          </w:tcPr>
          <w:p>
            <w:pPr>
              <w:jc w:val="right"/>
              <w:ind w:right="2152"/>
              <w:spacing w:after="0" w:line="233"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3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jc w:val="right"/>
              <w:ind w:right="3292"/>
              <w:spacing w:after="0" w:line="233"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1912"/>
              <w:spacing w:after="0" w:line="233"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191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191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191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191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jc w:val="right"/>
              <w:ind w:right="191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5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bottom w:val="single" w:sz="8" w:color="auto"/>
            </w:tcBorders>
          </w:tcPr>
          <w:p>
            <w:pPr>
              <w:jc w:val="right"/>
              <w:ind w:right="6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right"/>
              <w:ind w:right="329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580" w:type="dxa"/>
            <w:vAlign w:val="bottom"/>
            <w:tcBorders>
              <w:bottom w:val="single" w:sz="8" w:color="auto"/>
              <w:right w:val="single" w:sz="8" w:color="auto"/>
            </w:tcBorders>
          </w:tcPr>
          <w:p>
            <w:pPr>
              <w:spacing w:after="0"/>
              <w:rPr>
                <w:sz w:val="21"/>
                <w:szCs w:val="21"/>
                <w:color w:val="auto"/>
              </w:rPr>
            </w:pPr>
          </w:p>
        </w:tc>
      </w:tr>
      <w:tr>
        <w:trPr>
          <w:trHeight w:val="527"/>
        </w:trPr>
        <w:tc>
          <w:tcPr>
            <w:tcW w:w="2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2"/>
          <w:szCs w:val="22"/>
          <w:b w:val="1"/>
          <w:bCs w:val="1"/>
          <w:color w:val="auto"/>
        </w:rPr>
        <w:t>Exhibit 9.6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Press Releases</w:t>
      </w:r>
    </w:p>
    <w:p>
      <w:pPr>
        <w:spacing w:after="0" w:line="17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Voronoi Press Release</w:t>
      </w:r>
      <w:r>
        <w:rPr>
          <w:rFonts w:ascii="Times New Roman" w:cs="Times New Roman" w:eastAsia="Times New Roman" w:hAnsi="Times New Roman"/>
          <w:sz w:val="22"/>
          <w:szCs w:val="22"/>
          <w:color w:val="auto"/>
        </w:rPr>
        <w:t>] Voronoi and ORIC Pharmaceuticals Enter Licensing Agreement of [720] billion KRW for Treatment of Lung Cancers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 20th, 2020 [Korean time]</w:t>
      </w:r>
    </w:p>
    <w:p>
      <w:pPr>
        <w:spacing w:after="0" w:line="169" w:lineRule="exact"/>
        <w:rPr>
          <w:sz w:val="20"/>
          <w:szCs w:val="20"/>
          <w:color w:val="auto"/>
        </w:rPr>
      </w:pPr>
    </w:p>
    <w:p>
      <w:pPr>
        <w:ind w:right="2700"/>
        <w:spacing w:after="0" w:line="233" w:lineRule="auto"/>
        <w:rPr>
          <w:sz w:val="20"/>
          <w:szCs w:val="20"/>
          <w:color w:val="auto"/>
        </w:rPr>
      </w:pPr>
      <w:r>
        <w:rPr>
          <w:rFonts w:ascii="Times New Roman" w:cs="Times New Roman" w:eastAsia="Times New Roman" w:hAnsi="Times New Roman"/>
          <w:sz w:val="22"/>
          <w:szCs w:val="22"/>
          <w:color w:val="auto"/>
        </w:rPr>
        <w:t>Treatment for EGFR and HER2 exon 20 insertion mutations observed in NSCLC and other tumors Innovative targeted therapy with potential to address patients with brain metastases Out-licensing to the NASDAQ-listed ORIC with a deal size of up to [720] billion KRW Initiation of a global phase I/II trial expected in the second half of 2021</w:t>
      </w:r>
    </w:p>
    <w:p>
      <w:pPr>
        <w:spacing w:after="0" w:line="165"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Voronoi Inc., a clinical stage innovative drug discovery company dedicated to advancing targeted therapies, announced that it has entered into a licensing agreement regarding its drug candidates for exon 20 insertion mutations with a NASDAQ company ORIC Pharmaceuticals, Inc. (ORIC) on 20th October Korean time. Under the agreement, Voronoi will receive an upfront payment of $13 million USD with a total deal value of up to $621 million USD, which equals to [720] billion KRW. In case of successful commercialization, Voronoi will receive up to low double-digit royalties based on annual net sales worldwide, excluding China, Hong Kong, Macau and Taiwan.</w:t>
      </w:r>
    </w:p>
    <w:p>
      <w:pPr>
        <w:spacing w:after="0" w:line="16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Under the agreement, ORIC secures exclusive rights for the development and commercialization of EGFR and HER2 inhibitors with selectivity against exon 20 insertion mutations in the ORIC Territory, and plans to initiate a global phase I/II clinical trial in the 2nd half of next year. Currently, there are no FDA-approved therapies for exon 20 insertion mutated NSCLC.</w:t>
      </w:r>
    </w:p>
    <w:p>
      <w:pPr>
        <w:spacing w:after="0" w:line="14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Voronoi’s therapeutic candidate is expected to deliver therapeutic benefits to NSCLC patients by working selectively against exon 20 insertion mutated cancer cells. Plus, it is expected to have a higher brain-to-plasma ratio compared to other competitors in the clinic. Voronoi’s candidate has the potential to treat the approximately one-third of exon 20 insertion mutated NSCLC patients who suffer from brain metastases. Oral dosing regimen is also more convenient to patients.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“We are thrilled to be partnering with ORIC who is very strong in the oncology therapeutic area with deep expertise in advancing targeted therapeutics,” said Daekwon Kim, chief executive officer of Voronoi. “We look forward to the day that patients suffering from intolerable chemotherapy due to lack of targeted therapies can finally get a proper cure”, he mentioned.</w:t>
      </w:r>
    </w:p>
    <w:p>
      <w:pPr>
        <w:spacing w:after="0" w:line="178"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“We are excited to add another program to our pipeline that is well aligned with our mission of overcoming cancer resistance and our expertise in precision oncology and key tumor dependencies. We will leverage our team’s prior experience in the pioneering development of entrectinib for ROS1 mutated cancers.” said Jacob Chacko, M.D., president and chief executive officer of ORIC. “We believe Voronoi’s highly selective and brain penetrant inhibitors targeting exon 20 insertion mutations may address an area of significant unmet medical need in treating patients, including those with brain metastases, with specific solid tumor mutations for which no FDA-approved therapies exist today,” he added.</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ORIC, founded in 2014, is a NASDAQ listed pharmaceutical company based in California led by an experienced management team who were formerly with pharmaceutical companies such as Roche, Genentech, Pfizer, and Biogen with excellent track records of bringing cancer drugs to the market for many indications including NSCLC and prostate cancer. In 2018, Roche acquired Ignyta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66" w:name="page167"/>
    <w:bookmarkEnd w:id="166"/>
    <w:p>
      <w:pPr>
        <w:jc w:val="both"/>
        <w:spacing w:after="0" w:line="258" w:lineRule="auto"/>
        <w:rPr>
          <w:sz w:val="20"/>
          <w:szCs w:val="20"/>
          <w:color w:val="auto"/>
        </w:rPr>
      </w:pPr>
      <w:r>
        <w:rPr>
          <w:rFonts w:ascii="Times New Roman" w:cs="Times New Roman" w:eastAsia="Times New Roman" w:hAnsi="Times New Roman"/>
          <w:sz w:val="22"/>
          <w:szCs w:val="22"/>
          <w:color w:val="auto"/>
        </w:rPr>
        <w:t>for $1.7bn where ORIC’s key members developed entrectinib, treatment of ROS1 fusion-positive NSCLC. ORIC’s other clinical programs in its pipeline include potential therapies for prostate cancer and other solid tumors.</w:t>
      </w:r>
    </w:p>
    <w:p>
      <w:pPr>
        <w:spacing w:after="0" w:line="14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2"/>
          <w:szCs w:val="22"/>
          <w:b w:val="1"/>
          <w:bCs w:val="1"/>
          <w:color w:val="auto"/>
        </w:rPr>
        <w:t>ORIC Pharmaceuticals Expands Precision Oncology Pipeline with Exclusive License to Brain Penetrant EGFR/HER2 Exon 20 Inhibitor Program</w:t>
      </w:r>
    </w:p>
    <w:p>
      <w:pPr>
        <w:spacing w:after="0" w:line="164" w:lineRule="exact"/>
        <w:rPr>
          <w:sz w:val="20"/>
          <w:szCs w:val="20"/>
          <w:color w:val="auto"/>
        </w:rPr>
      </w:pPr>
    </w:p>
    <w:p>
      <w:pPr>
        <w:ind w:left="4300" w:right="340" w:hanging="3252"/>
        <w:spacing w:after="0" w:line="249" w:lineRule="auto"/>
        <w:rPr>
          <w:sz w:val="20"/>
          <w:szCs w:val="20"/>
          <w:color w:val="auto"/>
        </w:rPr>
      </w:pPr>
      <w:r>
        <w:rPr>
          <w:rFonts w:ascii="Times New Roman" w:cs="Times New Roman" w:eastAsia="Times New Roman" w:hAnsi="Times New Roman"/>
          <w:sz w:val="22"/>
          <w:szCs w:val="22"/>
          <w:i w:val="1"/>
          <w:iCs w:val="1"/>
          <w:color w:val="auto"/>
        </w:rPr>
        <w:t>ORIC-114 is a potential best-in-class inhibitor designed for brain penetrance and selectivity for exon 20 insertion mutations of EGFR and HER2</w:t>
      </w:r>
    </w:p>
    <w:p>
      <w:pPr>
        <w:spacing w:after="0" w:line="150" w:lineRule="exact"/>
        <w:rPr>
          <w:sz w:val="20"/>
          <w:szCs w:val="20"/>
          <w:color w:val="auto"/>
        </w:rPr>
      </w:pPr>
    </w:p>
    <w:p>
      <w:pPr>
        <w:jc w:val="center"/>
        <w:ind w:left="1080" w:right="200"/>
        <w:spacing w:after="0" w:line="429" w:lineRule="auto"/>
        <w:rPr>
          <w:sz w:val="20"/>
          <w:szCs w:val="20"/>
          <w:color w:val="auto"/>
        </w:rPr>
      </w:pPr>
      <w:r>
        <w:rPr>
          <w:rFonts w:ascii="Times New Roman" w:cs="Times New Roman" w:eastAsia="Times New Roman" w:hAnsi="Times New Roman"/>
          <w:sz w:val="22"/>
          <w:szCs w:val="22"/>
          <w:i w:val="1"/>
          <w:iCs w:val="1"/>
          <w:color w:val="auto"/>
        </w:rPr>
        <w:t>Initiation of global Phase 1/2 tumor-agnostic trial in genetically defined cancers expected in the second half of 2021 ORIC to host conference call today at 4:30 p.m. ET</w:t>
      </w: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SOUTH SAN FRANCISCO and SAN DIEGO, CA – Oct. 19, 2020 </w:t>
      </w:r>
      <w:r>
        <w:rPr>
          <w:rFonts w:ascii="Times New Roman" w:cs="Times New Roman" w:eastAsia="Times New Roman" w:hAnsi="Times New Roman"/>
          <w:sz w:val="22"/>
          <w:szCs w:val="22"/>
          <w:color w:val="auto"/>
        </w:rPr>
        <w:t>– ORIC Pharmaceuticals, Inc. (Nasdaq: ORIC), a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stage oncology company focused on developing treatments that address mechanisms of therapeutic resistance, today announced it has entered into an exclusive license agreement with Voronoi, Inc., an innovative drug discovery company dedicated to advancing novel therapeutics. ORIC secured exclusive rights worldwide excluding the People’s Republic of China, Hong Kong, Macau and Taiwan (the ORIC Territory) for the development and commercialization of ORIC-114, a brain penetrant, orally bioavailable, irreversible inhibitor designed to selectively target epidermal growth factor receptor (EGFR) and human epidermal growth factor receptor 2 (HER2) with high potency against exon 20 insertion mutations. ORIC expects to initiate a global Phase 1/2 tumor-agnostic trial in genetically defined cancers during the second half of 2021.</w:t>
      </w:r>
    </w:p>
    <w:p>
      <w:pPr>
        <w:spacing w:after="0" w:line="18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“ORIC-114 is well aligned with our mission of overcoming cancer resistance by leveraging our expertise in precision oncology and key tumor dependencies, and it puts us in position for three INDs or equivalents next year,” said Jacob Chacko, M.D., president and chief executive officer of ORIC. “ORIC-114 fits with our team’s success in developing therapies for tumor-agnostic mutations, including in patients with brain metastases, and will leverage our team’s prior experience in the pioneering development of entrectinib for genetically defined cancers. We believe Voronoi’s highly selective and brain penetrant inhibitors targeting exon 20 insertion mutations may address an area of significant unmet medical need for which no FDA-approved therapies exist today.”</w:t>
      </w:r>
    </w:p>
    <w:p>
      <w:pPr>
        <w:spacing w:after="0" w:line="16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are thrilled to be partnering with ORIC to further develop our potential best-in-class EGFR/HER2 exon 20 inhibitor program,” said Daekwon Kim, chief executive officer of Voronoi. “With ORIC’s focus on developing targeted cancer therapies and their team’s prior experience in leading efforts for multiple global regulatory approvals for mutant NSCLC and tumor-agnostic indications, ORIC is an ideal partner to further the development of this program.”</w:t>
      </w:r>
    </w:p>
    <w:p>
      <w:pPr>
        <w:spacing w:after="0" w:line="16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Under the terms of the agreement, in exchange for an exclusive license to develop and commercialize Voronoi’s EGFR and HER2 exon 20 inhibitor program in the ORIC Territory, ORIC paid to Voronoi a one-time payment comprising $5 million in cash and $8 million in shares of ORIC common stock. The number of shares issued to Voronoi was based on a price of $28.24 per share, representing a premium of 25% to the 30-day trailing volume-weighted average trading price of ORIC’s common stock. In addition, ORIC will pay Voronoi success-based payments of up to $111 million in development and regulatory milestones and up to $225 million in sales milestones with respect to the first licensed product. If ORIC pursues a second licensed product, ORIC would pay Voronoi up to an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67" w:name="page168"/>
    <w:bookmarkEnd w:id="167"/>
    <w:p>
      <w:pPr>
        <w:jc w:val="both"/>
        <w:spacing w:after="0" w:line="238" w:lineRule="auto"/>
        <w:rPr>
          <w:sz w:val="20"/>
          <w:szCs w:val="20"/>
          <w:color w:val="auto"/>
        </w:rPr>
      </w:pPr>
      <w:r>
        <w:rPr>
          <w:rFonts w:ascii="Times New Roman" w:cs="Times New Roman" w:eastAsia="Times New Roman" w:hAnsi="Times New Roman"/>
          <w:sz w:val="22"/>
          <w:szCs w:val="22"/>
          <w:color w:val="auto"/>
        </w:rPr>
        <w:t>additional $272 million in success-based milestones. ORIC will also pay tiered mid-single-digit to low double-digit royalties based on annual net sales in the ORIC Territory. ORIC will be responsible for development activities and expenses in the ORIC Territory.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Webcast and Conference Call</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ORIC will host a webcast and conference call today, October 19th, at 4:30 p.m. ET. To participate in the conference call, please dial (833) 651-0991 (domestic) or (918) 922-6080 (international) and refer to conference ID: 8129902. Please join the conference call at least 15 minutes early to register. A live webcast will be available in the Investors section of the company's website at www.oricpharma.com. The webcast will be archived for 60 days following the presentation.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ORIC-114 and Exon 20 Insertion Mutations in EGFR and HER2</w:t>
      </w:r>
    </w:p>
    <w:p>
      <w:pPr>
        <w:spacing w:after="0" w:line="19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The ErbB receptor tyrosine kinase family is involved in key cellular functions, including cell growth and survival. Epidermal growth factor receptor (EGFR, or ErbB1) and human epidermal growth factor receptor 2 (HER2, or ErbB2) exon 20 insertion mutations are observed across multiple solid tumors, including NSCLC, breast, gastrointestinal, bladder and other cancers. EGFR exon 20 insertion mutations are observed in approximately 2% of all patients with NSCLC and have a worse prognosis than patients with NSCLC driven by other EGFR mutations. HER2 exon 20 insertion mutations are observed in approximately 1.5% of all patients with NSCLC. Approximately one-third of patients with exon 20 insertion mutations may develop brain metastases, which contributes to poor prognosis.</w:t>
      </w:r>
    </w:p>
    <w:p>
      <w:pPr>
        <w:spacing w:after="0" w:line="18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ORIC-114 is a brain penetrant, orally bioavailable, irreversible inhibitor designed to selectively target EGFR and HER2 with high potency against exon 20 insertion mutations. ORIC-114 has demonstrated greater brain exposure in preclinical studies compared to other compounds being developed against exon 20 mutations and demonstrates strong anti-tumor activity in an EGFR-driven intracranial lung cancer model. Currently, there are no medicines approved by the FDA to treat tumors with EGFR or HER2 exon 20 insertion mutations. ORIC expects to initiate a global Phase 1/2 tumor-agnostic trial of ORIC-114 in genetically defined cancers in the second half of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ORIC Pharmaceuticals, Inc.</w:t>
      </w:r>
    </w:p>
    <w:p>
      <w:pPr>
        <w:spacing w:after="0" w:line="19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ORIC Pharmaceuticals is a clinical stage biopharmaceutical company dedicated to improving patients’ lives by </w:t>
      </w:r>
      <w:r>
        <w:rPr>
          <w:rFonts w:ascii="Times New Roman" w:cs="Times New Roman" w:eastAsia="Times New Roman" w:hAnsi="Times New Roman"/>
          <w:sz w:val="21"/>
          <w:szCs w:val="21"/>
          <w:i w:val="1"/>
          <w:iCs w:val="1"/>
          <w:color w:val="auto"/>
        </w:rPr>
        <w:t>Overcoming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Resistance In Cancer</w:t>
      </w:r>
      <w:r>
        <w:rPr>
          <w:rFonts w:ascii="Times New Roman" w:cs="Times New Roman" w:eastAsia="Times New Roman" w:hAnsi="Times New Roman"/>
          <w:sz w:val="21"/>
          <w:szCs w:val="21"/>
          <w:color w:val="auto"/>
        </w:rPr>
        <w:t>. ORIC’s lead product candidate, ORIC-101, is a potent and selective small molecule antagonist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glucocorticoid receptor, which has been linked to resistance to multiple classes of cancer therapeutics across a variety of solid tumors. ORIC-101 is currently in two separate Phase 1b trials of ORIC-101 in combination with (1) Xtandi (enzalutamide) in metastatic prostate cancer and (2) Abraxane (nab-paclitaxel) in advanced or metastatic solid tumors. ORIC’s other product candidates include (1) ORIC-533, an orally bioavailable small molecule inhibitor of CD73, a key node in the adenosine pathway believed to play a central role in resistance to chemotherapy- and immunotherapy-based treatment regimens, (2) ORIC-944, an allosteric inhibitor of the polycomb repressive complex 2 (PRC2) via the EED subunit, being developed for prostate cancer, and</w:t>
      </w:r>
    </w:p>
    <w:p>
      <w:pPr>
        <w:spacing w:after="0" w:line="7" w:lineRule="exact"/>
        <w:rPr>
          <w:sz w:val="20"/>
          <w:szCs w:val="20"/>
          <w:color w:val="auto"/>
        </w:rPr>
      </w:pPr>
    </w:p>
    <w:p>
      <w:pPr>
        <w:jc w:val="both"/>
        <w:ind w:firstLine="8"/>
        <w:spacing w:after="0" w:line="224" w:lineRule="auto"/>
        <w:tabs>
          <w:tab w:leader="none" w:pos="33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ORIC-114, a brain penetrant inhibitor designed to selectively target EGFR and HER2 with high potency against exon 20 insertion mutations, being developed across multiple genetically defined cancers. Beyond these four product candidates, ORIC is also developing multiple precision medicines targeting other hallmark cancer resistance mechanisms. ORIC has offices in South San Francisco and San Diego, California. For more information, please go to www.oricpharma.com.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1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2"/>
          <w:szCs w:val="22"/>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Such forward-looking statements include, among other things, statements regarding ORIC-114’s effectiveness in brain penetrance and selectivity against exon 20 insertion mutations of EGFR and HER2, the potential benefits of and activity under the license agreement between ORIC and Voronoi; development plans underlying ORIC-114, including initiation of a global Phase 1/2 tumor-agnostic trial of ORIC-114 in genetically defined cancers in the second half of 2021; the potential best-in-class nature of the EGFR and HER2 exon 20 inhibitor program, including ORIC-114; the potential advantages of ORIC’s product candidates; statements by ORIC’s president and chief executive officer; and statements by Voronoi’s chief executive officer. Words such as “believes,” “anticipates,” “plans,” “expects,” “intends,” “will,” “goal,” “potential” and similar expressions are intended to identify forward-looking statements. The forward-looking statements contained herein are based upon ORIC’s current expectations and involve assumptions that may never materialize or may prove to be incorrect. Actual results could differ materially from those projected in any forward-looking statements due to numerous risks and uncertainties, including but not limited to: risks associated with the process of discovering, developing and commercializing drugs that are safe and effective for use as human therapeutics and operating as an early clinical stage company; ORIC’s ability to develop, initiate or complete preclinical studies and clinical trials for, obtain approvals for and commercialize any of its product candidates; changes in ORIC’s plans to develop and commercialize its product candidates; the potential for clinical trials of ORIC-101, ORIC-944, ORIC-533, ORIC-114 or any other product candidates to differ from preclinical, preliminary or expected results; negative impacts of the COVID-19 pandemic on ORIC’s operations, including clinical trials; the risk of the occurrence of any event, change or other circumstance that could give rise to the termination of the license agreement; risks related to the effect of the announcement of the transaction on ORIC’s business relationships, operating results and business generally; ORIC’s ability to raise any additional funding it will need to continue to pursue its business and product development plans; regulatory developments in the United States and foreign countries; ORIC’s reliance on third parties, including Voronoi, contract manufacturers and contract research organizations; ORIC’s ability to obtain and maintain intellectual property protection for its product candidates; the loss of key scientific or management personnel; competition in the industry in which ORIC operates; general economic and market conditions; and other risks. Information regarding the foregoing and additional risks may be found in the section entitled “Risk Factors” in ORIC’s Quarterly Report on Form 10-Q filed with the Securities and Exchange Commission (the “SEC”) on August 5, 2020, and ORIC’s future reports to be filed with the SEC. These forward-looking statements are made as of the date of this press release, and ORIC assumes no obligation to update the forward-looking statements, or to update the reasons why actual results could differ from those projected in the forward-looking statements, except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r>
        <w:rPr>
          <w:rFonts w:ascii="Times New Roman" w:cs="Times New Roman" w:eastAsia="Times New Roman" w:hAnsi="Times New Roman"/>
          <w:sz w:val="22"/>
          <w:szCs w:val="22"/>
          <w:color w:val="auto"/>
        </w:rPr>
        <w:t>:</w:t>
      </w:r>
    </w:p>
    <w:p>
      <w:pPr>
        <w:spacing w:after="0" w:line="234" w:lineRule="auto"/>
        <w:rPr>
          <w:sz w:val="20"/>
          <w:szCs w:val="20"/>
          <w:color w:val="auto"/>
        </w:rPr>
      </w:pPr>
      <w:r>
        <w:rPr>
          <w:rFonts w:ascii="Times New Roman" w:cs="Times New Roman" w:eastAsia="Times New Roman" w:hAnsi="Times New Roman"/>
          <w:sz w:val="22"/>
          <w:szCs w:val="22"/>
          <w:color w:val="auto"/>
        </w:rPr>
        <w:t>Dominic Piscitelli, Chief Financial Officer</w:t>
      </w:r>
    </w:p>
    <w:p>
      <w:pPr>
        <w:spacing w:after="0" w:line="218" w:lineRule="auto"/>
        <w:rPr>
          <w:sz w:val="20"/>
          <w:szCs w:val="20"/>
          <w:color w:val="auto"/>
        </w:rPr>
      </w:pPr>
      <w:r>
        <w:rPr>
          <w:rFonts w:ascii="Times New Roman" w:cs="Times New Roman" w:eastAsia="Times New Roman" w:hAnsi="Times New Roman"/>
          <w:sz w:val="22"/>
          <w:szCs w:val="22"/>
          <w:color w:val="auto"/>
        </w:rPr>
        <w:t>dominic.piscitelli@oricpharma.com</w:t>
      </w:r>
    </w:p>
    <w:p>
      <w:pPr>
        <w:spacing w:after="0" w:line="231" w:lineRule="auto"/>
        <w:rPr>
          <w:sz w:val="20"/>
          <w:szCs w:val="20"/>
          <w:color w:val="auto"/>
        </w:rPr>
      </w:pPr>
      <w:r>
        <w:rPr>
          <w:rFonts w:ascii="Times New Roman" w:cs="Times New Roman" w:eastAsia="Times New Roman" w:hAnsi="Times New Roman"/>
          <w:sz w:val="22"/>
          <w:szCs w:val="22"/>
          <w:color w:val="auto"/>
        </w:rPr>
        <w:t>info@oricpharma.com</w:t>
      </w: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2"/>
          <w:szCs w:val="22"/>
          <w:b w:val="1"/>
          <w:bCs w:val="1"/>
          <w:color w:val="auto"/>
        </w:rPr>
        <w:t>Schedule 13.1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Disclosure Schedule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2840" w:type="dxa"/>
            <w:vAlign w:val="bottom"/>
          </w:tcPr>
          <w:p>
            <w:pPr>
              <w:jc w:val="right"/>
              <w:ind w:right="2252"/>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23"/>
        </w:trPr>
        <w:tc>
          <w:tcPr>
            <w:tcW w:w="2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r>
        <w:trPr>
          <w:trHeight w:val="250"/>
        </w:trPr>
        <w:tc>
          <w:tcPr>
            <w:tcW w:w="2840" w:type="dxa"/>
            <w:vAlign w:val="bottom"/>
            <w:tcBorders>
              <w:left w:val="single" w:sz="8" w:color="auto"/>
              <w:bottom w:val="single" w:sz="8" w:color="auto"/>
              <w:right w:val="single" w:sz="8" w:color="auto"/>
            </w:tcBorders>
          </w:tcPr>
          <w:p>
            <w:pPr>
              <w:jc w:val="right"/>
              <w:ind w:right="1072"/>
              <w:spacing w:after="0" w:line="23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3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tcBorders>
          </w:tcPr>
          <w:p>
            <w:pPr>
              <w:jc w:val="right"/>
              <w:ind w:right="1472"/>
              <w:spacing w:after="0" w:line="23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jc w:val="right"/>
              <w:ind w:right="952"/>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233"/>
        </w:trPr>
        <w:tc>
          <w:tcPr>
            <w:tcW w:w="2840" w:type="dxa"/>
            <w:vAlign w:val="bottom"/>
            <w:tcBorders>
              <w:bottom w:val="single" w:sz="8" w:color="auto"/>
              <w:right w:val="single" w:sz="8" w:color="auto"/>
            </w:tcBorders>
          </w:tcPr>
          <w:p>
            <w:pPr>
              <w:jc w:val="right"/>
              <w:ind w:right="2132"/>
              <w:spacing w:after="0" w:line="233"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1112"/>
              <w:spacing w:after="0" w:line="23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tcBorders>
          </w:tcPr>
          <w:p>
            <w:pPr>
              <w:jc w:val="right"/>
              <w:ind w:right="3172"/>
              <w:spacing w:after="0" w:line="23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jc w:val="right"/>
              <w:ind w:right="1912"/>
              <w:spacing w:after="0" w:line="233"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1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jc w:val="right"/>
              <w:ind w:right="191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1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1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111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465"/>
        </w:trPr>
        <w:tc>
          <w:tcPr>
            <w:tcW w:w="2840" w:type="dxa"/>
            <w:vAlign w:val="bottom"/>
          </w:tcPr>
          <w:p>
            <w:pPr>
              <w:jc w:val="right"/>
              <w:ind w:right="2252"/>
              <w:spacing w:after="0"/>
              <w:rPr>
                <w:sz w:val="20"/>
                <w:szCs w:val="20"/>
                <w:color w:val="auto"/>
              </w:rPr>
            </w:pPr>
            <w:r>
              <w:rPr>
                <w:rFonts w:ascii="Times New Roman" w:cs="Times New Roman" w:eastAsia="Times New Roman" w:hAnsi="Times New Roman"/>
                <w:sz w:val="22"/>
                <w:szCs w:val="22"/>
                <w:color w:val="auto"/>
                <w:w w:val="96"/>
              </w:rPr>
              <w:t>[***]</w:t>
            </w:r>
          </w:p>
        </w:tc>
        <w:tc>
          <w:tcPr>
            <w:tcW w:w="17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29"/>
        </w:trPr>
        <w:tc>
          <w:tcPr>
            <w:tcW w:w="2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spacing w:after="0"/>
              <w:rPr>
                <w:sz w:val="24"/>
                <w:szCs w:val="24"/>
                <w:color w:val="auto"/>
              </w:rPr>
            </w:pPr>
          </w:p>
        </w:tc>
      </w:tr>
      <w:tr>
        <w:trPr>
          <w:trHeight w:val="250"/>
        </w:trPr>
        <w:tc>
          <w:tcPr>
            <w:tcW w:w="2840" w:type="dxa"/>
            <w:vAlign w:val="bottom"/>
            <w:tcBorders>
              <w:left w:val="single" w:sz="8" w:color="auto"/>
              <w:bottom w:val="single" w:sz="8" w:color="auto"/>
              <w:right w:val="single" w:sz="8" w:color="auto"/>
            </w:tcBorders>
          </w:tcPr>
          <w:p>
            <w:pPr>
              <w:jc w:val="right"/>
              <w:ind w:right="1072"/>
              <w:spacing w:after="0" w:line="23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3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1592"/>
              <w:spacing w:after="0" w:line="230"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gridSpan w:val="2"/>
          </w:tcPr>
          <w:p>
            <w:pPr>
              <w:jc w:val="right"/>
              <w:ind w:right="1072"/>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233"/>
        </w:trPr>
        <w:tc>
          <w:tcPr>
            <w:tcW w:w="2840" w:type="dxa"/>
            <w:vAlign w:val="bottom"/>
            <w:tcBorders>
              <w:bottom w:val="single" w:sz="8" w:color="auto"/>
              <w:right w:val="single" w:sz="8" w:color="auto"/>
            </w:tcBorders>
          </w:tcPr>
          <w:p>
            <w:pPr>
              <w:jc w:val="right"/>
              <w:ind w:right="2132"/>
              <w:spacing w:after="0" w:line="233"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33"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33"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gridSpan w:val="2"/>
          </w:tcPr>
          <w:p>
            <w:pPr>
              <w:jc w:val="right"/>
              <w:ind w:right="2132"/>
              <w:spacing w:after="0" w:line="233"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gridSpan w:val="2"/>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gridSpan w:val="2"/>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gridSpan w:val="2"/>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250"/>
        </w:trPr>
        <w:tc>
          <w:tcPr>
            <w:tcW w:w="2840" w:type="dxa"/>
            <w:vAlign w:val="bottom"/>
            <w:tcBorders>
              <w:bottom w:val="single" w:sz="8" w:color="auto"/>
              <w:right w:val="single" w:sz="8" w:color="auto"/>
            </w:tcBorders>
          </w:tcPr>
          <w:p>
            <w:pPr>
              <w:jc w:val="right"/>
              <w:ind w:right="2132"/>
              <w:spacing w:after="0" w:line="250"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tcBorders>
              <w:bottom w:val="single" w:sz="8" w:color="auto"/>
              <w:right w:val="single" w:sz="8" w:color="auto"/>
            </w:tcBorders>
          </w:tcPr>
          <w:p>
            <w:pPr>
              <w:jc w:val="right"/>
              <w:ind w:right="5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20" w:type="dxa"/>
            <w:vAlign w:val="bottom"/>
            <w:tcBorders>
              <w:bottom w:val="single" w:sz="8" w:color="auto"/>
              <w:right w:val="single" w:sz="8" w:color="auto"/>
            </w:tcBorders>
          </w:tcPr>
          <w:p>
            <w:pPr>
              <w:jc w:val="right"/>
              <w:ind w:right="3172"/>
              <w:spacing w:after="0" w:line="250"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Borders>
              <w:bottom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r>
      <w:tr>
        <w:trPr>
          <w:trHeight w:val="451"/>
        </w:trPr>
        <w:tc>
          <w:tcPr>
            <w:tcW w:w="2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20" w:type="dxa"/>
            <w:vAlign w:val="bottom"/>
          </w:tcPr>
          <w:p>
            <w:pPr>
              <w:jc w:val="right"/>
              <w:ind w:right="2572"/>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1"/>
        </w:trPr>
        <w:tc>
          <w:tcPr>
            <w:tcW w:w="284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38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M. Chacko, certify that:</w:t>
      </w:r>
    </w:p>
    <w:p>
      <w:pPr>
        <w:spacing w:after="0" w:line="212"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ORIC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00" w:right="1740" w:hanging="7750"/>
        <w:spacing w:after="0" w:line="254" w:lineRule="auto"/>
        <w:tabs>
          <w:tab w:leader="none" w:pos="568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Jacob M. Chacko Jacob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0</wp:posOffset>
            </wp:positionV>
            <wp:extent cx="330898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8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 Piscitelli, certify that:</w:t>
      </w:r>
    </w:p>
    <w:p>
      <w:pPr>
        <w:spacing w:after="0" w:line="212" w:lineRule="exact"/>
        <w:rPr>
          <w:sz w:val="20"/>
          <w:szCs w:val="20"/>
          <w:color w:val="auto"/>
        </w:rPr>
      </w:pPr>
    </w:p>
    <w:p>
      <w:pPr>
        <w:ind w:left="520" w:hanging="512"/>
        <w:spacing w:after="0"/>
        <w:tabs>
          <w:tab w:leader="none" w:pos="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ORIC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Dominic Piscitelli</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ORIC Pharmaceuticals, Inc. (the “Company”) on Form 10-Q for the period ended March 31, 2022 as filed with the Securities and Exchange Commission on the date hereof (the “Report”), I certify, pursuant to 18 U.S.C. § 1350, as adopted pursuant to § 906 of the Sarbanes-Oxley Act of 2002, that:</w:t>
      </w:r>
    </w:p>
    <w:p>
      <w:pPr>
        <w:spacing w:after="0" w:line="82" w:lineRule="exact"/>
        <w:rPr>
          <w:sz w:val="20"/>
          <w:szCs w:val="20"/>
          <w:color w:val="auto"/>
        </w:rPr>
      </w:pPr>
    </w:p>
    <w:p>
      <w:pPr>
        <w:ind w:left="1020" w:hanging="503"/>
        <w:spacing w:after="0"/>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Jacob M. Chacko, M.D.</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ORIC Pharmaceuticals, Inc. (the “Company”) on Form 10-Q for the period ended March 31, 2022 as filed with the Securities and Exchange Commission on the date hereof (the “Report”), I certify, pursuant to 18 U.S.C. § 1350, as adopted pursuant to § 906 of the Sarbanes-Oxley Act of 2002, that:</w:t>
      </w:r>
    </w:p>
    <w:p>
      <w:pPr>
        <w:spacing w:after="0" w:line="82" w:lineRule="exact"/>
        <w:rPr>
          <w:sz w:val="20"/>
          <w:szCs w:val="20"/>
          <w:color w:val="auto"/>
        </w:rPr>
      </w:pPr>
    </w:p>
    <w:p>
      <w:pPr>
        <w:ind w:left="1020" w:hanging="503"/>
        <w:spacing w:after="0"/>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Dominic Piscitelli</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4" w:name="page175"/>
    <w:bookmarkEnd w:id="1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1."/>
      <w:numFmt w:val="decimal"/>
      <w:start w:val="1"/>
    </w:lvl>
  </w:abstractNum>
  <w:abstractNum w:abstractNumId="5">
    <w:nsid w:val="1A27709E"/>
    <w:multiLevelType w:val="hybridMultilevel"/>
    <w:lvl w:ilvl="0">
      <w:lvlJc w:val="left"/>
      <w:lvlText w:val="%1."/>
      <w:numFmt w:val="decimal"/>
      <w:start w:val="2"/>
    </w:lvl>
  </w:abstractNum>
  <w:abstractNum w:abstractNumId="6">
    <w:nsid w:val="71EA1109"/>
    <w:multiLevelType w:val="hybridMultilevel"/>
    <w:lvl w:ilvl="0">
      <w:lvlJc w:val="left"/>
      <w:lvlText w:val="%1."/>
      <w:numFmt w:val="decimal"/>
      <w:start w:val="3"/>
    </w:lvl>
  </w:abstractNum>
  <w:abstractNum w:abstractNumId="7">
    <w:nsid w:val="100F59DC"/>
    <w:multiLevelType w:val="hybridMultilevel"/>
    <w:lvl w:ilvl="0">
      <w:lvlJc w:val="left"/>
      <w:lvlText w:val="%1."/>
      <w:numFmt w:val="decimal"/>
      <w:start w:val="4"/>
    </w:lvl>
  </w:abstractNum>
  <w:abstractNum w:abstractNumId="8">
    <w:nsid w:val="7FB7E0AA"/>
    <w:multiLevelType w:val="hybridMultilevel"/>
    <w:lvl w:ilvl="0">
      <w:lvlJc w:val="left"/>
      <w:lvlText w:val="%1."/>
      <w:numFmt w:val="decimal"/>
      <w:start w:val="6"/>
    </w:lvl>
  </w:abstractNum>
  <w:abstractNum w:abstractNumId="9">
    <w:nsid w:val="6EB5BD4"/>
    <w:multiLevelType w:val="hybridMultilevel"/>
    <w:lvl w:ilvl="0">
      <w:lvlJc w:val="left"/>
      <w:lvlText w:val="%1."/>
      <w:numFmt w:val="decimal"/>
      <w:start w:val="7"/>
    </w:lvl>
  </w:abstractNum>
  <w:abstractNum w:abstractNumId="10">
    <w:nsid w:val="6F6DD9AC"/>
    <w:multiLevelType w:val="hybridMultilevel"/>
    <w:lvl w:ilvl="0">
      <w:lvlJc w:val="left"/>
      <w:lvlText w:val="%1."/>
      <w:numFmt w:val="decimal"/>
      <w:start w:val="8"/>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amp;"/>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1)"/>
      <w:numFmt w:val="lowerRoman"/>
      <w:start w:val="3"/>
    </w:lvl>
  </w:abstractNum>
  <w:abstractNum w:abstractNumId="60">
    <w:nsid w:val="1CA0C5FA"/>
    <w:multiLevelType w:val="hybridMultilevel"/>
    <w:lvl w:ilvl="0">
      <w:lvlJc w:val="left"/>
      <w:lvlText w:val="(%1)"/>
      <w:numFmt w:val="lowerRoman"/>
      <w:start w:val="1"/>
    </w:lvl>
  </w:abstractNum>
  <w:abstractNum w:abstractNumId="61">
    <w:nsid w:val="53584BCB"/>
    <w:multiLevelType w:val="hybridMultilevel"/>
    <w:lvl w:ilvl="0">
      <w:lvlJc w:val="left"/>
      <w:lvlText w:val="(%1)"/>
      <w:numFmt w:val="lowerRoman"/>
      <w:start w:val="4"/>
    </w:lvl>
  </w:abstractNum>
  <w:abstractNum w:abstractNumId="62">
    <w:nsid w:val="415E286C"/>
    <w:multiLevelType w:val="hybridMultilevel"/>
    <w:lvl w:ilvl="0">
      <w:lvlJc w:val="left"/>
      <w:lvlText w:val="(%1)"/>
      <w:numFmt w:val="lowerRoman"/>
      <w:start w:val="1"/>
    </w:lvl>
  </w:abstractNum>
  <w:abstractNum w:abstractNumId="63">
    <w:nsid w:val="7C58FD05"/>
    <w:multiLevelType w:val="hybridMultilevel"/>
    <w:lvl w:ilvl="0">
      <w:lvlJc w:val="left"/>
      <w:lvlText w:val="(%1)"/>
      <w:numFmt w:val="lowerLetter"/>
      <w:start w:val="1"/>
    </w:lvl>
  </w:abstractNum>
  <w:abstractNum w:abstractNumId="64">
    <w:nsid w:val="23D86AAC"/>
    <w:multiLevelType w:val="hybridMultilevel"/>
    <w:lvl w:ilvl="0">
      <w:lvlJc w:val="left"/>
      <w:lvlText w:val="(%1)"/>
      <w:numFmt w:val="lowerLetter"/>
      <w:start w:val="1"/>
    </w:lvl>
  </w:abstractNum>
  <w:abstractNum w:abstractNumId="65">
    <w:nsid w:val="45E6D486"/>
    <w:multiLevelType w:val="hybridMultilevel"/>
    <w:lvl w:ilvl="0">
      <w:lvlJc w:val="left"/>
      <w:lvlText w:val="(%1)"/>
      <w:numFmt w:val="lowerLetter"/>
      <w:start w:val="1"/>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1"/>
    </w:lvl>
  </w:abstractNum>
  <w:abstractNum w:abstractNumId="68">
    <w:nsid w:val="3C5991AA"/>
    <w:multiLevelType w:val="hybridMultilevel"/>
    <w:lvl w:ilvl="0">
      <w:lvlJc w:val="left"/>
      <w:lvlText w:val="(%1)"/>
      <w:numFmt w:val="lowerLetter"/>
      <w:start w:val="2"/>
    </w:lvl>
  </w:abstractNum>
  <w:abstractNum w:abstractNumId="69">
    <w:nsid w:val="4BD8591A"/>
    <w:multiLevelType w:val="hybridMultilevel"/>
    <w:lvl w:ilvl="0">
      <w:lvlJc w:val="left"/>
      <w:lvlText w:val="(%1)"/>
      <w:numFmt w:val="lowerLetter"/>
      <w:start w:val="1"/>
    </w:lvl>
  </w:abstractNum>
  <w:abstractNum w:abstractNumId="70">
    <w:nsid w:val="78DF6A55"/>
    <w:multiLevelType w:val="hybridMultilevel"/>
    <w:lvl w:ilvl="0">
      <w:lvlJc w:val="left"/>
      <w:lvlText w:val="(%1)"/>
      <w:numFmt w:val="lowerLetter"/>
      <w:start w:val="4"/>
    </w:lvl>
  </w:abstractNum>
  <w:abstractNum w:abstractNumId="71">
    <w:nsid w:val="39B7AAA2"/>
    <w:multiLevelType w:val="hybridMultilevel"/>
    <w:lvl w:ilvl="0">
      <w:lvlJc w:val="left"/>
      <w:lvlText w:val="(%1)"/>
      <w:numFmt w:val="lowerLetter"/>
      <w:start w:val="1"/>
    </w:lvl>
  </w:abstractNum>
  <w:abstractNum w:abstractNumId="72">
    <w:nsid w:val="2B0D8DBE"/>
    <w:multiLevelType w:val="hybridMultilevel"/>
    <w:lvl w:ilvl="0">
      <w:lvlJc w:val="left"/>
      <w:lvlText w:val="(%1)"/>
      <w:numFmt w:val="lowerLetter"/>
      <w:start w:val="1"/>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lowerLetter"/>
      <w:start w:val="4"/>
    </w:lvl>
    <w:lvl w:ilvl="1">
      <w:lvlJc w:val="left"/>
      <w:lvlText w:val="(%2)"/>
      <w:numFmt w:val="lowerRoman"/>
      <w:start w:val="1"/>
    </w:lvl>
  </w:abstractNum>
  <w:abstractNum w:abstractNumId="75">
    <w:nsid w:val="69E373"/>
    <w:multiLevelType w:val="hybridMultilevel"/>
    <w:lvl w:ilvl="0">
      <w:lvlJc w:val="left"/>
      <w:lvlText w:val="(%1)"/>
      <w:numFmt w:val="lowerLetter"/>
      <w:start w:val="1"/>
    </w:lvl>
  </w:abstractNum>
  <w:abstractNum w:abstractNumId="76">
    <w:nsid w:val="2C27173B"/>
    <w:multiLevelType w:val="hybridMultilevel"/>
    <w:lvl w:ilvl="0">
      <w:lvlJc w:val="left"/>
      <w:lvlText w:val="(%1)"/>
      <w:numFmt w:val="lowerLetter"/>
      <w:start w:val="1"/>
    </w:lvl>
  </w:abstractNum>
  <w:abstractNum w:abstractNumId="77">
    <w:nsid w:val="4C9B0904"/>
    <w:multiLevelType w:val="hybridMultilevel"/>
    <w:lvl w:ilvl="0">
      <w:lvlJc w:val="left"/>
      <w:lvlText w:val="(%1)"/>
      <w:numFmt w:val="lowerLetter"/>
      <w:start w:val="4"/>
    </w:lvl>
  </w:abstractNum>
  <w:abstractNum w:abstractNumId="78">
    <w:nsid w:val="6AA7B75C"/>
    <w:multiLevelType w:val="hybridMultilevel"/>
    <w:lvl w:ilvl="0">
      <w:lvlJc w:val="left"/>
      <w:lvlText w:val="[***]"/>
      <w:numFmt w:val="bullet"/>
      <w:start w:val="1"/>
    </w:lvl>
    <w:lvl w:ilvl="1">
      <w:lvlJc w:val="left"/>
      <w:lvlText w:val="(%2)"/>
      <w:numFmt w:val="lowerLetter"/>
      <w:start w:val="1"/>
    </w:lvl>
  </w:abstractNum>
  <w:abstractNum w:abstractNumId="79">
    <w:nsid w:val="1DF029D3"/>
    <w:multiLevelType w:val="hybridMultilevel"/>
    <w:lvl w:ilvl="0">
      <w:lvlJc w:val="left"/>
      <w:lvlText w:val="(%1)"/>
      <w:numFmt w:val="upperLetter"/>
      <w:start w:val="3"/>
    </w:lvl>
  </w:abstractNum>
  <w:abstractNum w:abstractNumId="80">
    <w:nsid w:val="5675FF36"/>
    <w:multiLevelType w:val="hybridMultilevel"/>
    <w:lvl w:ilvl="0">
      <w:lvlJc w:val="left"/>
      <w:lvlText w:val="(%1)"/>
      <w:numFmt w:val="lowerLetter"/>
      <w:start w:val="2"/>
    </w:lvl>
  </w:abstractNum>
  <w:abstractNum w:abstractNumId="81">
    <w:nsid w:val="3DD15094"/>
    <w:multiLevelType w:val="hybridMultilevel"/>
    <w:lvl w:ilvl="0">
      <w:lvlJc w:val="left"/>
      <w:lvlText w:val="(%1)"/>
      <w:numFmt w:val="lowerLetter"/>
      <w:start w:val="3"/>
    </w:lvl>
  </w:abstractNum>
  <w:abstractNum w:abstractNumId="82">
    <w:nsid w:val="3DB012B3"/>
    <w:multiLevelType w:val="hybridMultilevel"/>
    <w:lvl w:ilvl="0">
      <w:lvlJc w:val="left"/>
      <w:lvlText w:val="(%1)"/>
      <w:numFmt w:val="lowerLetter"/>
      <w:start w:val="1"/>
    </w:lvl>
  </w:abstractNum>
  <w:abstractNum w:abstractNumId="83">
    <w:nsid w:val="2708C9AF"/>
    <w:multiLevelType w:val="hybridMultilevel"/>
    <w:lvl w:ilvl="0">
      <w:lvlJc w:val="left"/>
      <w:lvlText w:val="(%1)"/>
      <w:numFmt w:val="lowerLetter"/>
      <w:start w:val="2"/>
    </w:lvl>
  </w:abstractNum>
  <w:abstractNum w:abstractNumId="84">
    <w:nsid w:val="5B25ACE2"/>
    <w:multiLevelType w:val="hybridMultilevel"/>
    <w:lvl w:ilvl="0">
      <w:lvlJc w:val="left"/>
      <w:lvlText w:val="(%1)"/>
      <w:numFmt w:val="lowerLetter"/>
      <w:start w:val="1"/>
    </w:lvl>
  </w:abstractNum>
  <w:abstractNum w:abstractNumId="85">
    <w:nsid w:val="175DFCF0"/>
    <w:multiLevelType w:val="hybridMultilevel"/>
    <w:lvl w:ilvl="0">
      <w:lvlJc w:val="left"/>
      <w:lvlText w:val="(%1)"/>
      <w:numFmt w:val="lowerLetter"/>
      <w:start w:val="6"/>
    </w:lvl>
  </w:abstractNum>
  <w:abstractNum w:abstractNumId="86">
    <w:nsid w:val="4F97E3E4"/>
    <w:multiLevelType w:val="hybridMultilevel"/>
    <w:lvl w:ilvl="0">
      <w:lvlJc w:val="left"/>
      <w:lvlText w:val="(%1)"/>
      <w:numFmt w:val="lowerLetter"/>
      <w:start w:val="1"/>
    </w:lvl>
  </w:abstractNum>
  <w:abstractNum w:abstractNumId="87">
    <w:nsid w:val="53B0A9E"/>
    <w:multiLevelType w:val="hybridMultilevel"/>
    <w:lvl w:ilvl="0">
      <w:lvlJc w:val="left"/>
      <w:lvlText w:val="(%1)"/>
      <w:numFmt w:val="lowerLetter"/>
      <w:start w:val="1"/>
    </w:lvl>
  </w:abstractNum>
  <w:abstractNum w:abstractNumId="88">
    <w:nsid w:val="34FD6B4F"/>
    <w:multiLevelType w:val="hybridMultilevel"/>
    <w:lvl w:ilvl="0">
      <w:lvlJc w:val="left"/>
      <w:lvlText w:val="(%1)"/>
      <w:numFmt w:val="lowerLetter"/>
      <w:start w:val="3"/>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4"/>
    </w:lvl>
    <w:lvl w:ilvl="1">
      <w:lvlJc w:val="left"/>
      <w:lvlText w:val="(%2)"/>
      <w:numFmt w:val="lowerRoman"/>
      <w:start w:val="1"/>
    </w:lvl>
  </w:abstractNum>
  <w:abstractNum w:abstractNumId="91">
    <w:nsid w:val="519E3149"/>
    <w:multiLevelType w:val="hybridMultilevel"/>
    <w:lvl w:ilvl="0">
      <w:lvlJc w:val="left"/>
      <w:lvlText w:val="(%1)"/>
      <w:numFmt w:val="lowerLetter"/>
      <w:start w:val="1"/>
    </w:lvl>
    <w:lvl w:ilvl="1">
      <w:lvlJc w:val="left"/>
      <w:lvlText w:val="(%2)"/>
      <w:numFmt w:val="lowerLetter"/>
      <w:start w:val="9"/>
    </w:lvl>
  </w:abstractNum>
  <w:abstractNum w:abstractNumId="92">
    <w:nsid w:val="2C6E4AFD"/>
    <w:multiLevelType w:val="hybridMultilevel"/>
    <w:lvl w:ilvl="0">
      <w:lvlJc w:val="left"/>
      <w:lvlText w:val="(%1)"/>
      <w:numFmt w:val="lowerRoman"/>
      <w:start w:val="2"/>
    </w:lvl>
  </w:abstractNum>
  <w:abstractNum w:abstractNumId="93">
    <w:nsid w:val="17A1B582"/>
    <w:multiLevelType w:val="hybridMultilevel"/>
    <w:lvl w:ilvl="0">
      <w:lvlJc w:val="left"/>
      <w:lvlText w:val="(%1)"/>
      <w:numFmt w:val="lowerRoman"/>
      <w:start w:val="7"/>
    </w:lvl>
  </w:abstractNum>
  <w:abstractNum w:abstractNumId="94">
    <w:nsid w:val="4DF72E4E"/>
    <w:multiLevelType w:val="hybridMultilevel"/>
    <w:lvl w:ilvl="0">
      <w:lvlJc w:val="left"/>
      <w:lvlText w:val="(%1)"/>
      <w:numFmt w:val="lowerLetter"/>
      <w:start w:val="2"/>
    </w:lvl>
  </w:abstractNum>
  <w:abstractNum w:abstractNumId="95">
    <w:nsid w:val="5046B5A9"/>
    <w:multiLevelType w:val="hybridMultilevel"/>
    <w:lvl w:ilvl="0">
      <w:lvlJc w:val="left"/>
      <w:lvlText w:val="(%1)"/>
      <w:numFmt w:val="lowerLetter"/>
      <w:start w:val="1"/>
    </w:lvl>
    <w:lvl w:ilvl="1">
      <w:lvlJc w:val="left"/>
      <w:lvlText w:val="(%2)"/>
      <w:numFmt w:val="lowerLetter"/>
      <w:start w:val="9"/>
    </w:lvl>
  </w:abstractNum>
  <w:abstractNum w:abstractNumId="96">
    <w:nsid w:val="5D888A08"/>
    <w:multiLevelType w:val="hybridMultilevel"/>
    <w:lvl w:ilvl="0">
      <w:lvlJc w:val="left"/>
      <w:lvlText w:val="(%1)"/>
      <w:numFmt w:val="lowerLetter"/>
      <w:start w:val="3"/>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14"/>
    </w:lvl>
  </w:abstractNum>
  <w:abstractNum w:abstractNumId="99">
    <w:nsid w:val="19E21BB2"/>
    <w:multiLevelType w:val="hybridMultilevel"/>
    <w:lvl w:ilvl="0">
      <w:lvlJc w:val="left"/>
      <w:lvlText w:val="%1."/>
      <w:numFmt w:val="upperLetter"/>
      <w:start w:val="1"/>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
      <w:numFmt w:val="bullet"/>
      <w:start w:val="1"/>
    </w:lvl>
    <w:lvl w:ilvl="1">
      <w:lvlJc w:val="left"/>
      <w:lvlText w:val="(%2)"/>
      <w:numFmt w:val="lowerLetter"/>
      <w:start w:val="4"/>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lowerLetter"/>
      <w:start w:val="1"/>
    </w:lvl>
  </w:abstractNum>
  <w:abstractNum w:abstractNumId="105">
    <w:nsid w:val="B37E80A"/>
    <w:multiLevelType w:val="hybridMultilevel"/>
    <w:lvl w:ilvl="0">
      <w:lvlJc w:val="left"/>
      <w:lvlText w:val="(%1)"/>
      <w:numFmt w:val="lowerLetter"/>
      <w:start w:val="1"/>
    </w:lvl>
  </w:abstractNum>
  <w:abstractNum w:abstractNumId="106">
    <w:nsid w:val="2157F6BC"/>
    <w:multiLevelType w:val="hybridMultilevel"/>
    <w:lvl w:ilvl="0">
      <w:lvlJc w:val="left"/>
      <w:lvlText w:val="(%1)"/>
      <w:numFmt w:val="lowerLetter"/>
      <w:start w:val="1"/>
    </w:lvl>
  </w:abstractNum>
  <w:abstractNum w:abstractNumId="107">
    <w:nsid w:val="704E1DD5"/>
    <w:multiLevelType w:val="hybridMultilevel"/>
    <w:lvl w:ilvl="0">
      <w:lvlJc w:val="left"/>
      <w:lvlText w:val="(%1)"/>
      <w:numFmt w:val="lowerLetter"/>
      <w:start w:val="2"/>
    </w:lvl>
  </w:abstractNum>
  <w:abstractNum w:abstractNumId="108">
    <w:nsid w:val="57D2F10E"/>
    <w:multiLevelType w:val="hybridMultilevel"/>
    <w:lvl w:ilvl="0">
      <w:lvlJc w:val="left"/>
      <w:lvlText w:val="(%1)"/>
      <w:numFmt w:val="decimal"/>
      <w:start w:val="2"/>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2"/>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1"/>
    </w:lvl>
  </w:abstractNum>
  <w:abstractNum w:abstractNumId="113">
    <w:nsid w:val="4BEE5A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4">
    <w:nsid w:val="5551B9F3"/>
    <w:multiLevelType w:val="hybridMultilevel"/>
    <w:lvl w:ilvl="0">
      <w:lvlJc w:val="left"/>
      <w:lvlText w:val="(%1)"/>
      <w:numFmt w:val="upperLetter"/>
      <w:start w:val="3"/>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Letter"/>
      <w:start w:val="2"/>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1"/>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lowerLetter"/>
      <w:start w:val="2"/>
    </w:lvl>
    <w:lvl w:ilvl="1">
      <w:lvlJc w:val="left"/>
      <w:lvlText w:val="(%2)"/>
      <w:numFmt w:val="lowerRoman"/>
      <w:start w:val="1"/>
    </w:lvl>
  </w:abstractNum>
  <w:abstractNum w:abstractNumId="121">
    <w:nsid w:val="754342"/>
    <w:multiLevelType w:val="hybridMultilevel"/>
    <w:lvl w:ilvl="0">
      <w:lvlJc w:val="left"/>
      <w:lvlText w:val="(%1)"/>
      <w:numFmt w:val="lowerLetter"/>
      <w:start w:val="1"/>
    </w:lvl>
  </w:abstractNum>
  <w:abstractNum w:abstractNumId="122">
    <w:nsid w:val="69E7F3E5"/>
    <w:multiLevelType w:val="hybridMultilevel"/>
    <w:lvl w:ilvl="0">
      <w:lvlJc w:val="left"/>
      <w:lvlText w:val="(%1)"/>
      <w:numFmt w:val="lowerLetter"/>
      <w:start w:val="2"/>
    </w:lvl>
  </w:abstractNum>
  <w:abstractNum w:abstractNumId="123">
    <w:nsid w:val="2A6DE806"/>
    <w:multiLevelType w:val="hybridMultilevel"/>
    <w:lvl w:ilvl="0">
      <w:lvlJc w:val="left"/>
      <w:lvlText w:val="(%1)"/>
      <w:numFmt w:val="lowerLetter"/>
      <w:start w:val="1"/>
    </w:lvl>
  </w:abstractNum>
  <w:abstractNum w:abstractNumId="124">
    <w:nsid w:val="1816F8C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5">
    <w:nsid w:val="37DF2233"/>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26">
    <w:nsid w:val="7AB49DAF"/>
    <w:multiLevelType w:val="hybridMultilevel"/>
    <w:lvl w:ilvl="0">
      <w:lvlJc w:val="left"/>
      <w:lvlText w:val="(%1)"/>
      <w:numFmt w:val="lowerRoman"/>
      <w:start w:val="4"/>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lowerRoman"/>
      <w:start w:val="2"/>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
      <w:numFmt w:val="bullet"/>
      <w:start w:val="1"/>
    </w:lvl>
  </w:abstractNum>
  <w:abstractNum w:abstractNumId="131">
    <w:nsid w:val="57C7D42D"/>
    <w:multiLevelType w:val="hybridMultilevel"/>
    <w:lvl w:ilvl="0">
      <w:lvlJc w:val="left"/>
      <w:lvlText w:val="(%1)"/>
      <w:numFmt w:val="lowerLetter"/>
      <w:start w:val="3"/>
    </w:lvl>
  </w:abstractNum>
  <w:abstractNum w:abstractNumId="132">
    <w:nsid w:val="312167AD"/>
    <w:multiLevelType w:val="hybridMultilevel"/>
    <w:lvl w:ilvl="0">
      <w:lvlJc w:val="left"/>
      <w:lvlText w:val="(%1)"/>
      <w:numFmt w:val="lowerLetter"/>
      <w:start w:val="1"/>
    </w:lvl>
  </w:abstractNum>
  <w:abstractNum w:abstractNumId="133">
    <w:nsid w:val="631B64D4"/>
    <w:multiLevelType w:val="hybridMultilevel"/>
    <w:lvl w:ilvl="0">
      <w:lvlJc w:val="left"/>
      <w:lvlText w:val="(%1)"/>
      <w:numFmt w:val="lowerLetter"/>
      <w:start w:val="1"/>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Letter"/>
      <w:start w:val="1"/>
    </w:lvl>
  </w:abstractNum>
  <w:abstractNum w:abstractNumId="136">
    <w:nsid w:val="6E534CDE"/>
    <w:multiLevelType w:val="hybridMultilevel"/>
    <w:lvl w:ilvl="0">
      <w:lvlJc w:val="left"/>
      <w:lvlText w:val="(%1)"/>
      <w:numFmt w:val="lowerRoman"/>
      <w:start w:val="1"/>
    </w:lvl>
  </w:abstractNum>
  <w:abstractNum w:abstractNumId="137">
    <w:nsid w:val="1A0DDE32"/>
    <w:multiLevelType w:val="hybridMultilevel"/>
    <w:lvl w:ilvl="0">
      <w:lvlJc w:val="left"/>
      <w:lvlText w:val="(%1)"/>
      <w:numFmt w:val="lowerLetter"/>
      <w:start w:val="2"/>
    </w:lvl>
  </w:abstractNum>
  <w:abstractNum w:abstractNumId="138">
    <w:nsid w:val="65968C1C"/>
    <w:multiLevelType w:val="hybridMultilevel"/>
    <w:lvl w:ilvl="0">
      <w:lvlJc w:val="left"/>
      <w:lvlText w:val="(%1)"/>
      <w:numFmt w:val="lowerLetter"/>
      <w:start w:val="1"/>
    </w:lvl>
  </w:abstractNum>
  <w:abstractNum w:abstractNumId="139">
    <w:nsid w:val="46263DEC"/>
    <w:multiLevelType w:val="hybridMultilevel"/>
    <w:lvl w:ilvl="0">
      <w:lvlJc w:val="left"/>
      <w:lvlText w:val="(%1)"/>
      <w:numFmt w:val="lowerLetter"/>
      <w:start w:val="3"/>
    </w:lvl>
  </w:abstractNum>
  <w:abstractNum w:abstractNumId="140">
    <w:nsid w:val="260D8C4A"/>
    <w:multiLevelType w:val="hybridMultilevel"/>
    <w:lvl w:ilvl="0">
      <w:lvlJc w:val="left"/>
      <w:lvlText w:val="(%1)"/>
      <w:numFmt w:val="lowerLetter"/>
      <w:start w:val="1"/>
    </w:lvl>
  </w:abstractNum>
  <w:abstractNum w:abstractNumId="141">
    <w:nsid w:val="73D4D3C4"/>
    <w:multiLevelType w:val="hybridMultilevel"/>
    <w:lvl w:ilvl="0">
      <w:lvlJc w:val="left"/>
      <w:lvlText w:val="%1"/>
      <w:numFmt w:val="lowerLetter"/>
      <w:start w:val="1"/>
    </w:lvl>
    <w:lvl w:ilvl="1">
      <w:lvlJc w:val="left"/>
      <w:lvlText w:val="(%2)"/>
      <w:numFmt w:val="lowerLetter"/>
      <w:start w:val="4"/>
    </w:lvl>
  </w:abstractNum>
  <w:abstractNum w:abstractNumId="142">
    <w:nsid w:val="746F2E30"/>
    <w:multiLevelType w:val="hybridMultilevel"/>
    <w:lvl w:ilvl="0">
      <w:lvlJc w:val="left"/>
      <w:lvlText w:val="(%1)"/>
      <w:numFmt w:val="lowerLetter"/>
      <w:start w:val="9"/>
    </w:lvl>
    <w:lvl w:ilvl="1">
      <w:lvlJc w:val="left"/>
      <w:lvlText w:val="(%2)"/>
      <w:numFmt w:val="lowerLetter"/>
      <w:start w:val="7"/>
    </w:lvl>
  </w:abstractNum>
  <w:abstractNum w:abstractNumId="143">
    <w:nsid w:val="6FDE8AF6"/>
    <w:multiLevelType w:val="hybridMultilevel"/>
    <w:lvl w:ilvl="0">
      <w:lvlJc w:val="left"/>
      <w:lvlText w:val="(%1)"/>
      <w:numFmt w:val="lowerLetter"/>
      <w:start w:val="1"/>
    </w:lvl>
  </w:abstractNum>
  <w:abstractNum w:abstractNumId="144">
    <w:nsid w:val="3FC32E20"/>
    <w:multiLevelType w:val="hybridMultilevel"/>
    <w:lvl w:ilvl="0">
      <w:lvlJc w:val="left"/>
      <w:lvlText w:val="(%1)"/>
      <w:numFmt w:val="lowerLetter"/>
      <w:start w:val="3"/>
    </w:lvl>
  </w:abstractNum>
  <w:abstractNum w:abstractNumId="145">
    <w:nsid w:val="49C0E823"/>
    <w:multiLevelType w:val="hybridMultilevel"/>
    <w:lvl w:ilvl="0">
      <w:lvlJc w:val="left"/>
      <w:lvlText w:val="(%1)"/>
      <w:numFmt w:val="lowerLetter"/>
      <w:start w:val="5"/>
    </w:lvl>
  </w:abstractNum>
  <w:abstractNum w:abstractNumId="146">
    <w:nsid w:val="14D53685"/>
    <w:multiLevelType w:val="hybridMultilevel"/>
    <w:lvl w:ilvl="0">
      <w:lvlJc w:val="left"/>
      <w:lvlText w:val="(%1)"/>
      <w:numFmt w:val="lowerLetter"/>
      <w:start w:val="12"/>
    </w:lvl>
  </w:abstractNum>
  <w:abstractNum w:abstractNumId="147">
    <w:nsid w:val="230F856C"/>
    <w:multiLevelType w:val="hybridMultilevel"/>
    <w:lvl w:ilvl="0">
      <w:lvlJc w:val="left"/>
      <w:lvlText w:val="(%1)"/>
      <w:numFmt w:val="lowerLetter"/>
      <w:start w:val="1"/>
    </w:lvl>
  </w:abstractNum>
  <w:abstractNum w:abstractNumId="148">
    <w:nsid w:val="6EAA85FB"/>
    <w:multiLevelType w:val="hybridMultilevel"/>
    <w:lvl w:ilvl="0">
      <w:lvlJc w:val="left"/>
      <w:lvlText w:val="(%1)"/>
      <w:numFmt w:val="lowerLetter"/>
      <w:start w:val="3"/>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1"/>
    </w:lvl>
    <w:lvl w:ilvl="1">
      <w:lvlJc w:val="left"/>
      <w:lvlText w:val="(%2)"/>
      <w:numFmt w:val="lowerRoman"/>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Letter"/>
      <w:start w:val="1"/>
    </w:lvl>
  </w:abstractNum>
  <w:abstractNum w:abstractNumId="155">
    <w:nsid w:val="579328B9"/>
    <w:multiLevelType w:val="hybridMultilevel"/>
    <w:lvl w:ilvl="0">
      <w:lvlJc w:val="left"/>
      <w:lvlText w:val="(%1)"/>
      <w:numFmt w:val="decimal"/>
      <w:start w:val="3"/>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232" Type="http://schemas.openxmlformats.org/officeDocument/2006/relationships/hyperlink" Target="https://www.sec.gov/Archives/edgar/data/1796280/000119312522066051/d25329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2022-05-09T15:46:44Z</dcterms:created>
  <dcterms:modified xsi:type="dcterms:W3CDTF">2022-05-09T15:46:44Z</dcterms:modified>
</cp:coreProperties>
</file>