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82026_080709.xml.htm"/>
      <w:bookmarkStart w:id="1" w:name="ksform407282026_0807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Heyman Richard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ORIC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 E. GRAND AVE.,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Oric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43"/>
        <w:gridCol w:w="452"/>
        <w:gridCol w:w="752"/>
        <w:gridCol w:w="1159"/>
        <w:gridCol w:w="99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45,300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12.02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38,300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12.02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206,672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and RAHD Capital,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of record by RAHD Capital, LLC, and the Reporting Person has voting and investment power with respect to such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subject to the option are fully vested and immediately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Kuhlen,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4759" TargetMode="External"/><Relationship Id="rId5" Type="http://schemas.openxmlformats.org/officeDocument/2006/relationships/hyperlink" Target="http://www.sec.gov/cgi-bin/browse-edgar?action=getcompany&amp;CIK=0001796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3575</Characters>
  <CharactersWithSpaces>4142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