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91"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84" w:lineRule="exact"/>
        <w:rPr>
          <w:sz w:val="24"/>
          <w:szCs w:val="24"/>
          <w:color w:val="auto"/>
        </w:rPr>
      </w:pPr>
    </w:p>
    <w:p>
      <w:pPr>
        <w:ind w:left="3500" w:right="1620" w:hanging="3492"/>
        <w:spacing w:after="0" w:line="375" w:lineRule="auto"/>
        <w:tabs>
          <w:tab w:leader="none" w:pos="45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4120" w:type="dxa"/>
            <w:vAlign w:val="bottom"/>
          </w:tcPr>
          <w:p>
            <w:pPr>
              <w:jc w:val="center"/>
              <w:ind w:right="1993"/>
              <w:spacing w:after="0"/>
              <w:rPr>
                <w:sz w:val="20"/>
                <w:szCs w:val="20"/>
                <w:color w:val="auto"/>
              </w:rPr>
            </w:pPr>
            <w:r>
              <w:rPr>
                <w:rFonts w:ascii="Arial" w:cs="Arial" w:eastAsia="Arial" w:hAnsi="Arial"/>
                <w:sz w:val="14"/>
                <w:szCs w:val="14"/>
                <w:b w:val="1"/>
                <w:bCs w:val="1"/>
                <w:color w:val="auto"/>
                <w:w w:val="94"/>
              </w:rPr>
              <w:t>Delaware</w:t>
            </w:r>
          </w:p>
        </w:tc>
        <w:tc>
          <w:tcPr>
            <w:tcW w:w="3020" w:type="dxa"/>
            <w:vAlign w:val="bottom"/>
          </w:tcPr>
          <w:p>
            <w:pPr>
              <w:jc w:val="right"/>
              <w:ind w:right="73"/>
              <w:spacing w:after="0"/>
              <w:rPr>
                <w:sz w:val="20"/>
                <w:szCs w:val="20"/>
                <w:color w:val="auto"/>
              </w:rPr>
            </w:pPr>
            <w:r>
              <w:rPr>
                <w:rFonts w:ascii="Arial" w:cs="Arial" w:eastAsia="Arial" w:hAnsi="Arial"/>
                <w:sz w:val="14"/>
                <w:szCs w:val="14"/>
                <w:b w:val="1"/>
                <w:bCs w:val="1"/>
                <w:color w:val="auto"/>
              </w:rPr>
              <w:t>47-1787157</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99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3"/>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1"/>
        </w:trPr>
        <w:tc>
          <w:tcPr>
            <w:tcW w:w="4120" w:type="dxa"/>
            <w:vAlign w:val="bottom"/>
          </w:tcPr>
          <w:p>
            <w:pPr>
              <w:jc w:val="center"/>
              <w:ind w:right="1973"/>
              <w:spacing w:after="0" w:line="131"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3"/>
              <w:spacing w:after="0" w:line="131"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8"/>
        </w:trPr>
        <w:tc>
          <w:tcPr>
            <w:tcW w:w="4120" w:type="dxa"/>
            <w:vAlign w:val="bottom"/>
          </w:tcPr>
          <w:p>
            <w:pPr>
              <w:jc w:val="center"/>
              <w:ind w:right="1973"/>
              <w:spacing w:after="0" w:line="149" w:lineRule="exact"/>
              <w:rPr>
                <w:sz w:val="20"/>
                <w:szCs w:val="20"/>
                <w:color w:val="auto"/>
              </w:rPr>
            </w:pPr>
            <w:r>
              <w:rPr>
                <w:rFonts w:ascii="Arial" w:cs="Arial" w:eastAsia="Arial" w:hAnsi="Arial"/>
                <w:sz w:val="14"/>
                <w:szCs w:val="14"/>
                <w:b w:val="1"/>
                <w:bCs w:val="1"/>
                <w:color w:val="auto"/>
                <w:w w:val="94"/>
              </w:rPr>
              <w:t>240 E. Grand Ave, 2</w:t>
            </w:r>
            <w:r>
              <w:rPr>
                <w:rFonts w:ascii="Arial" w:cs="Arial" w:eastAsia="Arial" w:hAnsi="Arial"/>
                <w:sz w:val="10"/>
                <w:szCs w:val="10"/>
                <w:b w:val="1"/>
                <w:bCs w:val="1"/>
                <w:color w:val="auto"/>
                <w:w w:val="94"/>
              </w:rPr>
              <w:t>nd</w:t>
            </w:r>
            <w:r>
              <w:rPr>
                <w:rFonts w:ascii="Arial" w:cs="Arial" w:eastAsia="Arial" w:hAnsi="Arial"/>
                <w:sz w:val="14"/>
                <w:szCs w:val="14"/>
                <w:b w:val="1"/>
                <w:bCs w:val="1"/>
                <w:color w:val="auto"/>
                <w:w w:val="94"/>
              </w:rPr>
              <w:t xml:space="preserve"> Floor</w:t>
            </w:r>
          </w:p>
        </w:tc>
        <w:tc>
          <w:tcPr>
            <w:tcW w:w="30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53"/>
        </w:trPr>
        <w:tc>
          <w:tcPr>
            <w:tcW w:w="4120" w:type="dxa"/>
            <w:vAlign w:val="bottom"/>
          </w:tcPr>
          <w:p>
            <w:pPr>
              <w:jc w:val="center"/>
              <w:ind w:right="1993"/>
              <w:spacing w:after="0" w:line="153" w:lineRule="exact"/>
              <w:rPr>
                <w:sz w:val="20"/>
                <w:szCs w:val="20"/>
                <w:color w:val="auto"/>
              </w:rPr>
            </w:pPr>
            <w:r>
              <w:rPr>
                <w:rFonts w:ascii="Arial" w:cs="Arial" w:eastAsia="Arial" w:hAnsi="Arial"/>
                <w:sz w:val="14"/>
                <w:szCs w:val="14"/>
                <w:b w:val="1"/>
                <w:bCs w:val="1"/>
                <w:color w:val="auto"/>
                <w:w w:val="92"/>
              </w:rPr>
              <w:t>South San Francisco, CA</w:t>
            </w: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120" w:type="dxa"/>
            <w:vAlign w:val="bottom"/>
          </w:tcPr>
          <w:p>
            <w:pPr>
              <w:jc w:val="center"/>
              <w:ind w:right="197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388-5600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8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4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Common Stock, $0.0001 par value per share</w:t>
            </w:r>
          </w:p>
        </w:tc>
        <w:tc>
          <w:tcPr>
            <w:tcW w:w="140" w:type="dxa"/>
            <w:vAlign w:val="bottom"/>
          </w:tcPr>
          <w:p>
            <w:pPr>
              <w:spacing w:after="0"/>
              <w:rPr>
                <w:sz w:val="10"/>
                <w:szCs w:val="10"/>
                <w:color w:val="auto"/>
              </w:rPr>
            </w:pPr>
          </w:p>
        </w:tc>
        <w:tc>
          <w:tcPr>
            <w:tcW w:w="2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ORIC</w:t>
            </w:r>
          </w:p>
        </w:tc>
        <w:tc>
          <w:tcPr>
            <w:tcW w:w="120" w:type="dxa"/>
            <w:vAlign w:val="bottom"/>
          </w:tcPr>
          <w:p>
            <w:pPr>
              <w:spacing w:after="0"/>
              <w:rPr>
                <w:sz w:val="10"/>
                <w:szCs w:val="10"/>
                <w:color w:val="auto"/>
              </w:rPr>
            </w:pPr>
          </w:p>
        </w:tc>
        <w:tc>
          <w:tcPr>
            <w:tcW w:w="4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bl>
    <w:p>
      <w:pPr>
        <w:spacing w:after="0" w:line="83"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60" w:firstLine="599"/>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April 30, 2021, the registrant had 36,696,216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20" w:type="dxa"/>
            <w:vAlign w:val="bottom"/>
            <w:gridSpan w:val="5"/>
          </w:tcPr>
          <w:p>
            <w:pPr>
              <w:ind w:left="1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688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Statements of Operations and Comprehensive Loss</w:t>
              </w:r>
            </w:hyperlink>
          </w:p>
        </w:tc>
        <w:tc>
          <w:tcPr>
            <w:tcW w:w="56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8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Statements of Cash Flows</w:t>
              </w:r>
            </w:hyperlink>
          </w:p>
        </w:tc>
        <w:tc>
          <w:tcPr>
            <w:tcW w:w="37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OTHER INFORMATION</w:t>
              </w:r>
            </w:hyperlink>
          </w:p>
        </w:tc>
        <w:tc>
          <w:tcPr>
            <w:tcW w:w="74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69" w:lineRule="exact"/>
        <w:rPr>
          <w:sz w:val="20"/>
          <w:szCs w:val="20"/>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17" w:lineRule="exact"/>
        <w:rPr>
          <w:rFonts w:ascii="Arial" w:cs="Arial" w:eastAsia="Arial" w:hAnsi="Arial"/>
          <w:sz w:val="18"/>
          <w:szCs w:val="18"/>
          <w:color w:val="auto"/>
        </w:rPr>
      </w:pPr>
    </w:p>
    <w:p>
      <w:pPr>
        <w:ind w:left="1260" w:right="100" w:hanging="510"/>
        <w:spacing w:after="0" w:line="311"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ORIC-101, ORIC-533, ORIC-944, ORIC-114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40" w:lineRule="exact"/>
        <w:rPr>
          <w:rFonts w:ascii="Arial" w:cs="Arial" w:eastAsia="Arial" w:hAnsi="Arial"/>
          <w:sz w:val="16"/>
          <w:szCs w:val="16"/>
          <w:color w:val="auto"/>
        </w:rPr>
      </w:pPr>
    </w:p>
    <w:p>
      <w:pPr>
        <w:ind w:left="1260" w:right="100" w:hanging="510"/>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ORIC-101, ORIC-533, ORIC-944, ORIC-114 and any other future product candidates;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 including the geographic areas of focus and sales strategy;</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117" w:lineRule="exact"/>
        <w:rPr>
          <w:rFonts w:ascii="Arial" w:cs="Arial" w:eastAsia="Arial" w:hAnsi="Arial"/>
          <w:sz w:val="18"/>
          <w:szCs w:val="18"/>
          <w:color w:val="auto"/>
        </w:rPr>
      </w:pPr>
    </w:p>
    <w:p>
      <w:pPr>
        <w:ind w:left="1260" w:right="52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17" w:lineRule="exact"/>
        <w:rPr>
          <w:rFonts w:ascii="Arial" w:cs="Arial" w:eastAsia="Arial" w:hAnsi="Arial"/>
          <w:sz w:val="18"/>
          <w:szCs w:val="18"/>
          <w:color w:val="auto"/>
        </w:rPr>
      </w:pPr>
    </w:p>
    <w:p>
      <w:pPr>
        <w:ind w:left="1260" w:hanging="510"/>
        <w:spacing w:after="0" w:line="25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ORIC-101, ORIC-533, ORIC-944, ORIC-114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auto"/>
        </w:rPr>
      </w:pPr>
    </w:p>
    <w:p>
      <w:pPr>
        <w:ind w:left="1260" w:right="54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rFonts w:ascii="Arial" w:cs="Arial" w:eastAsia="Arial" w:hAnsi="Arial"/>
          <w:sz w:val="18"/>
          <w:szCs w:val="18"/>
          <w:color w:val="auto"/>
        </w:rPr>
      </w:pPr>
    </w:p>
    <w:p>
      <w:pPr>
        <w:ind w:left="1260" w:right="62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right="70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ORIC-101, ORIC-533, ORIC-944, ORIC-114 and other product candidates we may develop, if approved;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260" w:right="40" w:hanging="510"/>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ORIC-101, ORIC-533, ORIC-944, ORIC-114 and other product candidates we may develop;</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260" w:right="400" w:hanging="510"/>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short-term investments will be sufficient to fund our future operating expenses and capital expenditure requirements;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w:t>
      </w:r>
    </w:p>
    <w:p>
      <w:pPr>
        <w:spacing w:after="0" w:line="11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3"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2"/>
          </w:tcPr>
          <w:p>
            <w:pPr>
              <w:jc w:val="right"/>
              <w:ind w:right="104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53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104,208</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173,933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280,101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1,969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283,960</w:t>
            </w:r>
          </w:p>
        </w:tc>
        <w:tc>
          <w:tcPr>
            <w:tcW w:w="4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4320"/>
              <w:spacing w:after="0"/>
              <w:rPr>
                <w:sz w:val="20"/>
                <w:szCs w:val="20"/>
                <w:color w:val="auto"/>
              </w:rPr>
            </w:pPr>
            <w:r>
              <w:rPr>
                <w:rFonts w:ascii="Arial" w:cs="Arial" w:eastAsia="Arial" w:hAnsi="Arial"/>
                <w:sz w:val="16"/>
                <w:szCs w:val="16"/>
                <w:b w:val="1"/>
                <w:bCs w:val="1"/>
                <w:color w:val="auto"/>
                <w:w w:val="94"/>
              </w:rPr>
              <w:t>Liabilities and Stockholders' Equity</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7,885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00" w:type="dxa"/>
            <w:vAlign w:val="bottom"/>
          </w:tcPr>
          <w:p>
            <w:pPr>
              <w:ind w:left="260"/>
              <w:spacing w:after="0"/>
              <w:rPr>
                <w:sz w:val="20"/>
                <w:szCs w:val="20"/>
                <w:color w:val="auto"/>
              </w:rPr>
            </w:pPr>
            <w:r>
              <w:rPr>
                <w:rFonts w:ascii="Arial" w:cs="Arial" w:eastAsia="Arial" w:hAnsi="Arial"/>
                <w:sz w:val="16"/>
                <w:szCs w:val="16"/>
                <w:color w:val="auto"/>
              </w:rPr>
              <w:t>Preferred stock, $0.0001 par value; 200,000,000 shares authorized at March 31,</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80"/>
              <w:spacing w:after="0"/>
              <w:rPr>
                <w:sz w:val="20"/>
                <w:szCs w:val="20"/>
                <w:color w:val="auto"/>
              </w:rPr>
            </w:pPr>
            <w:r>
              <w:rPr>
                <w:rFonts w:ascii="Arial" w:cs="Arial" w:eastAsia="Arial" w:hAnsi="Arial"/>
                <w:sz w:val="16"/>
                <w:szCs w:val="16"/>
                <w:color w:val="auto"/>
              </w:rPr>
              <w:t>2021 and December 31, 2020; no shares issued and outstanding at March 31,</w:t>
            </w:r>
          </w:p>
        </w:tc>
        <w:tc>
          <w:tcPr>
            <w:tcW w:w="280" w:type="dxa"/>
            <w:vAlign w:val="bottom"/>
          </w:tcPr>
          <w:p>
            <w:pPr>
              <w:spacing w:after="0"/>
              <w:rPr>
                <w:sz w:val="17"/>
                <w:szCs w:val="17"/>
                <w:color w:val="auto"/>
              </w:rPr>
            </w:pPr>
          </w:p>
        </w:tc>
        <w:tc>
          <w:tcPr>
            <w:tcW w:w="20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900" w:type="dxa"/>
            <w:vAlign w:val="bottom"/>
          </w:tcPr>
          <w:p>
            <w:pPr>
              <w:ind w:left="380"/>
              <w:spacing w:after="0"/>
              <w:rPr>
                <w:sz w:val="20"/>
                <w:szCs w:val="20"/>
                <w:color w:val="auto"/>
              </w:rPr>
            </w:pPr>
            <w:r>
              <w:rPr>
                <w:rFonts w:ascii="Arial" w:cs="Arial" w:eastAsia="Arial" w:hAnsi="Arial"/>
                <w:sz w:val="16"/>
                <w:szCs w:val="16"/>
                <w:color w:val="auto"/>
              </w:rPr>
              <w:t>2021 and December 31, 2020</w:t>
            </w:r>
          </w:p>
        </w:tc>
        <w:tc>
          <w:tcPr>
            <w:tcW w:w="28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$0.0001 par value; 1,000,000,000 shares authorized at March 31,</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2021 and December 31, 2020; 36,690,826 shares and 36,672,415 shares issued</w:t>
            </w:r>
          </w:p>
        </w:tc>
        <w:tc>
          <w:tcPr>
            <w:tcW w:w="28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outstanding at March 31, 2021 and December 31, 2020, respectively</w:t>
            </w:r>
          </w:p>
        </w:tc>
        <w:tc>
          <w:tcPr>
            <w:tcW w:w="280" w:type="dxa"/>
            <w:vAlign w:val="bottom"/>
            <w:shd w:val="clear" w:color="auto" w:fill="CFF0FC"/>
          </w:tcPr>
          <w:p>
            <w:pPr>
              <w:spacing w:after="0"/>
              <w:rPr>
                <w:sz w:val="18"/>
                <w:szCs w:val="18"/>
                <w:color w:val="auto"/>
              </w:rPr>
            </w:pPr>
          </w:p>
        </w:tc>
        <w:tc>
          <w:tcPr>
            <w:tcW w:w="164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458,956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456,196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28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(182,902)</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(166,393)</w:t>
            </w: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6"/>
                <w:szCs w:val="16"/>
                <w:color w:val="auto"/>
              </w:rPr>
              <w:t>Accumulated other comprehensive gain (loss)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276,075</w:t>
            </w:r>
          </w:p>
        </w:tc>
        <w:tc>
          <w:tcPr>
            <w:tcW w:w="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283,960</w:t>
            </w: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11,697</w:t>
            </w:r>
          </w:p>
        </w:tc>
        <w:tc>
          <w:tcPr>
            <w:tcW w:w="18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19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available-for-sale securities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9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9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36,679,684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260" w:type="dxa"/>
            <w:vAlign w:val="bottom"/>
            <w:gridSpan w:val="3"/>
          </w:tcPr>
          <w:p>
            <w:pPr>
              <w:jc w:val="center"/>
              <w:ind w:left="517"/>
              <w:spacing w:after="0" w:line="135" w:lineRule="exact"/>
              <w:rPr>
                <w:sz w:val="20"/>
                <w:szCs w:val="20"/>
                <w:color w:val="auto"/>
              </w:rPr>
            </w:pPr>
            <w:r>
              <w:rPr>
                <w:rFonts w:ascii="Arial" w:cs="Arial" w:eastAsia="Arial" w:hAnsi="Arial"/>
                <w:sz w:val="13"/>
                <w:szCs w:val="13"/>
                <w:b w:val="1"/>
                <w:bCs w:val="1"/>
                <w:color w:val="auto"/>
                <w:w w:val="89"/>
              </w:rPr>
              <w:t>Convertible</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6"/>
              </w:rPr>
              <w:t>Preferred Stock</w:t>
            </w:r>
          </w:p>
        </w:tc>
        <w:tc>
          <w:tcPr>
            <w:tcW w:w="204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234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2020</w:t>
            </w:r>
          </w:p>
        </w:tc>
        <w:tc>
          <w:tcPr>
            <w:tcW w:w="11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36,672,415</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456,196</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(166,393)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289,776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common stock options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60"/>
              <w:spacing w:after="0"/>
              <w:rPr>
                <w:sz w:val="20"/>
                <w:szCs w:val="20"/>
                <w:color w:val="auto"/>
              </w:rPr>
            </w:pPr>
            <w:r>
              <w:rPr>
                <w:rFonts w:ascii="Arial" w:cs="Arial" w:eastAsia="Arial" w:hAnsi="Arial"/>
                <w:sz w:val="13"/>
                <w:szCs w:val="13"/>
                <w:color w:val="auto"/>
                <w:w w:val="98"/>
              </w:rPr>
              <w:t>Stock-based compensation expense</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(16,509)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(16,461)</w:t>
            </w:r>
          </w:p>
        </w:tc>
        <w:tc>
          <w:tcPr>
            <w:tcW w:w="0" w:type="dxa"/>
            <w:vAlign w:val="bottom"/>
          </w:tcPr>
          <w:p>
            <w:pPr>
              <w:spacing w:after="0"/>
              <w:rPr>
                <w:sz w:val="1"/>
                <w:szCs w:val="1"/>
                <w:color w:val="auto"/>
              </w:rPr>
            </w:pPr>
          </w:p>
        </w:tc>
      </w:tr>
      <w:tr>
        <w:trPr>
          <w:trHeight w:val="142"/>
        </w:trPr>
        <w:tc>
          <w:tcPr>
            <w:tcW w:w="234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36,690,826</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458,956</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(182,902)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276,075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260" w:type="dxa"/>
            <w:vAlign w:val="bottom"/>
            <w:gridSpan w:val="3"/>
          </w:tcPr>
          <w:p>
            <w:pPr>
              <w:jc w:val="center"/>
              <w:ind w:left="517"/>
              <w:spacing w:after="0" w:line="135" w:lineRule="exact"/>
              <w:rPr>
                <w:sz w:val="20"/>
                <w:szCs w:val="20"/>
                <w:color w:val="auto"/>
              </w:rPr>
            </w:pPr>
            <w:r>
              <w:rPr>
                <w:rFonts w:ascii="Arial" w:cs="Arial" w:eastAsia="Arial" w:hAnsi="Arial"/>
                <w:sz w:val="13"/>
                <w:szCs w:val="13"/>
                <w:b w:val="1"/>
                <w:bCs w:val="1"/>
                <w:color w:val="auto"/>
                <w:w w:val="89"/>
              </w:rPr>
              <w:t>Convertible</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6"/>
              </w:rPr>
              <w:t>Preferred Stock</w:t>
            </w:r>
          </w:p>
        </w:tc>
        <w:tc>
          <w:tcPr>
            <w:tcW w:w="204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1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3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19,278,606</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178,058</w:t>
            </w:r>
          </w:p>
        </w:tc>
        <w:tc>
          <w:tcPr>
            <w:tcW w:w="24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1,984,222</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2,606</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(92,690)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(90,084)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60"/>
              <w:spacing w:after="0"/>
              <w:rPr>
                <w:sz w:val="20"/>
                <w:szCs w:val="20"/>
                <w:color w:val="auto"/>
              </w:rPr>
            </w:pPr>
            <w:r>
              <w:rPr>
                <w:rFonts w:ascii="Arial" w:cs="Arial" w:eastAsia="Arial" w:hAnsi="Arial"/>
                <w:sz w:val="13"/>
                <w:szCs w:val="13"/>
                <w:color w:val="auto"/>
              </w:rPr>
              <w:t>Exercise of common stock options</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13,433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8"/>
              </w:rPr>
              <w:t>Stock-based compensation expense</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(8,872)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(8,872)</w:t>
            </w:r>
          </w:p>
        </w:tc>
        <w:tc>
          <w:tcPr>
            <w:tcW w:w="0" w:type="dxa"/>
            <w:vAlign w:val="bottom"/>
          </w:tcPr>
          <w:p>
            <w:pPr>
              <w:spacing w:after="0"/>
              <w:rPr>
                <w:sz w:val="1"/>
                <w:szCs w:val="1"/>
                <w:color w:val="auto"/>
              </w:rPr>
            </w:pPr>
          </w:p>
        </w:tc>
      </w:tr>
      <w:tr>
        <w:trPr>
          <w:trHeight w:val="142"/>
        </w:trPr>
        <w:tc>
          <w:tcPr>
            <w:tcW w:w="234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19,278,606</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178,058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1,997,655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3,145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(101,562)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(98,417)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(16,509)</w:t>
            </w:r>
          </w:p>
        </w:tc>
        <w:tc>
          <w:tcPr>
            <w:tcW w:w="108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(8,872)</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500"/>
              <w:spacing w:after="0"/>
              <w:rPr>
                <w:sz w:val="20"/>
                <w:szCs w:val="20"/>
                <w:color w:val="auto"/>
              </w:rPr>
            </w:pPr>
            <w:r>
              <w:rPr>
                <w:rFonts w:ascii="Arial" w:cs="Arial" w:eastAsia="Arial" w:hAnsi="Arial"/>
                <w:sz w:val="18"/>
                <w:szCs w:val="18"/>
                <w:color w:val="auto"/>
              </w:rPr>
              <w:t>Amortization of discount on investments, net</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other liabilities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r>
      <w:tr>
        <w:trPr>
          <w:trHeight w:val="223"/>
        </w:trPr>
        <w:tc>
          <w:tcPr>
            <w:tcW w:w="66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(14,901)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(8,279)</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(25,171)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maturities of investments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Proceeds from notes receivable</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23"/>
        </w:trPr>
        <w:tc>
          <w:tcPr>
            <w:tcW w:w="66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investing activities</w:t>
            </w:r>
          </w:p>
        </w:tc>
        <w:tc>
          <w:tcPr>
            <w:tcW w:w="1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40,647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Payment of deferred offering costs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(1,639)</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1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(1,627)</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(9,717)</w:t>
            </w:r>
          </w:p>
        </w:tc>
      </w:tr>
      <w:tr>
        <w:trPr>
          <w:trHeight w:val="230"/>
        </w:trPr>
        <w:tc>
          <w:tcPr>
            <w:tcW w:w="6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89,159</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104,208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79,442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Amounts accrued for purchase of property and equipment</w:t>
            </w:r>
          </w:p>
        </w:tc>
        <w:tc>
          <w:tcPr>
            <w:tcW w:w="2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08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Unpaid deferred offering costs</w:t>
            </w:r>
          </w:p>
        </w:tc>
        <w:tc>
          <w:tcPr>
            <w:tcW w:w="20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9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21" w:lineRule="exact"/>
        <w:rPr>
          <w:sz w:val="20"/>
          <w:szCs w:val="20"/>
          <w:color w:val="auto"/>
        </w:rPr>
      </w:pPr>
    </w:p>
    <w:p>
      <w:pPr>
        <w:jc w:val="both"/>
        <w:ind w:right="280" w:firstLine="749"/>
        <w:spacing w:after="0" w:line="286"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5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84" w:lineRule="exact"/>
        <w:rPr>
          <w:sz w:val="20"/>
          <w:szCs w:val="20"/>
          <w:color w:val="auto"/>
        </w:rPr>
      </w:pPr>
    </w:p>
    <w:p>
      <w:pPr>
        <w:ind w:right="380" w:firstLine="749"/>
        <w:spacing w:after="0" w:line="308" w:lineRule="auto"/>
        <w:rPr>
          <w:sz w:val="20"/>
          <w:szCs w:val="20"/>
          <w:color w:val="auto"/>
        </w:rPr>
      </w:pPr>
      <w:r>
        <w:rPr>
          <w:rFonts w:ascii="Arial" w:cs="Arial" w:eastAsia="Arial" w:hAnsi="Arial"/>
          <w:sz w:val="17"/>
          <w:szCs w:val="17"/>
          <w:color w:val="auto"/>
        </w:rPr>
        <w:t>As of March 31, 2021, the Company had an accumulated deficit of $182.9 million. Through March 31, 2021, all of the Company’s financial support has been provided by proceeds from the issuance of common stock and from the sale of convertible preferred stock.</w:t>
      </w:r>
    </w:p>
    <w:p>
      <w:pPr>
        <w:spacing w:after="0" w:line="38"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Initial Public Offering and Related Transaction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April 28, 2020, the Company completed an initial public offering (IPO) selling 8,625,000 shares of common stock, which included the full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exercise by the underwriters of their option to purchase up to 1,125,000 additional shares, at a price of $16.00 per share resulting in gross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$138.0 million. After deducting underwriting discounts and commissions and other offering expenses related to the IPO of $12.8 million,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from the transaction were $125.2 million. In connection with the IPO, all shares of convertible preferred stock outstanding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IPO converted into 19,278,606 shares of common stock. On April 21, 2020, the Company amended its certificate of incorporation to effect a one-for-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 reverse stock split of its issued and outstanding common and convertible preferred stock. The accompanying financial statements and related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 retroactive effect, where applicable, to the reverse stock split.</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On November 17, 2020, the Company completed a secondary public offering selling 5,796,000 shares of common stock, which included the full exercise by the underwriters of their option to purchase up to 756,000 additional shares, at a price of $23.00 per share, resulting in gross proceeds of $133.3 million. After deducting underwriting discounts and commissions and other offering expenses related to the secondary public offering of approximately $8.5 million, the net proceeds to the Company from the transaction were $124.8 million.</w:t>
      </w:r>
    </w:p>
    <w:p>
      <w:pPr>
        <w:spacing w:after="0" w:line="75" w:lineRule="exact"/>
        <w:rPr>
          <w:sz w:val="20"/>
          <w:szCs w:val="20"/>
          <w:color w:val="auto"/>
        </w:rPr>
      </w:pPr>
    </w:p>
    <w:p>
      <w:pPr>
        <w:ind w:left="760" w:right="5660" w:hanging="752"/>
        <w:spacing w:after="0" w:line="378" w:lineRule="auto"/>
        <w:tabs>
          <w:tab w:leader="none" w:pos="19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ind w:firstLine="749"/>
        <w:spacing w:after="0" w:line="269"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three months ended March 31, 2021 are not necessarily indicative of future results, particularly in light of the novel coronavirus (COVID-19) and its impact on domestic and global economies. To limit the spread of COVID-19, governments have taken various actions including the issuance of stay-at-home orders and physical distancing guidelines. Accordingly, businesses have adjusted, reduced or suspended operating activities. Beginning the week of March 16, 2020, the majority of the Company’s workforce began working from home. Disruptions caused by the COVID-19 pandemic, including the effects of the stay-at-home orders and work-from-home policies, have impacted productivity, have resulted in increased operational expenses, certain adjustments to the operations 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160"/>
        <w:spacing w:after="0" w:line="255" w:lineRule="auto"/>
        <w:rPr>
          <w:sz w:val="20"/>
          <w:szCs w:val="20"/>
          <w:color w:val="auto"/>
        </w:rPr>
      </w:pPr>
      <w:r>
        <w:rPr>
          <w:rFonts w:ascii="Arial" w:cs="Arial" w:eastAsia="Arial" w:hAnsi="Arial"/>
          <w:sz w:val="18"/>
          <w:szCs w:val="18"/>
          <w:color w:val="auto"/>
        </w:rPr>
        <w:t>the Company’s clinical trials, the temporary suspension of enrollment of new patients at certain of the Company’s clinical trial sites, and delays in certain supply chain activities and collecting and analyzing data from patients in the Company’s clinical trials, and may further disrupt the business and delay the development programs and regulatory timelines, the magnitude of which will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8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the related notes thereto for the year ended December 31, 2020, which are included in the Company’s Annual Report on Form 10-K filed with the SEC. Furthermore, the Company’s significant accounting policies are disclosed in the audited financial statements for the periods ended December 31, 2020 and 2019, included in the Company’s Annual Report on Form 10-K. Since the date of those financial statements, there have been no changes to its significant accounting policies, except as noted below.</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accounting standard codifications (ASC) or other standard setting bodies and adopted by the Company as of the specified effective date, unless otherwise discussed below.</w:t>
      </w:r>
    </w:p>
    <w:p>
      <w:pPr>
        <w:spacing w:after="0" w:line="76"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A lessee is also required to record a right-of-use asset and a lease liability for all leases with a term greater than 12 months regardless of their classification. ASC 842 provides a lessee with an option to not account for leases with a term of 12 months or less as leases in the scope of the new standard. ASC 842 supersedes the previous leases standard, ASC 840 Leases. ASC 842 requires a modified retrospective transition approach for leases existing at, or entered into after, the beginning of the earliest comparative period presented in the financial statements. In July 2018, the FASB issued supplemental adoption guidance and clarification to ASC 842 within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w:t>
      </w:r>
    </w:p>
    <w:p>
      <w:pPr>
        <w:spacing w:after="0" w:line="1"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ASU No. 2018-11 provides another transition method in addition to the existing modified retrospective transition method by allowing entities to initially apply the new leasing standard at the adoption date and recognize a cumulative-effect adjustment to the opening balance of accumulated deficit in the period of adoption. On January 1, 2021, the Company early adopted ASC 842 using the modified retrospective approach. Accordingly, prior period financial information and disclosures have not been adjusted and continue to be reported in accordance with the Company’s historical accounting under the previous lease standard. In addition, the Company elected the package of practical expedients available for existing contracts, which allowed it to carry forward historical assessments of lease identification, lease classification, and initial direct costs. As a result of adopting ASC 842, the Company recognized right-of-use assets and lease liabilities of $1.7 million and $2.5 million, respectively, on January 1, 2021, which are related to our facility operating leases (Note 9). The difference between the right-of-use assets and lease liabilities is primarily attributed to the elimination of deferred rent and unamortized lease incentives. There was no adjustment to the opening balance of accumulated deficit as a result of the adoption of ASC 842.</w:t>
      </w:r>
    </w:p>
    <w:p>
      <w:pPr>
        <w:spacing w:after="0" w:line="7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Company determines if an arrangement is or contains a lease at inception. The Company’s operating leases with an initial term greater than one year are included in operating lease right-of-use assets, operating lease liabilities and operating lease liabilities, less current portion, which are included in other assets, accrued liabilities and other long-term liabilities, respectively, on our balance sheet at March 31, 2021. Right-of-use assets represent the right to use an underlying asset during the lease term and lease liabilities represent an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incremental borrowing rate which represents an estimated rate of interest that the Company would have to pay to borrow equivalent funds on a collateralized basis at the lease commencement date.</w:t>
      </w:r>
    </w:p>
    <w:p>
      <w:pPr>
        <w:spacing w:after="0" w:line="58"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The Company’s operating leases may include options to extend the lease which are included in the lease term when it is reasonably certain that we will exercise a renewal option. Operating lease expense is recognized on a straight-line basis over the expected lease term.</w:t>
      </w:r>
    </w:p>
    <w:p>
      <w:pPr>
        <w:spacing w:after="0" w:line="38"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In June 2016, the FASB issued ASU No. 2016-13, Financial Instruments—Credit Losses (Topic 326) (ASC 326): Measurement of Credit Losses on Financial Instruments, which introduced the expected credit losses methodology for the measurement of credit losses on financial assets measured at amortized cost basis, replacing the previous incurred loss methodology. The amendments in Update 2016-13 added Topic 326, Financial Instruments— Credit Losses, and made several consequential amendments to the Codification. Update 2016-13 also modified the accounting for available-for-sale debt securities, which must be individually assessed for credit losses when fair value is less than the amortized cost basis, in accordance with Subtopic 326-30, Financial Instruments— Credit Losses—Available-for-Sale Debt Securities. The guidance is effective for public business entities for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right="140"/>
        <w:spacing w:after="0" w:line="311" w:lineRule="auto"/>
        <w:rPr>
          <w:sz w:val="20"/>
          <w:szCs w:val="20"/>
          <w:color w:val="auto"/>
        </w:rPr>
      </w:pPr>
      <w:r>
        <w:rPr>
          <w:rFonts w:ascii="Arial" w:cs="Arial" w:eastAsia="Arial" w:hAnsi="Arial"/>
          <w:sz w:val="16"/>
          <w:szCs w:val="16"/>
          <w:color w:val="auto"/>
        </w:rPr>
        <w:t>annual periods beginning after December 15, 2019, including interim periods within those years. For all other entities, the standard is effective for annual periods beginning after December 15, 2022 and interim periods, therein. Early adoption is permitted. The Company early adopted the new standard in the first quarter of 2021, using the modified retrospective approach. The adoption did not have a material impact on its financial statements.</w:t>
      </w:r>
    </w:p>
    <w:p>
      <w:pPr>
        <w:spacing w:after="0" w:line="41"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In accordance with ASU 2016-13, the Company will no longer evaluate whether its available-for-sale debt securities in an unrealized loss position are other than temporarily impaired. Instead, the Company will assess whether such unrealized loss positions are credit-related. The credit-related portion of unrealized losses, and any subsequent improvements, are recorded in interest income through an allowance account. Unrealized gains and losses that are not credit-related are included in accumulated other comprehensive income (loss).</w:t>
      </w:r>
    </w:p>
    <w:p>
      <w:pPr>
        <w:spacing w:after="0" w:line="5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1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70"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84"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Company’s financial obligation under the Mirati License Agreement was comprised of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87"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single identifiable asset. Further, as the asset was in early development at the time the license was acquired, the Company concluded that there was no alternative future use for the asset and recorded a charge to acquired in process research and development at the closing of the transaction in August 2020 for the full $13.0 million value assigned to the shares issued in connection with Mirati License Agreement.</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17"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On October 19, 2020, the Company entered into a license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worldwide (other than in the People’s Republic of China, Hong Kong, Macau and Taiwan) (the ORIC Territory). Under the Voronoi License Agreement,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73"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comprised of a $5.0 million cash payment and the issuance to Voronoi of 283,259 shares of the Company’s common stock, valued at approximately $6.8 million, issued pursuant to a stock issuance agreement (Stock Agreement) entered into between the parties on October 19,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100"/>
        <w:spacing w:after="0" w:line="291" w:lineRule="auto"/>
        <w:rPr>
          <w:sz w:val="20"/>
          <w:szCs w:val="20"/>
          <w:color w:val="auto"/>
        </w:rPr>
      </w:pPr>
      <w:r>
        <w:rPr>
          <w:rFonts w:ascii="Arial" w:cs="Arial" w:eastAsia="Arial" w:hAnsi="Arial"/>
          <w:sz w:val="16"/>
          <w:szCs w:val="16"/>
          <w:color w:val="auto"/>
        </w:rPr>
        <w:t>The number of shares issued pursuant to the Stock Agreement was based on a price of $28.24 per share, representing a premium of 25% to the 30-day trailing volume weighted average trading price of the Company’s common stock. The shares were issued in a private placement in reliance on Section 4(a)</w:t>
      </w:r>
    </w:p>
    <w:p>
      <w:pPr>
        <w:spacing w:after="0"/>
        <w:rPr>
          <w:sz w:val="20"/>
          <w:szCs w:val="20"/>
          <w:color w:val="auto"/>
        </w:rPr>
      </w:pPr>
      <w:r>
        <w:rPr>
          <w:rFonts w:ascii="Arial" w:cs="Arial" w:eastAsia="Arial" w:hAnsi="Arial"/>
          <w:sz w:val="18"/>
          <w:szCs w:val="18"/>
          <w:color w:val="auto"/>
        </w:rPr>
        <w:t>(2) of the Securities Act of 1933, as amended, for transactions by an issuer not involving any public offering.</w:t>
      </w:r>
    </w:p>
    <w:p>
      <w:pPr>
        <w:spacing w:after="0" w:line="103"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Company is also obligated to make milestone payments to Voronoi upon the achievement of certain events. Upon the achievement of certain development and regulatory milestones with respect to the first licensed product, the Company is obligated to pay Voronoi up to a maximum of</w:t>
      </w:r>
    </w:p>
    <w:p>
      <w:pPr>
        <w:ind w:right="60"/>
        <w:spacing w:after="0" w:line="265" w:lineRule="auto"/>
        <w:rPr>
          <w:sz w:val="20"/>
          <w:szCs w:val="20"/>
          <w:color w:val="auto"/>
        </w:rPr>
      </w:pPr>
      <w:r>
        <w:rPr>
          <w:rFonts w:ascii="Arial" w:cs="Arial" w:eastAsia="Arial" w:hAnsi="Arial"/>
          <w:sz w:val="17"/>
          <w:szCs w:val="17"/>
          <w:color w:val="auto"/>
        </w:rPr>
        <w:t>$111.0 million. Upon the achievement of certain commercial milestones with respect to the first licensed product, the Company is obligated to pay Voronoi up to a maximum of $225.0 million. If the Company pursues a second licensed product, the Company would pay Voronoi up to an additional</w:t>
      </w:r>
    </w:p>
    <w:p>
      <w:pPr>
        <w:spacing w:after="0"/>
        <w:rPr>
          <w:sz w:val="20"/>
          <w:szCs w:val="20"/>
          <w:color w:val="auto"/>
        </w:rPr>
      </w:pPr>
      <w:r>
        <w:rPr>
          <w:rFonts w:ascii="Arial" w:cs="Arial" w:eastAsia="Arial" w:hAnsi="Arial"/>
          <w:sz w:val="16"/>
          <w:szCs w:val="16"/>
          <w:color w:val="auto"/>
        </w:rPr>
        <w:t>$272.0 million in success-based milestones. In addition, the Company is obligated to pay royalties on net sales of licensed products in the ORIC Territory.</w:t>
      </w:r>
    </w:p>
    <w:p>
      <w:pPr>
        <w:spacing w:after="0" w:line="126"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70"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76"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specific identifiable asset related to EGFR and HER2. Further, as the asset was in early development at the time the license was acquired, the Company concluded that there was no alternative future use for the asset and recorded a charge to acquired in process research and development expense of $11.8 million at the closing of the transaction in October 2020, which consisted of the $5.0 million cash payment plus the $6.8 million value assigned to the shares issued in connection with Voronoi License Agreement.</w:t>
      </w:r>
    </w:p>
    <w:p>
      <w:pPr>
        <w:spacing w:after="0" w:line="7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Lab equipment</w:t>
            </w:r>
          </w:p>
        </w:tc>
        <w:tc>
          <w:tcPr>
            <w:tcW w:w="6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4,612</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1,710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Furniture and fixtures</w:t>
            </w:r>
          </w:p>
        </w:tc>
        <w:tc>
          <w:tcPr>
            <w:tcW w:w="6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6,683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(4,714)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(4,485)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5. Accrued Liabilities</w:t>
            </w: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2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5140" w:type="dxa"/>
            <w:vAlign w:val="bottom"/>
            <w:gridSpan w:val="3"/>
          </w:tcPr>
          <w:p>
            <w:pPr>
              <w:ind w:left="580"/>
              <w:spacing w:after="0"/>
              <w:rPr>
                <w:sz w:val="20"/>
                <w:szCs w:val="20"/>
                <w:color w:val="auto"/>
              </w:rPr>
            </w:pPr>
            <w:r>
              <w:rPr>
                <w:rFonts w:ascii="Arial" w:cs="Arial" w:eastAsia="Arial" w:hAnsi="Arial"/>
                <w:sz w:val="18"/>
                <w:szCs w:val="18"/>
                <w:color w:val="auto"/>
                <w:w w:val="96"/>
              </w:rPr>
              <w:t>Accrued liabilities consisted of the following (in thousands):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5"/>
              </w:rPr>
              <w:t>December 31, 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clinical and manufacturing costs</w:t>
            </w:r>
          </w:p>
        </w:tc>
        <w:tc>
          <w:tcPr>
            <w:tcW w:w="6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Lease liabilities - short-term</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 accruals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 - short-term</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rPr>
              <w:t>Total accrued liabilities</w:t>
            </w:r>
          </w:p>
        </w:tc>
        <w:tc>
          <w:tcPr>
            <w:tcW w:w="6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Short-Term Investments</w:t>
      </w:r>
    </w:p>
    <w:p>
      <w:pPr>
        <w:spacing w:after="0" w:line="12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 Company’s investment policy defines allowable investments and establishes guidelines relating to credit quality, diversification, and maturities of its investments to preserve principal and maintain liquidity. In accordance with the Company’s investment policy, it has invested funds in available-for-sale securities as of March 31, 2021 and December 31, 2020.</w:t>
      </w:r>
    </w:p>
    <w:p>
      <w:pPr>
        <w:spacing w:after="0" w:line="76"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cost, gross unrealized holding gains, gross unrealized holding losses and fair value of available-for-sale investments by types and classes of security at March 31, 2021 and December 31, 2020 consisted of the following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w w:val="90"/>
              </w:rPr>
              <w:t>At March 31, 2021</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Unrealized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16"/>
              <w:spacing w:after="0" w:line="125"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296"/>
              <w:spacing w:after="0" w:line="125"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500"/>
              <w:spacing w:after="0" w:line="125"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173,916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tcBorders>
              <w:bottom w:val="single" w:sz="8" w:color="CFF0FC"/>
            </w:tcBorders>
            <w:gridSpan w:val="3"/>
          </w:tcPr>
          <w:p>
            <w:pPr>
              <w:ind w:left="4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173,916</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173,933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3"/>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At December 31, 2020</w:t>
            </w: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gridSpan w:val="3"/>
          </w:tcPr>
          <w:p>
            <w:pPr>
              <w:ind w:left="220"/>
              <w:spacing w:after="0"/>
              <w:rPr>
                <w:sz w:val="20"/>
                <w:szCs w:val="20"/>
                <w:color w:val="auto"/>
              </w:rPr>
            </w:pPr>
            <w:r>
              <w:rPr>
                <w:rFonts w:ascii="Arial" w:cs="Arial" w:eastAsia="Arial" w:hAnsi="Arial"/>
                <w:sz w:val="18"/>
                <w:szCs w:val="18"/>
                <w:color w:val="auto"/>
              </w:rPr>
              <w:t>U.S. treasury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215,185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FF0FC"/>
              <w:bottom w:val="single" w:sz="8" w:color="CFF0FC"/>
            </w:tcBorders>
            <w:gridSpan w:val="3"/>
            <w:shd w:val="clear" w:color="auto" w:fill="CFF0FC"/>
          </w:tcPr>
          <w:p>
            <w:pPr>
              <w:ind w:left="4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The Company reviews its investments to identify and evaluate investments that have an indication of possible other-than-temporary impairment. Factors considered in determining whether a loss is other-than-temporary include the length of time and extent to which fair value has been less than the cost basis, the financial condition and near-term prospects of the investee, and the Company’s intent and ability to hold the investment for a period of time sufficient to allow for any anticipated recovery in market value. These securities have not been in a continuous loss position for more than 12 months. Further, the Company does not generally intend to sell these investments and it is not more likely than not that the Company will be required to sell these investments before recovery of their amortized cost basis which may be at maturity.</w:t>
      </w:r>
    </w:p>
    <w:p>
      <w:pPr>
        <w:spacing w:after="0" w:line="178"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None of the Company’s available-for-sale investments had maturities of greater than 12 months at March 31, 2021 and December 31, 2020. The Company has determined that there were no material declines in fair value of its investments due to credit-related factors as of March 31, 2021 and December 31, 2020.</w:t>
      </w:r>
    </w:p>
    <w:p>
      <w:pPr>
        <w:spacing w:after="0" w:line="7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29"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 short-term nature of these instruments. The Company’s investments, which may include money market funds and available-for-sale investment securities consisting of U.S. treasury securities, and high-quality, marketable debt instruments of corporations and government sponsored enterprises, are measured at fair value in accordance with the fair value hierarchy.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right="580" w:firstLine="749"/>
        <w:spacing w:after="0" w:line="277" w:lineRule="auto"/>
        <w:rPr>
          <w:sz w:val="20"/>
          <w:szCs w:val="20"/>
          <w:color w:val="auto"/>
        </w:rPr>
      </w:pPr>
      <w:r>
        <w:rPr>
          <w:rFonts w:ascii="Arial" w:cs="Arial" w:eastAsia="Arial" w:hAnsi="Arial"/>
          <w:sz w:val="18"/>
          <w:szCs w:val="18"/>
          <w:color w:val="auto"/>
        </w:rPr>
        <w:t>Following are the major categories of assets measured at fair value on a recurring basis as of March 31, 2021 and December 31, 2020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gridSpan w:val="11"/>
          </w:tcPr>
          <w:p>
            <w:pPr>
              <w:ind w:left="640"/>
              <w:spacing w:after="0"/>
              <w:rPr>
                <w:sz w:val="20"/>
                <w:szCs w:val="20"/>
                <w:color w:val="auto"/>
              </w:rPr>
            </w:pPr>
            <w:r>
              <w:rPr>
                <w:rFonts w:ascii="Arial" w:cs="Arial" w:eastAsia="Arial" w:hAnsi="Arial"/>
                <w:sz w:val="14"/>
                <w:szCs w:val="14"/>
                <w:b w:val="1"/>
                <w:bCs w:val="1"/>
                <w:color w:val="auto"/>
              </w:rPr>
              <w:t>Fair Value Measurement at End of Period Using: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89"/>
              </w:rPr>
              <w:t>Quoted</w:t>
            </w: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center"/>
              <w:ind w:right="18"/>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rPr>
              <w:t>Market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Price for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At March 31, 2021</w:t>
            </w:r>
          </w:p>
        </w:tc>
        <w:tc>
          <w:tcPr>
            <w:tcW w:w="5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gridSpan w:val="3"/>
          </w:tcPr>
          <w:p>
            <w:pPr>
              <w:ind w:left="2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104,208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104,208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173,933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FF0FC"/>
            </w:tcBorders>
            <w:gridSpan w:val="3"/>
          </w:tcPr>
          <w:p>
            <w:pPr>
              <w:ind w:left="48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278,141</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278,141</w:t>
            </w:r>
          </w:p>
        </w:tc>
        <w:tc>
          <w:tcPr>
            <w:tcW w:w="2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278,141</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560" w:type="dxa"/>
            <w:vAlign w:val="bottom"/>
            <w:gridSpan w:val="3"/>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At December 31, 2020</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gridSpan w:val="3"/>
          </w:tcPr>
          <w:p>
            <w:pPr>
              <w:ind w:left="2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78,446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-1010920</wp:posOffset>
            </wp:positionV>
            <wp:extent cx="28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-393700</wp:posOffset>
            </wp:positionV>
            <wp:extent cx="28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ind w:left="760" w:right="4100" w:firstLine="733"/>
        <w:spacing w:after="0" w:line="448" w:lineRule="auto"/>
        <w:tabs>
          <w:tab w:leader="none" w:pos="1995" w:val="left"/>
        </w:tabs>
        <w:numPr>
          <w:ilvl w:val="1"/>
          <w:numId w:val="11"/>
        </w:numPr>
        <w:rPr>
          <w:rFonts w:ascii="Arial" w:cs="Arial" w:eastAsia="Arial" w:hAnsi="Arial"/>
          <w:sz w:val="12"/>
          <w:szCs w:val="12"/>
          <w:color w:val="auto"/>
        </w:rPr>
      </w:pPr>
      <w:r>
        <w:rPr>
          <w:rFonts w:ascii="Arial" w:cs="Arial" w:eastAsia="Arial" w:hAnsi="Arial"/>
          <w:sz w:val="15"/>
          <w:szCs w:val="15"/>
          <w:color w:val="auto"/>
        </w:rPr>
        <w:t>Included in cash and cash equivalents in accompanying balance sheets. No transfers between levels occurred during either of the reporting periods presented.</w:t>
      </w: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Plans and Stock-Based Compensation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2021, there were 2,174,521 shares available for future issuance under the 2020 Equity Incentive Plan.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option activity for the three months ended March 31,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Term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3,996,174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1,105,667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19.06</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5,067,230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612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5,067,230</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2,658,953</w:t>
            </w:r>
          </w:p>
        </w:tc>
        <w:tc>
          <w:tcPr>
            <w:tcW w:w="24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19,278,606</w:t>
            </w:r>
          </w:p>
        </w:tc>
        <w:tc>
          <w:tcPr>
            <w:tcW w:w="240" w:type="dxa"/>
            <w:vAlign w:val="bottom"/>
          </w:tcPr>
          <w:p>
            <w:pPr>
              <w:spacing w:after="0"/>
              <w:rPr>
                <w:sz w:val="19"/>
                <w:szCs w:val="19"/>
                <w:color w:val="auto"/>
              </w:rPr>
            </w:pPr>
          </w:p>
        </w:tc>
      </w:tr>
      <w:tr>
        <w:trPr>
          <w:trHeight w:val="223"/>
        </w:trPr>
        <w:tc>
          <w:tcPr>
            <w:tcW w:w="6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5,067,230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21,937,559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fair value of stock option awards to employees, executives, directors, and other service providers was estimated at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Merton option pricing model with the following assumptions: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1520" w:type="dxa"/>
            <w:vAlign w:val="bottom"/>
            <w:tcBorders>
              <w:bottom w:val="single" w:sz="8" w:color="auto"/>
            </w:tcBorders>
          </w:tcPr>
          <w:p>
            <w:pPr>
              <w:spacing w:after="0"/>
              <w:rPr>
                <w:sz w:val="14"/>
                <w:szCs w:val="14"/>
                <w:color w:val="auto"/>
              </w:rPr>
            </w:pPr>
          </w:p>
        </w:tc>
      </w:tr>
      <w:tr>
        <w:trPr>
          <w:trHeight w:val="156"/>
        </w:trPr>
        <w:tc>
          <w:tcPr>
            <w:tcW w:w="3700" w:type="dxa"/>
            <w:vAlign w:val="bottom"/>
            <w:tcBorders>
              <w:bottom w:val="single" w:sz="8" w:color="CFF0FC"/>
            </w:tcBorders>
          </w:tcPr>
          <w:p>
            <w:pPr>
              <w:spacing w:after="0"/>
              <w:rPr>
                <w:sz w:val="13"/>
                <w:szCs w:val="13"/>
                <w:color w:val="auto"/>
              </w:rPr>
            </w:pPr>
          </w:p>
        </w:tc>
        <w:tc>
          <w:tcPr>
            <w:tcW w:w="26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873"/>
              <w:spacing w:after="0" w:line="155" w:lineRule="exact"/>
              <w:rPr>
                <w:sz w:val="20"/>
                <w:szCs w:val="20"/>
                <w:color w:val="auto"/>
              </w:rPr>
            </w:pPr>
            <w:r>
              <w:rPr>
                <w:rFonts w:ascii="Arial" w:cs="Arial" w:eastAsia="Arial" w:hAnsi="Arial"/>
                <w:sz w:val="14"/>
                <w:szCs w:val="14"/>
                <w:b w:val="1"/>
                <w:bCs w:val="1"/>
                <w:color w:val="auto"/>
                <w:w w:val="89"/>
              </w:rPr>
              <w:t>2020</w:t>
            </w: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$35.67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853"/>
              <w:spacing w:after="0"/>
              <w:rPr>
                <w:sz w:val="20"/>
                <w:szCs w:val="20"/>
                <w:color w:val="auto"/>
              </w:rPr>
            </w:pPr>
            <w:r>
              <w:rPr>
                <w:rFonts w:ascii="Arial" w:cs="Arial" w:eastAsia="Arial" w:hAnsi="Arial"/>
                <w:sz w:val="18"/>
                <w:szCs w:val="18"/>
                <w:color w:val="auto"/>
                <w:w w:val="99"/>
              </w:rPr>
              <w:t>—</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380" w:type="dxa"/>
            <w:vAlign w:val="bottom"/>
          </w:tcPr>
          <w:p>
            <w:pPr>
              <w:ind w:left="20"/>
              <w:spacing w:after="0"/>
              <w:rPr>
                <w:sz w:val="20"/>
                <w:szCs w:val="20"/>
                <w:color w:val="auto"/>
              </w:rPr>
            </w:pPr>
            <w:r>
              <w:rPr>
                <w:rFonts w:ascii="Arial" w:cs="Arial" w:eastAsia="Arial" w:hAnsi="Arial"/>
                <w:sz w:val="18"/>
                <w:szCs w:val="18"/>
                <w:color w:val="auto"/>
              </w:rPr>
              <w:t>- 0.9%</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jc w:val="center"/>
              <w:ind w:right="853"/>
              <w:spacing w:after="0"/>
              <w:rPr>
                <w:sz w:val="20"/>
                <w:szCs w:val="20"/>
                <w:color w:val="auto"/>
              </w:rPr>
            </w:pPr>
            <w:r>
              <w:rPr>
                <w:rFonts w:ascii="Arial" w:cs="Arial" w:eastAsia="Arial" w:hAnsi="Arial"/>
                <w:sz w:val="18"/>
                <w:szCs w:val="18"/>
                <w:color w:val="auto"/>
                <w:w w:val="99"/>
              </w:rPr>
              <w:t>—</w:t>
            </w: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w:t>
            </w:r>
          </w:p>
        </w:tc>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- 88.43%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853"/>
              <w:spacing w:after="0"/>
              <w:rPr>
                <w:sz w:val="20"/>
                <w:szCs w:val="20"/>
                <w:color w:val="auto"/>
              </w:rPr>
            </w:pPr>
            <w:r>
              <w:rPr>
                <w:rFonts w:ascii="Arial" w:cs="Arial" w:eastAsia="Arial" w:hAnsi="Arial"/>
                <w:sz w:val="18"/>
                <w:szCs w:val="18"/>
                <w:color w:val="auto"/>
                <w:w w:val="99"/>
              </w:rPr>
              <w:t>—</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6.08</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jc w:val="center"/>
              <w:ind w:right="853"/>
              <w:spacing w:after="0"/>
              <w:rPr>
                <w:sz w:val="20"/>
                <w:szCs w:val="20"/>
                <w:color w:val="auto"/>
              </w:rPr>
            </w:pPr>
            <w:r>
              <w:rPr>
                <w:rFonts w:ascii="Arial" w:cs="Arial" w:eastAsia="Arial" w:hAnsi="Arial"/>
                <w:sz w:val="18"/>
                <w:szCs w:val="18"/>
                <w:color w:val="auto"/>
                <w:w w:val="99"/>
              </w:rPr>
              <w:t>—</w:t>
            </w: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760" w:type="dxa"/>
            <w:vAlign w:val="bottom"/>
            <w:gridSpan w:val="4"/>
            <w:shd w:val="clear" w:color="auto" w:fill="CFF0FC"/>
          </w:tcPr>
          <w:p>
            <w:pPr>
              <w:jc w:val="center"/>
              <w:ind w:right="118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center"/>
              <w:ind w:right="853"/>
              <w:spacing w:after="0"/>
              <w:rPr>
                <w:sz w:val="20"/>
                <w:szCs w:val="20"/>
                <w:color w:val="auto"/>
              </w:rPr>
            </w:pPr>
            <w:r>
              <w:rPr>
                <w:rFonts w:ascii="Arial" w:cs="Arial" w:eastAsia="Arial" w:hAnsi="Arial"/>
                <w:sz w:val="18"/>
                <w:szCs w:val="18"/>
                <w:color w:val="auto"/>
                <w:w w:val="99"/>
              </w:rPr>
              <w:t>—</w:t>
            </w:r>
          </w:p>
        </w:tc>
      </w:tr>
    </w:tbl>
    <w:p>
      <w:pPr>
        <w:spacing w:after="0" w:line="107"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total unrecognized compensation expense related to outstanding unvested stock-based awards as of March 31, 2021, was $41.8 million, which is expected to be recognized over a weighted-average remaining service period of 2.93 years.</w:t>
      </w:r>
    </w:p>
    <w:p>
      <w:pPr>
        <w:spacing w:after="0" w:line="6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stock options for the periods presented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1120" w:type="dxa"/>
            <w:vAlign w:val="bottom"/>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1,067</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1,677</w:t>
            </w: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254</w:t>
            </w:r>
          </w:p>
        </w:tc>
        <w:tc>
          <w:tcPr>
            <w:tcW w:w="8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2,744</w:t>
            </w: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527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Company leases certain office and lab space in South San Francisco, California under a non-cancelable operating lease, with a term through May 2022, and an option to renew for an additional five-year term. The optional renewal term was not considered in the Company’s right-of-use and lease liability.</w:t>
      </w:r>
    </w:p>
    <w:p>
      <w:pPr>
        <w:spacing w:after="0" w:line="76"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In March 2019, the Company entered into a lease agreement for office space in San Diego, California under a non-cancelable operating lease with a 13-month term. In October 2019, the lease was amended to increase the office space and extend the term until May 2021. The lease was further amended in November 2020 to extend the lease term until December 2021.</w:t>
      </w:r>
    </w:p>
    <w:p>
      <w:pPr>
        <w:spacing w:after="0" w:line="76"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The operating lease right-of-use assets and liabilities on the Company’s balance sheet for the period ended March 31, 2021 related to the Company’s facility leases. Upon adoption of ASC 842, facilities leases were classified as operating leases which resulted in recording right-of-use assets and lease liabilities of approximately $1.7 million and $2.5 million, respectively, as of January 1, 2021. The right-of-use assets are recorded on the balance sheet in other assets. The lease liabilities amount was included in other current liabilities and long-term operating lease liabilities for approximately $1.9 million and $0.6 million, respectively.</w:t>
      </w:r>
    </w:p>
    <w:p>
      <w:pPr>
        <w:spacing w:after="0" w:line="80"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Certain of our facility leases require us to pay property taxes, insurance and common area maintenance. While these payments are not included as part of our lease liabilities, they are recognized as variable lease cost in the period they are incurred.</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Operating lease costs under all operating leases including office spaces for the three months ended March 31, 2021 was approximately $0.3 million. Cash paid for all operating leases for the three months ended March 31, 2021 was $0.5 million. The weighted average discount rate used was 8.2%. The weighted-average remaining lease term for all operating leases was 1.06 years.</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lease payments of operating lease liabilities as of March 31, 2021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remaining 9 months</w:t>
            </w:r>
          </w:p>
        </w:tc>
        <w:tc>
          <w:tcPr>
            <w:tcW w:w="24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2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under non-cancelable operating leases as of December 31, 2020 were as follows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tbl>
      <w:tblPr>
        <w:tblLayout w:type="fixed"/>
        <w:tblInd w:w="114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Borders>
              <w:bottom w:val="single" w:sz="8" w:color="CFF0FC"/>
            </w:tcBorders>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threatened litigation or litigation pending that could have, individually or in the aggregate,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2020 and the related Management’s Discussion and Analysis of Financial Condition and Results of Operations, both of which are contained in our Annual Report on Form 10-K for the fiscal year ended December 31, 2020, filed with the Securities and Exchange Commission on March 23, 2021.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103"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Our fully integrated discovery and development team is advancing a diverse pipeline of innovative therapies designed to counter resistance mechanisms in cancer by leveraging our expertise within three specific areas: hormone-dependent cancers, precision oncology and key tumor dependencies. Our lead product candidate, ORIC-101, builds upon a legacy of successful drug development by our founders in the field of nuclear hormone receptors and their efforts to elucidate the cause of resistance to the groundbreaking prostate cancer therapies that they had developed. ORIC-101 is a potent and selective small molecule antagonist of the glucocorticoid receptor (GR), which has been linked to resistance to multiple classes of cancer therapeutics across a variety of solid tumors. In 2019, we initiated two separate Phase 1b trials of ORIC-101 in combination with (1) Xtandi (enzalutamide) in metastatic prostate cancer and (2) Abraxane (nab-paclitaxel) in advanced or metastatic solid tumors. In December 2020, we selected the recommend Phase 2 dose (RP2D) and initiated the dose expansion portion of the Phase 1b trial of ORIC-101 in combination with nab-paclitaxel and we expect to report interim safety, efficacy, and translational data from this trial in the second quarter of 2021. In January 2021, we selected the RP2D and initiated the dose expansion portion of the Phase 1b trial of ORIC-101 in combination with enzalutamide and we expect to report interim safety, efficacy, and translational data from this trial in the second half of 2021. Our other product candidates include (1) ORIC-533, an orally bioavailable small molecule inhibitor of CD73, a key node in the adenosine pathway believed to play a central role in resistance to chemotherapy- and immunotherapy-based treatment regimens,</w:t>
      </w:r>
    </w:p>
    <w:p>
      <w:pPr>
        <w:spacing w:after="0" w:line="3" w:lineRule="exact"/>
        <w:rPr>
          <w:sz w:val="20"/>
          <w:szCs w:val="20"/>
          <w:color w:val="auto"/>
        </w:rPr>
      </w:pPr>
    </w:p>
    <w:p>
      <w:pPr>
        <w:ind w:right="40" w:firstLine="8"/>
        <w:spacing w:after="0" w:line="26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and (3) 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We expect to file an investigational new drug application (IND) with the U.S. Food and Drug Administration (FDA) for ORIC-533 in the second quarter of 2021, an IND for ORIC-944 in the second half of 2021 and a Clinical Trial Application (CTA) for ORIC-114 in the second half of 2021. Beyond these product candidates, we are developing multiple precision medicines targeting other hallmark cancer resistance mechanisms.</w:t>
      </w:r>
    </w:p>
    <w:p>
      <w:pPr>
        <w:spacing w:after="0" w:line="75"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Since our inception in 2014,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incurred significant losses since the commencement of our operations. Our net loss for the three months ended March 31, 2021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$16.5 million and we had an accumulated deficit of $182.9 million as of March 31, 2021. Our losses and accumulated deficit have resulted primarily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incurred in connection with research and development activities including in-licensing and to a lesser extent from general and administrative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operations. We expect to incur significant losses for the foreseeable future, and we anticipate these losses will increase significantly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continue our development of ORIC-101, ORIC-533, ORIC-944, ORIC-114 and any future product candidates from discovery through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into clinical trials as we seek regulatory approval for these product candidates. Our net losses may fluctuate significantly from period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depending on the timing of and expenditures on our planned research and development activities.</w:t>
      </w:r>
    </w:p>
    <w:p>
      <w:pPr>
        <w:spacing w:after="0" w:line="103"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Beginning the week of March 16, 2020, the majority of our workforce began working from home. Disruptions caused by the COVID-19 pandemic, including the effects of the stay-at-home orders and work-from-home policies, have impacted productivity, have resulted in increased operational expenses, certain adjustments to the operations of our clinical trials, the suspension of enrollment of new patients at certain of our clinical trial sites, and delays in certain supply chain activities and collecting and analyzing data from patients in our clinical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t>trials, and may further disrupt our business and delay our development programs and regulatory timelines, the magnitude of which will depend, in part, on the length and severity of the restrictions and other limitations on our ability to conduct business in the ordinary course. As a result, research and 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7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On April 28, 2020, we completed our IPO of our common stock. In connection with our IPO, we issued and sold 8,625,000 shares of our common stock, including 1,125,000 shares associated with the full exercise of the underwriters’ option to purchase additional shares, at a price to the public of $16.00 per share resulting in gross proceeds of $138.0 million. After deducting underwriting discounts and commissions and other offering expenses of $12.8 million, the net proceeds we received from our IPO were approximately $125.2 million.</w:t>
      </w:r>
    </w:p>
    <w:p>
      <w:pPr>
        <w:spacing w:after="0" w:line="79"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On November 17, 2020, we completed a public offering of our common stock. In connection with this offering, we issued and sold 5,796,000 shares of our common stock, including 756,000 associated with the full exercise of the underwriters’ option to purchase additional shares, at a price to the public of $23.00 per share resulting in gross proceeds of $133.3 million before deducting underwriting discounts and commissions and estimated offering expenses. After deducting underwriting discounts and commissions and other offering expenses of $8.5 million, the net proceeds we received from the transaction were approximately $124.8 million.</w:t>
      </w:r>
    </w:p>
    <w:p>
      <w:pPr>
        <w:spacing w:after="0" w:line="8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In the third and fourth quarter of 2020, we entered into license agreements with Mirati and Voronoi, respectively. As consideration for the license granted under the Mirati License Agreement, we issued to Mirati 588,235 shares of our common stock in August 2020. As consideration for the license granted under the Voronoi License Agreement, we made a one-time $5.0 million cash payment in November 2020 and issued 283,259 shares of our common stock to Voronoi in October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17" w:lineRule="exact"/>
        <w:rPr>
          <w:sz w:val="20"/>
          <w:szCs w:val="20"/>
          <w:color w:val="auto"/>
        </w:rPr>
      </w:pPr>
    </w:p>
    <w:p>
      <w:pPr>
        <w:ind w:left="1260" w:right="80" w:hanging="510"/>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62" w:lineRule="exact"/>
        <w:rPr>
          <w:rFonts w:ascii="Arial" w:cs="Arial" w:eastAsia="Arial" w:hAnsi="Arial"/>
          <w:sz w:val="18"/>
          <w:szCs w:val="18"/>
          <w:color w:val="auto"/>
        </w:rPr>
      </w:pPr>
    </w:p>
    <w:p>
      <w:pPr>
        <w:ind w:left="1260" w:right="440" w:hanging="510"/>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62" w:lineRule="exact"/>
        <w:rPr>
          <w:rFonts w:ascii="Arial" w:cs="Arial" w:eastAsia="Arial" w:hAnsi="Arial"/>
          <w:sz w:val="18"/>
          <w:szCs w:val="18"/>
          <w:color w:val="auto"/>
        </w:rPr>
      </w:pPr>
    </w:p>
    <w:p>
      <w:pPr>
        <w:ind w:left="1260" w:right="380" w:hanging="510"/>
        <w:spacing w:after="0" w:line="342"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15" w:lineRule="exact"/>
        <w:rPr>
          <w:rFonts w:ascii="Arial" w:cs="Arial" w:eastAsia="Arial" w:hAnsi="Arial"/>
          <w:sz w:val="16"/>
          <w:szCs w:val="16"/>
          <w:color w:val="auto"/>
        </w:rPr>
      </w:pPr>
    </w:p>
    <w:p>
      <w:pPr>
        <w:ind w:left="1260" w:hanging="51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4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9" w:lineRule="exact"/>
        <w:rPr>
          <w:sz w:val="20"/>
          <w:szCs w:val="20"/>
          <w:color w:val="auto"/>
        </w:rPr>
      </w:pPr>
    </w:p>
    <w:p>
      <w:pPr>
        <w:ind w:right="800" w:firstLine="749"/>
        <w:spacing w:after="0" w:line="277"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62"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79"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firstLine="749"/>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00" w:lineRule="exact"/>
        <w:rPr>
          <w:sz w:val="20"/>
          <w:szCs w:val="20"/>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17"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retaining research and development personnel;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260" w:right="640" w:hanging="510"/>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 We also anticipate increased expenses relating to accounting, audit, legal, regulatory, compliance, director and officer insurance and investor and public relations costs associated with operating as a public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117" w:lineRule="exact"/>
        <w:rPr>
          <w:sz w:val="20"/>
          <w:szCs w:val="20"/>
          <w:color w:val="auto"/>
        </w:rPr>
      </w:pPr>
    </w:p>
    <w:p>
      <w:pPr>
        <w:ind w:right="600" w:firstLine="749"/>
        <w:spacing w:after="0" w:line="263" w:lineRule="auto"/>
        <w:rPr>
          <w:sz w:val="20"/>
          <w:szCs w:val="20"/>
          <w:color w:val="auto"/>
        </w:rPr>
      </w:pPr>
      <w:r>
        <w:rPr>
          <w:rFonts w:ascii="Arial" w:cs="Arial" w:eastAsia="Arial" w:hAnsi="Arial"/>
          <w:sz w:val="18"/>
          <w:szCs w:val="18"/>
          <w:color w:val="auto"/>
        </w:rPr>
        <w:t>Interest income, net primarily consists of interest income generated from our investments in interest-bearing money market accounts and marketable securities. Other income historically had consisted of rental income from the sub-leasing of a portion of our office space in South San Francisco, California. In August 2020, this sublease expired and we reclaimed the space at that time.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11,697</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7,254</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(16,509)</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(8,872)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Research and development expenses were $11.7 million for the three months ended March 31, 2021, compared to $7.3 million for the three months ended March 31, 2020, an increase of $4.4 million. The increase was primarily driven by an increase in external expenses related to the advancement of our ORIC-101 program and our other product candidates of $3.6 million, as well as higher personnel costs, including additional non-cash stock-based compensation of $0.8 million for the three months ended March 31, 2021, as compared to the same period in 2020.</w:t>
      </w:r>
    </w:p>
    <w:p>
      <w:pPr>
        <w:spacing w:after="0" w:line="63"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track external research and development costs by program, clinical or preclinical. External research and development expenses consist of payments to outside consultants, CROs, CMOs, clinical trial sites and central laboratories in connection with our discovery and preclinical activities, process development, clinical manufacturing and clinical development activities. External costs also include laboratory supplies as well as allocated facilities, depreciation and other expenses. Included in preclinical and other unallocated costs are external corporate overhead costs that are not specific to any one program.</w:t>
      </w:r>
    </w:p>
    <w:p>
      <w:pPr>
        <w:spacing w:after="0" w:line="8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do not track internal costs by program because these costs are deployed across multiple programs and, as such, are not separately classified. Internal costs consist of employee-related costs including salaries, related benefits and non-cash stock-based compensation expense for employees engaged in research and development functions, which are not tracked by product candidate as several of our departments support multiple product candidate research and development programs.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external and internal costs for the three months ended March 31, 2021 and 2020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38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20"/>
                <w:szCs w:val="20"/>
                <w:color w:val="auto"/>
              </w:rPr>
            </w:pPr>
          </w:p>
        </w:tc>
        <w:tc>
          <w:tcPr>
            <w:tcW w:w="110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Changes</w:t>
            </w:r>
          </w:p>
        </w:tc>
      </w:tr>
      <w:tr>
        <w:trPr>
          <w:trHeight w:val="223"/>
        </w:trPr>
        <w:tc>
          <w:tcPr>
            <w:tcW w:w="38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External costs:</w:t>
            </w:r>
          </w:p>
        </w:tc>
        <w:tc>
          <w:tcPr>
            <w:tcW w:w="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ORIC-101</w:t>
            </w:r>
          </w:p>
        </w:tc>
        <w:tc>
          <w:tcPr>
            <w:tcW w:w="15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3,077</w:t>
            </w:r>
          </w:p>
        </w:tc>
        <w:tc>
          <w:tcPr>
            <w:tcW w:w="110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1,295</w:t>
            </w:r>
          </w:p>
        </w:tc>
        <w:tc>
          <w:tcPr>
            <w:tcW w:w="22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Preclinical and other unallocated costs</w:t>
            </w:r>
          </w:p>
        </w:tc>
        <w:tc>
          <w:tcPr>
            <w:tcW w:w="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2,664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external costs</w:t>
            </w:r>
          </w:p>
        </w:tc>
        <w:tc>
          <w:tcPr>
            <w:tcW w:w="7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Internal costs</w:t>
            </w:r>
          </w:p>
        </w:tc>
        <w:tc>
          <w:tcPr>
            <w:tcW w:w="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3,295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11,697</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7,254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General and administrative expenses were $4.9 million for the three months ended March 31, 2021, compared to $1.9 million for the three months ended March 31, 2020, an increase of $3.0 million. The increase was primarily due to higher personnel costs, including additional non-cash stock-based compensation of $1.4 million for the three months ended March 31, 2021, as compared to the same period in 2020, and higher professional services and related costs to operate as a public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On April 28, 2020, we completed our IPO. In connection with our IPO, we issued and sold 8,625,000 shares of our common stock at a price to the public of $16.00 per share resulting in gross proceeds of $138.0 million before deducting underwriting discounts and commissions and other offering expenses.</w:t>
      </w:r>
    </w:p>
    <w:p>
      <w:pPr>
        <w:spacing w:after="0" w:line="76"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On November 17, 2020, we completed our follow-on offering of our common stock. In connection with our follow-on offering, we issued and sold 5,796,000 shares of our common stock at a price to the public of $23.00 per share, resulting in gross proceeds of $133.3 million before deducting underwriting discounts and commissions and other offering expenses.</w:t>
      </w:r>
    </w:p>
    <w:p>
      <w:pPr>
        <w:spacing w:after="0" w:line="76"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Prior to our IPO, we funded our operations primarily with proceeds from the sale of convertible preferred stock resulting in total net proceeds of approximately $178.1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70" w:lineRule="exact"/>
        <w:rPr>
          <w:sz w:val="20"/>
          <w:szCs w:val="20"/>
          <w:color w:val="auto"/>
        </w:rPr>
      </w:pPr>
    </w:p>
    <w:p>
      <w:pPr>
        <w:ind w:left="1260" w:hanging="51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62" w:lineRule="exact"/>
        <w:rPr>
          <w:rFonts w:ascii="Arial" w:cs="Arial" w:eastAsia="Arial" w:hAnsi="Arial"/>
          <w:sz w:val="18"/>
          <w:szCs w:val="18"/>
          <w:color w:val="auto"/>
        </w:rPr>
      </w:pPr>
    </w:p>
    <w:p>
      <w:pPr>
        <w:ind w:left="1260" w:right="420" w:hanging="510"/>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expect our current cash, cash equivalents and short-term investments will be sufficient to fund our current operating plan into the second half of 2023.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1" w:name="page22"/>
    <w:bookmarkEnd w:id="21"/>
    <w:p>
      <w:pPr>
        <w:ind w:right="20" w:firstLine="749"/>
        <w:spacing w:after="0" w:line="279"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77" w:lineRule="exact"/>
        <w:rPr>
          <w:sz w:val="20"/>
          <w:szCs w:val="20"/>
          <w:color w:val="auto"/>
        </w:rPr>
      </w:pPr>
    </w:p>
    <w:p>
      <w:pPr>
        <w:ind w:left="1260" w:hanging="510"/>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260" w:right="240" w:hanging="510"/>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17" w:lineRule="exact"/>
        <w:rPr>
          <w:rFonts w:ascii="Arial" w:cs="Arial" w:eastAsia="Arial" w:hAnsi="Arial"/>
          <w:sz w:val="18"/>
          <w:szCs w:val="18"/>
          <w:color w:val="auto"/>
        </w:rPr>
      </w:pPr>
    </w:p>
    <w:p>
      <w:pPr>
        <w:ind w:left="1260" w:right="300" w:hanging="510"/>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76"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618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(1,627)</w:t>
            </w:r>
          </w:p>
        </w:tc>
      </w:tr>
      <w:tr>
        <w:trPr>
          <w:trHeight w:val="223"/>
        </w:trPr>
        <w:tc>
          <w:tcPr>
            <w:tcW w:w="618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cash used in operating activities during the three months ended March 31, 2021 of $14.9 million was attributable to our net loss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$16.5 million and a net decrease in working capital of $1.8 million primarily related to a decrease in accrued compensation, offset by non-cash expenses of $3.3 million, which is mainly driven by stock-based compensation.</w:t>
      </w:r>
    </w:p>
    <w:p>
      <w:pPr>
        <w:spacing w:after="0" w:line="77" w:lineRule="exact"/>
        <w:rPr>
          <w:sz w:val="20"/>
          <w:szCs w:val="20"/>
          <w:color w:val="auto"/>
        </w:rPr>
      </w:pPr>
    </w:p>
    <w:p>
      <w:pPr>
        <w:ind w:right="500" w:firstLine="749"/>
        <w:spacing w:after="0" w:line="263" w:lineRule="auto"/>
        <w:rPr>
          <w:sz w:val="20"/>
          <w:szCs w:val="20"/>
          <w:color w:val="auto"/>
        </w:rPr>
      </w:pPr>
      <w:r>
        <w:rPr>
          <w:rFonts w:ascii="Arial" w:cs="Arial" w:eastAsia="Arial" w:hAnsi="Arial"/>
          <w:sz w:val="18"/>
          <w:szCs w:val="18"/>
          <w:color w:val="auto"/>
        </w:rPr>
        <w:t>Net cash used in operating activities during the period ended March 31, 2020 of $8.3 million was primarily attributable to our net loss of $8.9 million, adjusted for addbacks for non-cash expenses of $0.8 million, which includes stock-based compensation of $0.5 million, depreciation of $0.3 million and a net decrease in working capital of $0.2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2021 of $40.6 million was primarily attributable to sales and maturities of investments of $40.8 million, net of purchases.</w:t>
      </w:r>
    </w:p>
    <w:p>
      <w:pPr>
        <w:spacing w:after="0" w:line="62"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Net cash provided by investing activities during the period March 31, 2020 of $0.2 million was primarily attributable to proceeds from a notes receivable, partially offset by the purchase of property and equipment.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Net cash provided by financing activities was less than $0.1 million for three months ended March 31, 2021, primarily consisting of net proceeds received from stock option exercises.</w:t>
      </w:r>
    </w:p>
    <w:p>
      <w:pPr>
        <w:spacing w:after="0" w:line="62"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Net cash used in financing activities during the period ended March 31, 2020 was $1.6 million, primarily attributable to deferred financing costs in connection with our IPO.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We do not currently have, nor did we have any off-balance sheet arrangements, as defined in the rules and regulations of the SEC, during the periods presented</w:t>
      </w:r>
      <w:r>
        <w:rPr>
          <w:rFonts w:ascii="Arial" w:cs="Arial" w:eastAsia="Arial" w:hAnsi="Arial"/>
          <w:sz w:val="18"/>
          <w:szCs w:val="18"/>
          <w:color w:val="231F20"/>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17" w:lineRule="exact"/>
        <w:rPr>
          <w:sz w:val="20"/>
          <w:szCs w:val="20"/>
          <w:color w:val="auto"/>
        </w:rPr>
      </w:pPr>
    </w:p>
    <w:p>
      <w:pPr>
        <w:ind w:right="80" w:firstLine="749"/>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2020. For a description of changes to our critical accounting policies, please refer to Note 2 in the unaudited financial statements included elsewhere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unaudited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EGCs that elect to take advantage of the extended transition period.</w:t>
      </w:r>
    </w:p>
    <w:p>
      <w:pPr>
        <w:spacing w:after="0" w:line="49" w:lineRule="exact"/>
        <w:rPr>
          <w:sz w:val="20"/>
          <w:szCs w:val="20"/>
          <w:color w:val="auto"/>
        </w:rPr>
      </w:pPr>
    </w:p>
    <w:p>
      <w:pPr>
        <w:ind w:right="660" w:firstLine="74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and commercial paper, all with various maturity dates. As of March 31, 2021, we had cash equivalents and short-term investments of $278.1 million, consisting of interest-bearing money market funds and securities issued by the U.S. Treasury. Due to the nature of our cash equivalents and short-term investments, an immediate 100 basis point change in interest rates would not have a material effect on the fair market value of our cash and cash equivalents.</w:t>
      </w:r>
    </w:p>
    <w:p>
      <w:pPr>
        <w:spacing w:after="0" w:line="60"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March 31, 2021,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March 31,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March 31, 2021 that has materially affected, or is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60" w:hanging="51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past and anticipated future net losses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related to our ability to generate revenue and achieve profitability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for substantial additional capital to finance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 of our product candidates</w:t>
      </w:r>
    </w:p>
    <w:p>
      <w:pPr>
        <w:spacing w:after="0" w:line="121" w:lineRule="exact"/>
        <w:rPr>
          <w:sz w:val="20"/>
          <w:szCs w:val="20"/>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dependence on ORIC-101</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challenges in discovering, developing and commercializing additional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in regulatory approval processes and product candidate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that may fail to satisfactorily demonstrate safety and efficacy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that may cause significant adverse events, toxicities or other undesirable side effects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clinical trial results and challenges related to FDA, EMA and other regulatory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audits and verification procedures of our clinical trial data</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due to third parties investigating the same product candidates as us in different territories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delays or difficulties in enrollment and/or maintenance of patients in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develop effective companion diagnostic tests for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difficulties in developing ORIC-101 and other potential programs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profitability challenges related to our focus on developing ORIC-101 for particular indications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competition in the markets in which we operate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difficulties encountered by our third-party manufacturers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methods of product candidate manufacturing or formulation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inacceptance of our product candidates in the medical community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market opportunities for ORIC-101 and other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augment our product pipeline through acquisitions and in-licenses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for unfavorable third-party coverage and reimbursement practices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of our product liability and insurance coverage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121" w:lineRule="exact"/>
        <w:rPr>
          <w:sz w:val="20"/>
          <w:szCs w:val="20"/>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our ability to obtain regulatory approval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FDA, EMA and other regulatory authorities’ inacceptance of data from trials conducted outside their jurisdiction</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and maintain regulatory approval of our product candidates in various jurisdictions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burdens related to post-marketing regulatory requirements and oversight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FDA approval of required companion diagnostic tests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our ability to obtain Fast Track designation from the FDA for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to our ability to obtain orphan drug designation or maintain orphan drug exclusivity for our product candidates</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delays or barriers to secure approval for accelerated registration pathways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current regulations and future legislation that impact us adversely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funding of regulatory agencies that may hinder timely product development or commercialization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misconduct or noncompliance with regulatory standards by our employees and certain third parties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U.S. healthcare laws and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environmental, health and safety laws and regulations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potential incompliance with anti-bribery, anti-corruption, export, trade sanctions and import laws or regulations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121" w:lineRule="exact"/>
        <w:rPr>
          <w:sz w:val="20"/>
          <w:szCs w:val="20"/>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to our ability to attract and retain highly skilled executive officers and employees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our ability to sell or market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grow and manage growth of our organization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or data privacy breaches of our internal systems or those of commercial third parties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and other catastrophic events that may cause damage or disruption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investigation of two of our officers by the Securities and Exchange Commission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use our net operating losses and tax credits to offset future taxable income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federal income tax reform and additional effort and expenses incurred as a result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related to international marketing of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to our ability to protect our intellectual property and proprietary technologies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potentially narrow scope of patent protection we receive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threats to our competitive advantage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operate without infringing intellectual property rights and claims of infringement by third parties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potential inability to obtain or maintain rights to our product candidates through acquisitions and in-licenses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protecting or enforcing our patents and our licensors’ patents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26" w:name="page27"/>
    <w:bookmarkEnd w:id="26"/>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litigation that may lead to unfavorable publicity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outcomes from necessary derivation proceedings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reform legislation and related uncertainties and costs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U.S. and international intellectual property laws and related challenges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challenging ownership of our intellectual property, including internationally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terms and access to extensions that may not adequately protect our competitive position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patent protection and dependence on compliance with various regulations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potentially limited name recognition in our markets that depend on protection of our trademarks and trade names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protecting confidentiality of our trade secrets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of wrongful disclosure of our confidential information or trade secrets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of wrongful hiring or disclosure or use of competitors’ confidential information or trade secrets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development and commercialization rights that are subject to unfavorable terms and conditions of licensors</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business relationship disruptions due to failure to comply with license agreement obligations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patent protection and prosecution that may be dependent on third parties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1" w:lineRule="exact"/>
        <w:rPr>
          <w:sz w:val="20"/>
          <w:szCs w:val="20"/>
          <w:color w:val="auto"/>
        </w:rPr>
      </w:pPr>
    </w:p>
    <w:p>
      <w:pPr>
        <w:ind w:left="1260" w:hanging="510"/>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dependence on third parties for production, preclinical studies and clinical trials of our product candidates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or strategic partnerships that may increase capital requirements, dilution and debt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establish commercially reasonable collaborations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related to collaborations for development and commercialization of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21" w:lineRule="exact"/>
        <w:rPr>
          <w:sz w:val="20"/>
          <w:szCs w:val="20"/>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and price that may limit your ability to sell our common stock</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or misleading industry analyst publications regarding our business or market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fluctuations in our operating results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principal stockholders and management that may exert significant control over stockholder approval matters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sales of our stock that could cause our stock price to fall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related to our status as an emerging growth company and our transition after such status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internal controls that could impair our ability to produce accurate financial statements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of our disclosure controls and procedures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liabilities related to securities litigation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intention not to pay dividends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that may prevent or delay a change in control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exclusive forum provisions in our bylaws that may limit stockholder ability to obtain a favorable judicial forum</w:t>
      </w: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16"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In 2019, we initiated our first two Phase 1b clinical trials for our lead product candidate, ORIC-101, and have not initiated clinical trials for any other product candidate. To date,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87"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9"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$16.5 million for the three months ended March 31, 2021, and as of March 31, 2021, we had an accumulated deficit of $182.9 million. Our lead product candidate, ORIC-101, is in early-stage clinical trials, and we plan on filing an investigational new drug application (IND) with the U.S. Food and Drug Administration (FDA) for our product candidate, ORIC-533, in the second quarter of 2021, an IND for our newly licensed product candidate, ORIC-944, in the second half of 2021, and a Clinical Trial Application (CTA) for our newly licensed product candidate, ORIC-114, in the second half of 2021.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7"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41" w:lineRule="exact"/>
        <w:rPr>
          <w:sz w:val="20"/>
          <w:szCs w:val="20"/>
          <w:color w:val="auto"/>
        </w:rPr>
      </w:pPr>
    </w:p>
    <w:p>
      <w:pPr>
        <w:ind w:left="1260" w:right="18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ORIC-101, ORIC-533, ORIC-944, ORIC-114 and our other future product candidates;</w:t>
      </w:r>
    </w:p>
    <w:p>
      <w:pPr>
        <w:spacing w:after="0" w:line="62" w:lineRule="exact"/>
        <w:rPr>
          <w:rFonts w:ascii="Arial" w:cs="Arial" w:eastAsia="Arial" w:hAnsi="Arial"/>
          <w:sz w:val="18"/>
          <w:szCs w:val="18"/>
          <w:color w:val="auto"/>
        </w:rPr>
      </w:pPr>
    </w:p>
    <w:p>
      <w:pPr>
        <w:ind w:left="1260" w:right="20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ORIC-101, ORIC-533, ORIC-944, ORIC-114 and our other future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8" w:name="page29"/>
    <w:bookmarkEnd w:id="28"/>
    <w:p>
      <w:pPr>
        <w:ind w:left="1260" w:right="64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260" w:right="42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62" w:lineRule="exact"/>
        <w:rPr>
          <w:rFonts w:ascii="Arial" w:cs="Arial" w:eastAsia="Arial" w:hAnsi="Arial"/>
          <w:sz w:val="18"/>
          <w:szCs w:val="18"/>
          <w:color w:val="auto"/>
        </w:rPr>
      </w:pPr>
    </w:p>
    <w:p>
      <w:pPr>
        <w:ind w:left="1260" w:right="20" w:hanging="510"/>
        <w:spacing w:after="0" w:line="263"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260" w:right="18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260" w:right="22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260" w:right="56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63"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ORIC-101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ORIC-101, or any other product candidate, before we receive marketing approval from the FDA. Accordingly, we will need to obtain substantial additional funding in order to continue our operations.</w:t>
      </w:r>
    </w:p>
    <w:p>
      <w:pPr>
        <w:spacing w:after="0" w:line="64"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As of March 31, 2021, we had $278.1 million in cash, cash equivalents and short-term investments. In April 2020, we received $138.0 million of gross proceeds from the issuance of common stock upon the completion of our IPO. After deducting underwriting discounts and commissions and other offering expenses of $12.8 million, the net proceeds we received from our IPO were approximately $125.2 million. In November 2020, we received $133.3 million of gross proceeds from the issuance of common stock upon the completion of a follow-on offering. After deducting underwriting discounts and commissions and other offering expenses of $8.5 million, the net proceeds we received from the transaction were approximately $124.8 million. Based on our current operating plan, we believe that our existing cash, cash equivalents and short-term investments will be sufficient to fund our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00"/>
        <w:spacing w:after="0" w:line="259" w:lineRule="auto"/>
        <w:rPr>
          <w:sz w:val="20"/>
          <w:szCs w:val="20"/>
          <w:color w:val="auto"/>
        </w:rPr>
      </w:pPr>
      <w:r>
        <w:rPr>
          <w:rFonts w:ascii="Arial" w:cs="Arial" w:eastAsia="Arial" w:hAnsi="Arial"/>
          <w:sz w:val="18"/>
          <w:szCs w:val="18"/>
          <w:color w:val="auto"/>
        </w:rPr>
        <w:t>into the second half of 2023. Our estimate as to how long we expect our existing cash, cash equivalents, and short-term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9"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8"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ORIC-101, which is currently in early stage clinical trials. If we are unable to complete development of, obtain approval for and commercialize ORIC-101 for one or more indications in a timely manner, our business will be harmed.</w:t>
      </w:r>
    </w:p>
    <w:p>
      <w:pPr>
        <w:spacing w:after="0" w:line="76"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Our future success is dependent on our ability to timely and successfully complete clinical trials, obtain marketing approval for and successfully commercialize ORIC-101, our lead product candidate. We are investing the majority of our efforts and financial resources in the research and development of ORIC-101 for multiple indications. ORIC-101 is a potent and selective small molecule antagonist of GR, which has been linked to resistance to multiple classes of cancer therapeutics across a variety of solid tumors. In 2019, we initiated a Phase 1b clinical trial evaluating ORIC-101 in combination with nab-paclitaxel in patients with advanced or metastatic solid tumors. In the fourth quarter of 2019, we also initiated a Phase 1b clinical trial evaluating ORIC-101 in combination with enzalutamide in patients with metastatic prostate cancer progressing on enzalutamide. Prior to these two Phase 1b trials, ORIC-101 has only been studied in two Phase 1a trials in healthy volunteers. ORIC-101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ORIC-101, or any other product candidate, before we receive marketing approval from the FDA and comparable foreign regulatory authorities, and we may never receive such marketing approvals.</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ORIC-101 will depend on several factors, including the following:</w:t>
      </w:r>
    </w:p>
    <w:p>
      <w:pPr>
        <w:spacing w:after="0" w:line="117" w:lineRule="exact"/>
        <w:rPr>
          <w:sz w:val="20"/>
          <w:szCs w:val="20"/>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clinical trials of ORIC-101;</w:t>
      </w:r>
    </w:p>
    <w:p>
      <w:pPr>
        <w:spacing w:after="0" w:line="117" w:lineRule="exact"/>
        <w:rPr>
          <w:rFonts w:ascii="Arial" w:cs="Arial" w:eastAsia="Arial" w:hAnsi="Arial"/>
          <w:sz w:val="18"/>
          <w:szCs w:val="18"/>
          <w:color w:val="auto"/>
        </w:rPr>
      </w:pPr>
    </w:p>
    <w:p>
      <w:pPr>
        <w:ind w:left="1260" w:right="72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additional clinical trials of ORIC-101 on a timely basis;</w:t>
      </w:r>
    </w:p>
    <w:p>
      <w:pPr>
        <w:spacing w:after="0" w:line="117" w:lineRule="exact"/>
        <w:rPr>
          <w:rFonts w:ascii="Arial" w:cs="Arial" w:eastAsia="Arial" w:hAnsi="Arial"/>
          <w:sz w:val="18"/>
          <w:szCs w:val="18"/>
          <w:color w:val="auto"/>
        </w:rPr>
      </w:pPr>
    </w:p>
    <w:p>
      <w:pPr>
        <w:ind w:left="1260" w:right="44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the clinical development of ORIC-101 both in the United States and internationally;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17" w:lineRule="exact"/>
        <w:rPr>
          <w:rFonts w:ascii="Arial" w:cs="Arial" w:eastAsia="Arial" w:hAnsi="Arial"/>
          <w:sz w:val="18"/>
          <w:szCs w:val="18"/>
          <w:color w:val="auto"/>
        </w:rPr>
      </w:pPr>
    </w:p>
    <w:p>
      <w:pPr>
        <w:ind w:left="1260" w:right="56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receipt of marketing approvals for ORIC-101 from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identification, development and approval of companion diagnostic tests, if required;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260" w:right="22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ORIC-101;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1260" w:right="1060" w:hanging="510"/>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ORIC-101, which would materially harm our business. If we do not receive marketing approvals for ORIC-101, we may not be able to continue our operations.</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In addition to ORIC-101,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other than ORIC-101. All of our current programs other than ORIC-101, including ORIC-533, ORIC-944 and ORIC-114,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17" w:lineRule="exact"/>
        <w:rPr>
          <w:sz w:val="20"/>
          <w:szCs w:val="20"/>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any delays in our research programs resulting from factors related to the COVID-19 pandemic;</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a product candidate for use in clinical trials;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events in clinical trials.</w:t>
      </w:r>
    </w:p>
    <w:p>
      <w:pPr>
        <w:spacing w:after="0" w:line="117" w:lineRule="exact"/>
        <w:rPr>
          <w:sz w:val="20"/>
          <w:szCs w:val="20"/>
          <w:color w:val="auto"/>
        </w:rPr>
      </w:pPr>
    </w:p>
    <w:p>
      <w:pPr>
        <w:ind w:right="560" w:firstLine="749"/>
        <w:spacing w:after="0" w:line="286" w:lineRule="auto"/>
        <w:rPr>
          <w:sz w:val="20"/>
          <w:szCs w:val="20"/>
          <w:color w:val="auto"/>
        </w:rPr>
      </w:pPr>
      <w:r>
        <w:rPr>
          <w:rFonts w:ascii="Arial" w:cs="Arial" w:eastAsia="Arial" w:hAnsi="Arial"/>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ind w:left="1260" w:right="10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62" w:lineRule="exact"/>
        <w:rPr>
          <w:rFonts w:ascii="Arial" w:cs="Arial" w:eastAsia="Arial" w:hAnsi="Arial"/>
          <w:sz w:val="18"/>
          <w:szCs w:val="18"/>
          <w:color w:val="auto"/>
        </w:rPr>
      </w:pPr>
    </w:p>
    <w:p>
      <w:pPr>
        <w:ind w:left="1260" w:right="100" w:hanging="510"/>
        <w:spacing w:after="0" w:line="263"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260" w:right="80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260" w:right="8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8"/>
          <w:szCs w:val="18"/>
          <w:color w:val="auto"/>
        </w:rPr>
      </w:pPr>
    </w:p>
    <w:p>
      <w:pPr>
        <w:ind w:left="1260" w:right="200" w:hanging="510"/>
        <w:spacing w:after="0" w:line="308"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260" w:right="58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62"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ind w:right="640" w:firstLine="749"/>
        <w:spacing w:after="0" w:line="342"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8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260" w:hanging="51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260" w:right="10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260" w:right="64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auto"/>
        </w:rPr>
      </w:pPr>
    </w:p>
    <w:p>
      <w:pPr>
        <w:ind w:left="1260" w:right="10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17" w:lineRule="exact"/>
        <w:rPr>
          <w:rFonts w:ascii="Arial" w:cs="Arial" w:eastAsia="Arial" w:hAnsi="Arial"/>
          <w:sz w:val="18"/>
          <w:szCs w:val="18"/>
          <w:color w:val="auto"/>
        </w:rPr>
      </w:pPr>
    </w:p>
    <w:p>
      <w:pPr>
        <w:ind w:left="1260" w:right="46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firstLine="749"/>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70"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For example, in study ORIC-GR-17001, there were two Grade 1 adverse events: pain in the extremity and nausea. Both were mild, attributed to ORIC-101 and resolved without treatment. In study ORIC-GR-17002, Part A, the most commonly reported treatment-emergent adverse events were mild gastrointestinal adverse events. These were observed in two participants and consisted of Grade 1 nausea in one subject and Grade 1 nausea, abdominal pain, and diarrhea in a second subject. They were resolved without treatment. In study ORIC-GR-17002, Part B, the most common adverse events were gastrointestinal in nature and were deemed related to ORIC-101.</w:t>
      </w:r>
    </w:p>
    <w:p>
      <w:pPr>
        <w:spacing w:after="0" w:line="80"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For example, in our Phase 1b trial of ORIC-101 in combination with nab-paclitaxel in advanced or metastatic solid tumors, two patients experienced dose-limiting toxicity (DLT) during the first cycle of treatment. Specifically, one patient experienced Grade 3 fatigue and discontinued treatment after two weeks on study. A second patient with advanced pancreatic cancer that had metastasized to the liver experienced Grade 4 neutropenia and thrombocytopenia and Grade 5 hepatic failure in the setting of rapid disease progression. A CT scan of the patient’s abdomen on study Day 9 demonstrated disease progression, and the patient died on study Day 12. These toxicities are well-described for nab-paclitaxel (including reports of hepatic necrosis and hepatic encephalopathy leading to death). After review of safety and PK data from Dose Level 1 by the study’s Safety Review Committee (SRC), it was determined that Dose Level 1 exceeded the maximum tolerated doses of the combination of ORIC-101 and nab-paclitaxel. The protocol was amended and following FDA review and Institutional Review Board (IRB) approvals, three new patients were enrolled to the revised new Dose Level 1A.</w:t>
      </w:r>
    </w:p>
    <w:p>
      <w:pPr>
        <w:spacing w:after="0" w:line="5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Patients in our ongoing and planned clinical trials may in the future suffer other significant adverse events or other side effects not observed in our preclinical studies or previous clinical trials. ORIC-101 or other product candidates may be used in populations for which safety concerns may be particularly scrutinized by regulatory agencies. In addition, ORIC-101 is being studied in combination with other therapies, which may exacerbate adverse events associated with the therapy. Patients treated with ORIC-101 or our other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ORIC-101 clinical trials will die or experience major clinical events either during the course of our clinical trials or after participating in such trials, which has occurred in the past.</w:t>
      </w:r>
    </w:p>
    <w:p>
      <w:pPr>
        <w:spacing w:after="0" w:line="73"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360"/>
        <w:spacing w:after="0" w:line="308"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38"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ORIC-101 will perform in current or future clinical trials as ORIC-101 has performed in preclinical studies or prior clinical trials, nor do we know whether ORIC-533, ORIC-944 or ORIC-114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clinical-stage GR antagonists being developed by Corcept Therapeutics, to our knowledge, there are no GR antagonists approved for the treatment of cancer and the most advanced GR antagonist in development for cancer is in a Phase 2 trial for ovarian cancer and a Phase 3 trial for metastatic pancreatic ductal adenocarcinoma. As such, the development of ORIC-101 and our stock price may be impacted by inferences, whether correct or not, that are drawn between the success of our product candidate and those of Corcept Therapeutics or other companies. Additionally, prior to our two Phase 1b trials, ORIC-101 was only studied in two Phase 1a trials in healthy volunteers.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6"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60" w:firstLine="749"/>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interim data from our Phase 1b clinical trial of ORIC-101.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8"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ORIC-101 or any other product candidates may be harmed, which could harm our business, financial condition, results of operations and prospects.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ind w:right="120" w:firstLine="749"/>
        <w:spacing w:after="0" w:line="271" w:lineRule="auto"/>
        <w:rPr>
          <w:sz w:val="20"/>
          <w:szCs w:val="20"/>
          <w:color w:val="auto"/>
        </w:rPr>
      </w:pPr>
      <w:r>
        <w:rPr>
          <w:rFonts w:ascii="Arial" w:cs="Arial" w:eastAsia="Arial" w:hAnsi="Arial"/>
          <w:sz w:val="17"/>
          <w:szCs w:val="17"/>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 For instance, we have developed a proprietary immunohistochemistry (IHC) assay that measures GR protein expression levels as well as a proprietary GR gene activation signature that measures GR signaling activity, both of which are being utilized in our ongoing clinical trials and may be used for patient selection in future clinical trials, and utilizing such biomarker-driven identification and/or certain highly specific criteria related to the stage of disease progression may limit patient populations eligible for our clinical trials. Additionally, our approach of identifying and selecting a subset of patients more likely to benefit from ORIC-101 by measuring levels of GR expression or gene activity is, to our knowledge, untested in oncology. If these strategies for patient identification prove unsuccessful, we may have difficulty enrolling or maintaining patients appropriate for ORIC-101.</w:t>
      </w:r>
    </w:p>
    <w:p>
      <w:pPr>
        <w:spacing w:after="0" w:line="86"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Enrollment of patients in our clinical trials and maintaining patients in our ongoing clinical trials may be delayed or limited as our clinical trial sites limit their onsite staff or temporarily close as a result of the COVID-19 pandemic. For instance, we are aware of certain ORIC-101 clinical trial sites that had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ORIC-101 clinical trials and our regulatory submissions.</w:t>
      </w:r>
    </w:p>
    <w:p>
      <w:pPr>
        <w:spacing w:after="0" w:line="70"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6" w:lineRule="exact"/>
        <w:rPr>
          <w:sz w:val="20"/>
          <w:szCs w:val="20"/>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1260" w:right="320" w:hanging="510"/>
        <w:spacing w:after="0" w:line="263"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5" w:lineRule="exact"/>
        <w:rPr>
          <w:rFonts w:ascii="Arial" w:cs="Arial" w:eastAsia="Arial" w:hAnsi="Arial"/>
          <w:sz w:val="18"/>
          <w:szCs w:val="18"/>
          <w:color w:val="auto"/>
        </w:rPr>
      </w:pPr>
    </w:p>
    <w:p>
      <w:pPr>
        <w:ind w:left="1260" w:right="400" w:hanging="510"/>
        <w:spacing w:after="0" w:line="277"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1260" w:right="480" w:hanging="510"/>
        <w:spacing w:after="0" w:line="277"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5" w:name="page36"/>
    <w:bookmarkEnd w:id="35"/>
    <w:p>
      <w:pPr>
        <w:ind w:right="60" w:firstLine="749"/>
        <w:spacing w:after="0" w:line="30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29"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As the COVID-19 pandemic continues to spread around the globe, we may experience disruptions that could severely impact our business and clinical trials, including:</w:t>
      </w:r>
    </w:p>
    <w:p>
      <w:pPr>
        <w:spacing w:after="0" w:line="53" w:lineRule="exact"/>
        <w:rPr>
          <w:sz w:val="20"/>
          <w:szCs w:val="20"/>
          <w:color w:val="auto"/>
        </w:rPr>
      </w:pPr>
    </w:p>
    <w:p>
      <w:pPr>
        <w:ind w:left="1260" w:right="28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62" w:lineRule="exact"/>
        <w:rPr>
          <w:rFonts w:ascii="Arial" w:cs="Arial" w:eastAsia="Arial" w:hAnsi="Arial"/>
          <w:sz w:val="18"/>
          <w:szCs w:val="18"/>
          <w:color w:val="auto"/>
        </w:rPr>
      </w:pPr>
    </w:p>
    <w:p>
      <w:pPr>
        <w:ind w:left="1260" w:right="34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260" w:right="20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260" w:right="20" w:hanging="510"/>
        <w:spacing w:after="0" w:line="263"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1260" w:right="38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rFonts w:ascii="Arial" w:cs="Arial" w:eastAsia="Arial" w:hAnsi="Arial"/>
          <w:sz w:val="18"/>
          <w:szCs w:val="18"/>
          <w:color w:val="auto"/>
        </w:rPr>
      </w:pPr>
    </w:p>
    <w:p>
      <w:pPr>
        <w:ind w:left="1260" w:right="280" w:hanging="510"/>
        <w:spacing w:after="0" w:line="308"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38" w:lineRule="exact"/>
        <w:rPr>
          <w:rFonts w:ascii="Arial" w:cs="Arial" w:eastAsia="Arial" w:hAnsi="Arial"/>
          <w:sz w:val="17"/>
          <w:szCs w:val="17"/>
          <w:color w:val="auto"/>
        </w:rPr>
      </w:pPr>
    </w:p>
    <w:p>
      <w:pPr>
        <w:ind w:left="1260" w:right="44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Furthermore, on May 28, 2020, San Mateo County announced an extension of its “shelter in place” order, which is effective until further notice. On June 17, 2020, San Mateo County issued a new Safer Community Order, which rescinded and replaced the “shelter in place” order and requires businesses to implement social distancing protocols and a written health and safety plan, among other things, for reopening. Should COVID-19 cases in California continue to increase, the country or state may re-institute a “shelter in place” order at any time. On June 19, 2020, the FDA also issued new guidance on good manufacturing practice considerations for responding to COVID-19 infection in employees in biopharmaceutical products manufacturing. Our primary operations are located in South San Francisco and San Diego. As a result of such county and California state orders and FDA guidance, the majority of our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60"/>
        <w:spacing w:after="0" w:line="279" w:lineRule="auto"/>
        <w:rPr>
          <w:sz w:val="20"/>
          <w:szCs w:val="20"/>
          <w:color w:val="auto"/>
        </w:rPr>
      </w:pPr>
      <w:r>
        <w:rPr>
          <w:rFonts w:ascii="Arial" w:cs="Arial" w:eastAsia="Arial" w:hAnsi="Arial"/>
          <w:sz w:val="17"/>
          <w:szCs w:val="17"/>
          <w:color w:val="auto"/>
        </w:rPr>
        <w:t>employees are currently telecommuting, and due to modified schedules and work protocols to enable adequate physical distancing, our laboratory operations are currently operating with decreased efficiency, which may impact certain of our operations over the near term and long term. Disruptions caused by the COVID-19 pandemic have also resulted in the incurrence of increased operational expenses. Should these developments continue or worsen, our operations and our program timelines may be negatively impacted and could result in the incurrence of additional costs.</w:t>
      </w:r>
    </w:p>
    <w:p>
      <w:pPr>
        <w:spacing w:after="0" w:line="63"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manufacturing supply chain for ORIC-101, which could delay or otherwise impact our ORIC-101 clinical program. We may also experience delays in procurement of materials for certain of our ongoing or planned studies of ORIC-533, ORIC-944 or ORIC-114 due to the pandemic, which could impact our ability to file an IND in the second quarter of 2021 and the second half of 2021, respectively. Additionally, certain preclinical studies for our discovery research programs are conducted by CROs or academic institutions, some of which have temporarily stopped or delayed operations in light of COVID-19. These disruptions could negatively impact the timelines of our preclinical programs. It is also likely that the disproportionate impact of COVID-19 on hospitals and clinical sites will have an impact on recruitment and retention for our clinical trials. For instance, we are aware of certain ORIC-101 clinical trial sites that have temporarily stopped or delayed enrolling new patients in response to the COVID-19 pandemic. In addition, certain of our clinical trial sites have experienced, and others may experience in the future, delays in collecting, receiving and analyzing data from patients enrolled in our clinical trials for ORIC-101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76" w:lineRule="exact"/>
        <w:rPr>
          <w:sz w:val="20"/>
          <w:szCs w:val="20"/>
          <w:color w:val="auto"/>
        </w:rPr>
      </w:pPr>
    </w:p>
    <w:p>
      <w:pPr>
        <w:jc w:val="both"/>
        <w:ind w:right="100" w:firstLine="749"/>
        <w:spacing w:after="0" w:line="286" w:lineRule="auto"/>
        <w:rPr>
          <w:sz w:val="20"/>
          <w:szCs w:val="20"/>
          <w:color w:val="auto"/>
        </w:rPr>
      </w:pPr>
      <w:r>
        <w:rPr>
          <w:rFonts w:ascii="Arial" w:cs="Arial" w:eastAsia="Arial" w:hAnsi="Arial"/>
          <w:sz w:val="17"/>
          <w:szCs w:val="17"/>
          <w:color w:val="auto"/>
        </w:rPr>
        <w:t>The global outbreak of COVID-19 continues to rapidly evolve, with particularly significant case increases in the United States.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5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62"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If we are unable to successfully develop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1"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If either of these approaches proves to be a useful method for patient selection, we expect to incorporate the specific diagnostic test into our registrational studies and partner with the appropriate diagnostic provider to co-develop a companion diagnostic.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120" w:firstLine="749"/>
        <w:spacing w:after="0" w:line="275"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ORIC-101.</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develop ORIC-101 and potentially other programs in combination with other therapies, which exposes us to additional risks.</w:t>
      </w:r>
    </w:p>
    <w:p>
      <w:pPr>
        <w:spacing w:after="0" w:line="129"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We intend to develop ORIC-101 and potentially other programs, in combination with one or more currently approved cancer therapies or therapies in development. In 2019, we initiated a Phase 1b clinical trial evaluating ORIC-101 in combination with nab-paclitaxel in patients with advanced or metastatic solid tumors. In 2019, we also initiated a Phase 1b clinical trial evaluating ORIC-101 in combination with enzalutamide in patients with metastatic prostate cancer. Patients may not be able to tolerate ORIC-101 or any of our other product candidates in combination with other therapies or dosing of ORIC-101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60"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76"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ORIC-101 or any other product candidate, we may be unable to obtain approval of or successfully market any one or all of the product candidates we develop.</w:t>
      </w:r>
    </w:p>
    <w:p>
      <w:pPr>
        <w:spacing w:after="0" w:line="57"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 For example, for our Phase 1b trial of ORIC-101 in combination with enzalutamide in prostate cancer, we entered into a clinical trial collaboration and supply agreement with Astellas. Under the terms of the clinical trial collaboration and supply agreement, Astellas, which jointly commercializes enzalutamide in the United States with Pfizer, is providing enzalutamide for the trial. If this agreement terminates and we are unable to obtain enzalutamide on the current terms, the cost to us to conduct this trial may significantly increase.</w:t>
      </w:r>
    </w:p>
    <w:p>
      <w:pPr>
        <w:spacing w:after="0" w:line="69"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have limited resources and are currently focusing our efforts on developing ORIC-101 for particular indications and advancing our preclinical programs. As a result, we may fail to capitalize on other indications or product candidates that may ultimately have proven to be more profitable.</w:t>
      </w:r>
    </w:p>
    <w:p>
      <w:pPr>
        <w:spacing w:after="0" w:line="1"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are currently focusing our resources and efforts on developing ORIC-101 for particular indications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ORIC-101, ORIC-533, ORIC-944, ORIC-114 and other preclinical programs, may not yield any commercially viable drugs. If we do not accurately evaluate the commercial potential or target markets for ORIC-101, ORIC-533, ORIC-944, ORIC-114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3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62"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79"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ORIC-101, we are aware of several other clinical-stage GR antagonists being developed by Corcept Therapeutics. To our knowledge, there are no GR antagonists approved for the treatment of cancer and the most advanced GR antagonist in development for cancer is in a Phase 3 clinical trial. For ORIC-533,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Gilead Sciences, Akeso and Symphogen. Other companies, such as Arcus Biosciences, Calithera Biosciences and Merck through its acquisition of Peloton Therapeutics, have small-molecule programs against this target. For ORIC-944, we are aware of several companies developing inhibitors against PRC2 via EZH2 inhibition that are currently in clinical trials, including Epizyme, Constellation Pharmaceuticals, Daiichi Sankyo, Pfizer, Shanghai HaiHe Pharmaceutical and Jiangsu Hengrui Medicine Co. To our knowledge, only Novartis has an allosteric PRC2 inhibitor in a clinical trial for patients with cancer. For ORIC-114, we are aware of several companies developing inhibitors against exon 20 insertion mutations that are currently in clinical trials, including Takeda, Spectrum Pharmaceuticals, The Janssen Pharmaceutical Companies of Johnson &amp; Johnson, Rain Therapeutics, Dizal Pharmaceuticals Co., Ltd., Cullinan Oncology and Black Diamond Therapeutics.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81"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76"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third-party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540"/>
        <w:spacing w:after="0" w:line="263" w:lineRule="auto"/>
        <w:rPr>
          <w:sz w:val="20"/>
          <w:szCs w:val="20"/>
          <w:color w:val="auto"/>
        </w:rPr>
      </w:pPr>
      <w:r>
        <w:rPr>
          <w:rFonts w:ascii="Arial" w:cs="Arial" w:eastAsia="Arial" w:hAnsi="Arial"/>
          <w:sz w:val="18"/>
          <w:szCs w:val="18"/>
          <w:color w:val="auto"/>
        </w:rPr>
        <w:t>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ORIC-101 into the dose expansion phases of our ongoing Phase 1b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1260" w:right="120" w:hanging="510"/>
        <w:spacing w:after="0" w:line="263"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60" w:right="360" w:hanging="510"/>
        <w:spacing w:after="0" w:line="277"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opportunities for ORIC-101 and other product candidates we develop, if approved, may be limited to certain smaller patient subsets.</w:t>
      </w:r>
    </w:p>
    <w:p>
      <w:pPr>
        <w:spacing w:after="0" w:line="140"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Our current clinical trials for ORIC-101 are with patients who have received one or more prior treatments.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ind w:right="60" w:firstLine="749"/>
        <w:spacing w:after="0" w:line="254"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ORIC-101 and other product candidates we develop, including as a result of the selection of patients with specific biomarkers, levels of GR expression or gene activity, may be limited or may not be amenable to treatment with our product candidates.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We are continuing to evaluate the appropriate levels of GR protein overexpression for determining which patients may be eligible for treatment. Regulatory approval may limit the market of a product candidate to target patient populations when such biomarker-driven identification and/or highly specific criteria related to the stage of disease progression are utilized.</w:t>
      </w:r>
    </w:p>
    <w:p>
      <w:pPr>
        <w:spacing w:after="0" w:line="84"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73"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80" w:firstLine="749"/>
        <w:spacing w:after="0" w:line="257"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0"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right="120" w:firstLine="749"/>
        <w:spacing w:after="0" w:line="287"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29"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6"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20" w:firstLine="749"/>
        <w:spacing w:after="0" w:line="271"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0"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Our ongoing clinical trials are being undertaken in the United States. We may choose to conduct additional clinical trials internationally. For example, we conducted a Phase 1a healthy volunteer trial of ORIC-101 in the United Kingdom.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5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7" w:lineRule="exact"/>
        <w:rPr>
          <w:sz w:val="20"/>
          <w:szCs w:val="20"/>
          <w:color w:val="auto"/>
        </w:rPr>
      </w:pPr>
    </w:p>
    <w:p>
      <w:pPr>
        <w:ind w:right="300" w:firstLine="749"/>
        <w:spacing w:after="0" w:line="279"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59" w:lineRule="exact"/>
        <w:rPr>
          <w:sz w:val="20"/>
          <w:szCs w:val="20"/>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9"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ORIC-101 as a treatment for metastatic prostate cancer,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380"/>
        <w:spacing w:after="0" w:line="286"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7"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 xml:space="preserve">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Phase 1b clinical studies and may be used for patient selection in future clinical studies. Additionally, in connection with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6"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200"/>
        <w:spacing w:after="0" w:line="342"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6"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6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16"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5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80"/>
        <w:spacing w:after="0" w:line="293" w:lineRule="auto"/>
        <w:rPr>
          <w:sz w:val="20"/>
          <w:szCs w:val="20"/>
          <w:color w:val="auto"/>
        </w:rPr>
      </w:pPr>
      <w:r>
        <w:rPr>
          <w:rFonts w:ascii="Arial" w:cs="Arial" w:eastAsia="Arial" w:hAnsi="Arial"/>
          <w:sz w:val="16"/>
          <w:szCs w:val="16"/>
          <w:color w:val="auto"/>
        </w:rPr>
        <w:t>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56"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The Supreme Court held oral arguments on the Fifth Circuit Court case in November 2020 and is expected to issue a decision by mid-2021. It is unclear how this Supreme Court decision, future litigation, and healthcare measures promulgated by the Biden administration will impact the implementation of the PPACA, our business, financial condition and results of operations. Complying with any new legislation or reversing changes implemented under the PPACA could be time-intensive and expensive, resulting in a material adverse effect on our business.</w:t>
      </w:r>
    </w:p>
    <w:p>
      <w:pPr>
        <w:spacing w:after="0" w:line="88"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March 31,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69"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The Biden administration has also implemented a regulatory rule freeze for all federal agency rules that had not gone into effect as of January 20, 2021. The impact of these lawsuits as well as legislative, executive, and administrative actions of the current administration on us and the pharmaceutical industry as a whole is currently unknown. At the state level, legislatures have increasingly passed legislation and implemented regulations designed to control pharmaceutical and biological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180"/>
        <w:spacing w:after="0" w:line="275" w:lineRule="auto"/>
        <w:rPr>
          <w:sz w:val="20"/>
          <w:szCs w:val="20"/>
          <w:color w:val="auto"/>
        </w:rPr>
      </w:pPr>
      <w:r>
        <w:rPr>
          <w:rFonts w:ascii="Arial" w:cs="Arial" w:eastAsia="Arial" w:hAnsi="Arial"/>
          <w:sz w:val="17"/>
          <w:szCs w:val="17"/>
          <w:color w:val="auto"/>
        </w:rPr>
        <w:t>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68"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68"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0"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recently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64"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Further, the decision of the United Kingdom (UK) to leave the EU,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for example, require us to implement additional safeguards relating to transfers of personal data from the EU to the UK, which may require us to incur significant costs and expenses in an effort to do so. More generally, we may incur liabilities, expenses, costs, and other operational losses under GDPR and the privacy and data protection laws of applicable EU member states and the United Kingdom in connection with any measures we take to comply with them.</w:t>
      </w:r>
    </w:p>
    <w:p>
      <w:pPr>
        <w:spacing w:after="0" w:line="58"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U.S., which could increase our potential liability and adversely affect our business. Additionally, a new privacy law, the California Privacy Rights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(CPRA), was approved by California voters in November 2020. The CPRA significantly modified the CCPA, which may require us to modify our practices and policies and may further increase our compliance costs and potential liability.</w:t>
      </w:r>
    </w:p>
    <w:p>
      <w:pPr>
        <w:spacing w:after="0" w:line="6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0"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8" w:lineRule="exact"/>
        <w:rPr>
          <w:sz w:val="20"/>
          <w:szCs w:val="20"/>
          <w:color w:val="auto"/>
        </w:rPr>
      </w:pPr>
    </w:p>
    <w:p>
      <w:pPr>
        <w:ind w:left="1260" w:right="80" w:hanging="510"/>
        <w:spacing w:after="0" w:line="259"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1260" w:right="140" w:hanging="510"/>
        <w:spacing w:after="0" w:line="259"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260" w:right="360" w:hanging="510"/>
        <w:spacing w:after="0" w:line="301"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49" w:lineRule="exact"/>
        <w:rPr>
          <w:rFonts w:ascii="Arial" w:cs="Arial" w:eastAsia="Arial" w:hAnsi="Arial"/>
          <w:sz w:val="16"/>
          <w:szCs w:val="16"/>
          <w:color w:val="auto"/>
        </w:rPr>
      </w:pPr>
    </w:p>
    <w:p>
      <w:pPr>
        <w:ind w:left="1260" w:right="40" w:hanging="510"/>
        <w:spacing w:after="0" w:line="272"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left="1260" w:hanging="510"/>
        <w:spacing w:after="0" w:line="271" w:lineRule="auto"/>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8"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62" w:lineRule="exact"/>
        <w:rPr>
          <w:sz w:val="20"/>
          <w:szCs w:val="20"/>
          <w:color w:val="auto"/>
        </w:rPr>
      </w:pPr>
    </w:p>
    <w:p>
      <w:pPr>
        <w:ind w:right="180" w:firstLine="749"/>
        <w:spacing w:after="0" w:line="254"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60" w:firstLine="749"/>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4"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80"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76"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70"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8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62"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6"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Effective January 1, 2022, such reporting obligations for payments and transfers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640"/>
        <w:spacing w:after="0" w:line="277" w:lineRule="auto"/>
        <w:rPr>
          <w:sz w:val="20"/>
          <w:szCs w:val="20"/>
          <w:color w:val="auto"/>
        </w:rPr>
      </w:pPr>
      <w:r>
        <w:rPr>
          <w:rFonts w:ascii="Arial" w:cs="Arial" w:eastAsia="Arial" w:hAnsi="Arial"/>
          <w:sz w:val="18"/>
          <w:szCs w:val="18"/>
          <w:color w:val="auto"/>
        </w:rPr>
        <w:t>of value made in 2021 to covered recipients will be expanded to include physician assistants, nurse practitioners, clinical nurse specialists, certified registered nurse anesthetists and anesthesiologist assistants and certified nurse-midwives.</w:t>
      </w:r>
    </w:p>
    <w:p>
      <w:pPr>
        <w:spacing w:after="0" w:line="62" w:lineRule="exact"/>
        <w:rPr>
          <w:sz w:val="20"/>
          <w:szCs w:val="20"/>
          <w:color w:val="auto"/>
        </w:rPr>
      </w:pPr>
    </w:p>
    <w:p>
      <w:pPr>
        <w:ind w:right="140" w:firstLine="749"/>
        <w:spacing w:after="0" w:line="275"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8"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0"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41"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line="272" w:lineRule="auto"/>
        <w:rPr>
          <w:sz w:val="20"/>
          <w:szCs w:val="20"/>
          <w:color w:val="auto"/>
        </w:rPr>
      </w:pPr>
      <w:r>
        <w:rPr>
          <w:rFonts w:ascii="Arial" w:cs="Arial" w:eastAsia="Arial" w:hAnsi="Arial"/>
          <w:sz w:val="17"/>
          <w:szCs w:val="17"/>
          <w:color w:val="auto"/>
        </w:rPr>
        <w:t>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9"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70"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8"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2"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9"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20"/>
        <w:spacing w:after="0" w:line="272" w:lineRule="auto"/>
        <w:rPr>
          <w:sz w:val="20"/>
          <w:szCs w:val="20"/>
          <w:color w:val="auto"/>
        </w:rPr>
      </w:pPr>
      <w:r>
        <w:rPr>
          <w:rFonts w:ascii="Arial" w:cs="Arial" w:eastAsia="Arial" w:hAnsi="Arial"/>
          <w:sz w:val="17"/>
          <w:szCs w:val="17"/>
          <w:color w:val="auto"/>
        </w:rPr>
        <w:t>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jc w:val="both"/>
        <w:ind w:right="180" w:firstLine="749"/>
        <w:spacing w:after="0" w:line="286" w:lineRule="auto"/>
        <w:rPr>
          <w:sz w:val="20"/>
          <w:szCs w:val="20"/>
          <w:color w:val="auto"/>
        </w:rPr>
      </w:pPr>
      <w:r>
        <w:rPr>
          <w:rFonts w:ascii="Arial" w:cs="Arial" w:eastAsia="Arial" w:hAnsi="Arial"/>
          <w:sz w:val="17"/>
          <w:szCs w:val="17"/>
          <w:color w:val="auto"/>
        </w:rPr>
        <w:t>As of March 31, 2021, we had 66 full-time employees, including 49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57" w:lineRule="exact"/>
        <w:rPr>
          <w:sz w:val="20"/>
          <w:szCs w:val="20"/>
          <w:color w:val="auto"/>
        </w:rPr>
      </w:pPr>
    </w:p>
    <w:p>
      <w:pPr>
        <w:ind w:left="1260" w:hanging="51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260" w:hanging="510"/>
        <w:spacing w:after="0" w:line="263"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ORIC-101 and any other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340" w:firstLine="749"/>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ORIC-101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41" w:lineRule="exact"/>
        <w:rPr>
          <w:sz w:val="20"/>
          <w:szCs w:val="20"/>
          <w:color w:val="auto"/>
        </w:rPr>
      </w:pPr>
    </w:p>
    <w:p>
      <w:pPr>
        <w:ind w:right="160" w:firstLine="7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ORIC-101 and any other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8"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ORIC-101 and other product candidates and, accordingly, may not achieve our research, development and commercialization goals.</w:t>
      </w:r>
    </w:p>
    <w:p>
      <w:pPr>
        <w:spacing w:after="0" w:line="7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To the extent that any disruption or security breach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7"/>
          <w:szCs w:val="17"/>
          <w:color w:val="auto"/>
        </w:rPr>
        <w:t>technology, or the efforts or investments of CROs, consultants or other third parties, will prevent significant breakdowns or breaches in systems or other cyber incidents that cause loss, destruction, unavailability, alteration or dissemination of, or damage 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6"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77"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Chief Financial Officer and Chief Business Officer have been subpoenaed for information by the Securities and Exchange Commission on a matter unrelated to ORIC.</w:t>
      </w:r>
    </w:p>
    <w:p>
      <w:pPr>
        <w:spacing w:after="0" w:line="62"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The subpoenas appear to relate to an ongoing SEC investigation into the trading of securities of certain other companies. The subpoenas state that they are a part of a non-public fact-finding inquiry by the SEC and do not mean that a conclusion has been reached regarding the conduct of the individuals. Both individuals have assured us that they have not engaged in any wrongdoing with respect to the matters at issue in the SEC inquiry. We cannot predict the course of the SEC’s inquiry and its implications for us. Nor can we predict what actions, if any, the SEC or any other governmental agency may ultimately take on these matters in the future. If action were taken against one or both of these individuals, any such action will become time consuming and distracting for them, and if such action is successful, the individual or individuals could be subject to fines, penalties and the imposition of restrictive sanctions that may affect their ability to serve as officers of our company. Regardless of the outcome, these matters may result in incurrence of additional costs and diversion of management’s attention, and may create a perception of wrongdoing that could be harmful to our business or reputation.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29"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2020, we had available NOL carry forwards of $130.8 million, of which $89.2 million do not expire. We also have available California NOL carryforwards of approximately $132.0 million as of December 31, 2020, which begin to expire in 2034 and are subject to limitation on use.</w:t>
      </w:r>
    </w:p>
    <w:p>
      <w:pPr>
        <w:spacing w:after="0" w:line="70" w:lineRule="exact"/>
        <w:rPr>
          <w:sz w:val="20"/>
          <w:szCs w:val="20"/>
          <w:color w:val="auto"/>
        </w:rPr>
      </w:pPr>
    </w:p>
    <w:p>
      <w:pPr>
        <w:ind w:right="100" w:firstLine="749"/>
        <w:spacing w:after="0" w:line="290"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Recent legislation commonly known as the Tax Act, significantly revises the Code. The Tax Act, as amended by the CARES Act, among other things, reduces the corporate tax rate from a top marginal rate of 35% to a flat rate of 21%, repeals the alternative minimum tax for corporations, limits the tax deduction for interest expense to 30% (50% for taxable years beginning in 2019 or 2020) of adjusted taxable income (except for certain small businesses), limits the deduction in taxable years beginning after December 31, 2020, for NOLs carried forward from taxable years beginning after December 31, 2017, eliminates net operating loss carrybacks for NOLs generated in taxable years beginning after December 31, 2020, and modifies or repeals many business deductions and credits. Our financial statements included elsewhere in this periodic report reflect the effects of the Tax Act based on current guidance. However, there remain uncertainties and ambiguities in the application of certain provisions of the Tax Act and, as a result, we made certain judgments and assumptions in the interpretation thereof.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new administration in the United States and congressional decisions made in the near future may result in increased corporate tax. For example, President Biden has proposed increasing the corporate tax rate to 28%. If enacted, such legislation may increase the amount of tax we may owe in future taxable years, which may adversely impact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1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6" w:name="page57"/>
    <w:bookmarkEnd w:id="56"/>
    <w:p>
      <w:pPr>
        <w:ind w:left="1260" w:right="180" w:hanging="510"/>
        <w:spacing w:after="0" w:line="277"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17"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80"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8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0"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Although as of March 31, 2021 we owned three and licensed two issued patents in the United States,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49"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76" w:lineRule="exact"/>
        <w:rPr>
          <w:sz w:val="20"/>
          <w:szCs w:val="20"/>
          <w:color w:val="auto"/>
        </w:rPr>
      </w:pPr>
    </w:p>
    <w:p>
      <w:pPr>
        <w:ind w:left="1260" w:hanging="510"/>
        <w:spacing w:after="0" w:line="286"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260" w:right="260" w:hanging="510"/>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rFonts w:ascii="Arial" w:cs="Arial" w:eastAsia="Arial" w:hAnsi="Arial"/>
          <w:sz w:val="18"/>
          <w:szCs w:val="18"/>
          <w:color w:val="auto"/>
        </w:rPr>
      </w:pPr>
    </w:p>
    <w:p>
      <w:pPr>
        <w:jc w:val="both"/>
        <w:ind w:left="1260" w:right="20" w:hanging="510"/>
        <w:spacing w:after="0" w:line="263"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jc w:val="both"/>
        <w:ind w:left="1260" w:right="260" w:hanging="510"/>
        <w:spacing w:after="0" w:line="263"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right="60" w:firstLine="749"/>
        <w:spacing w:after="0" w:line="25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9"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9"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260" w:right="100" w:hanging="510"/>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260" w:right="820" w:hanging="510"/>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260" w:right="740" w:hanging="510"/>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1260" w:hanging="510"/>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28" w:lineRule="exact"/>
        <w:rPr>
          <w:rFonts w:ascii="Arial" w:cs="Arial" w:eastAsia="Arial" w:hAnsi="Arial"/>
          <w:sz w:val="17"/>
          <w:szCs w:val="17"/>
          <w:color w:val="auto"/>
        </w:rPr>
      </w:pPr>
    </w:p>
    <w:p>
      <w:pPr>
        <w:ind w:left="1260" w:right="480" w:hanging="510"/>
        <w:spacing w:after="0" w:line="308"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60" w:hanging="510"/>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4" w:lineRule="exact"/>
        <w:rPr>
          <w:sz w:val="20"/>
          <w:szCs w:val="20"/>
          <w:color w:val="auto"/>
        </w:rPr>
      </w:pPr>
    </w:p>
    <w:p>
      <w:pPr>
        <w:ind w:left="1260" w:hanging="510"/>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260" w:right="40" w:hanging="510"/>
        <w:spacing w:after="0" w:line="277"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260" w:right="80" w:hanging="510"/>
        <w:spacing w:after="0" w:line="277"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 For example, we are aware of issued patents that claim a method of treatment based upon a general mode of action. These patents appear to be licensed to a potential competitor. These claims could be alleged to cover our lead product candidate, ORIC-101, in certain treatment indications. While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1"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8"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or unenforceable if challenged in court.</w:t>
      </w:r>
    </w:p>
    <w:p>
      <w:pPr>
        <w:spacing w:after="0" w:line="103"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60"/>
        <w:spacing w:after="0" w:line="311" w:lineRule="auto"/>
        <w:rPr>
          <w:sz w:val="20"/>
          <w:szCs w:val="20"/>
          <w:color w:val="auto"/>
        </w:rPr>
      </w:pPr>
      <w:r>
        <w:rPr>
          <w:rFonts w:ascii="Arial" w:cs="Arial" w:eastAsia="Arial" w:hAnsi="Arial"/>
          <w:sz w:val="16"/>
          <w:szCs w:val="16"/>
          <w:color w:val="auto"/>
        </w:rPr>
        <w:t>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41"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73" w:lineRule="exact"/>
        <w:rPr>
          <w:sz w:val="20"/>
          <w:szCs w:val="20"/>
          <w:color w:val="auto"/>
        </w:rPr>
      </w:pPr>
    </w:p>
    <w:p>
      <w:pPr>
        <w:jc w:val="both"/>
        <w:ind w:right="180" w:firstLine="749"/>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6"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On September 16, 2011, the Leahy-Smith America Invents Act (the Leahy-Smith Act), was signed into law. The Leahy-Smith Act includes a number of significant changes to U.S. patent law. These include provisions that affect the way patent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40"/>
        <w:spacing w:after="0" w:line="270" w:lineRule="auto"/>
        <w:rPr>
          <w:sz w:val="20"/>
          <w:szCs w:val="20"/>
          <w:color w:val="auto"/>
        </w:rPr>
      </w:pPr>
      <w:r>
        <w:rPr>
          <w:rFonts w:ascii="Arial" w:cs="Arial" w:eastAsia="Arial" w:hAnsi="Arial"/>
          <w:sz w:val="17"/>
          <w:szCs w:val="17"/>
          <w:color w:val="auto"/>
        </w:rPr>
        <w:t>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3"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0"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8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Although as of March 31, 2021 we owned three and licensed two issued patents in the United States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58"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8"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March 31, 2021, we had one pending United States trademark application. Our trademark application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69"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29"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9"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4"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9"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7" w:lineRule="exact"/>
        <w:rPr>
          <w:sz w:val="20"/>
          <w:szCs w:val="20"/>
          <w:color w:val="auto"/>
        </w:rPr>
      </w:pPr>
    </w:p>
    <w:p>
      <w:pPr>
        <w:ind w:right="80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29" w:lineRule="exact"/>
        <w:rPr>
          <w:sz w:val="20"/>
          <w:szCs w:val="20"/>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260" w:right="340" w:hanging="510"/>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260" w:right="600" w:hanging="510"/>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160" w:firstLine="749"/>
        <w:spacing w:after="0" w:line="272"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69"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7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patent applications licensed from MSKCC, which do not cover ORIC-101, any of our current product candidates or any of our discovery and research programs, have been supported through the use of U.S. government funding awarded by the National Institutes of Health and the United States Army Medical Research and Materiel Command. 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line="254" w:lineRule="auto"/>
        <w:rPr>
          <w:sz w:val="20"/>
          <w:szCs w:val="20"/>
          <w:color w:val="auto"/>
        </w:rPr>
      </w:pPr>
      <w:r>
        <w:rPr>
          <w:rFonts w:ascii="Arial" w:cs="Arial" w:eastAsia="Arial" w:hAnsi="Arial"/>
          <w:sz w:val="18"/>
          <w:szCs w:val="18"/>
          <w:color w:val="auto"/>
        </w:rPr>
        <w:t>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62"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ORIC-101 and we expect to continue to rely upon third parties to conduct additional clinical trials of ORIC-101 and other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70"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74" w:lineRule="exact"/>
        <w:rPr>
          <w:sz w:val="20"/>
          <w:szCs w:val="20"/>
          <w:color w:val="auto"/>
        </w:rPr>
      </w:pPr>
    </w:p>
    <w:p>
      <w:pPr>
        <w:jc w:val="both"/>
        <w:ind w:right="280" w:firstLine="749"/>
        <w:spacing w:after="0" w:line="311"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production of our product candidates for preclinical studies and, in the case of ORIC-101,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9"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In the case of ORIC-101,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ORIC-101 or any other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firstLine="749"/>
        <w:spacing w:after="0" w:line="286"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7" w:lineRule="exact"/>
        <w:rPr>
          <w:sz w:val="20"/>
          <w:szCs w:val="20"/>
          <w:color w:val="auto"/>
        </w:rPr>
      </w:pPr>
    </w:p>
    <w:p>
      <w:pPr>
        <w:ind w:left="1260" w:right="80" w:hanging="510"/>
        <w:spacing w:after="0" w:line="263"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11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70"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4"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70" w:lineRule="exact"/>
        <w:rPr>
          <w:sz w:val="20"/>
          <w:szCs w:val="20"/>
          <w:color w:val="auto"/>
        </w:rPr>
      </w:pPr>
    </w:p>
    <w:p>
      <w:pPr>
        <w:ind w:left="1260" w:hanging="510"/>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left="1260" w:hanging="51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260" w:right="640" w:hanging="510"/>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1260" w:right="40" w:hanging="510"/>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3"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0"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right="1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3" w:lineRule="exact"/>
        <w:rPr>
          <w:sz w:val="20"/>
          <w:szCs w:val="20"/>
          <w:color w:val="auto"/>
        </w:rPr>
      </w:pPr>
    </w:p>
    <w:p>
      <w:pPr>
        <w:ind w:left="1260" w:right="26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rFonts w:ascii="Arial" w:cs="Arial" w:eastAsia="Arial" w:hAnsi="Arial"/>
          <w:sz w:val="18"/>
          <w:szCs w:val="18"/>
          <w:color w:val="auto"/>
        </w:rPr>
      </w:pPr>
    </w:p>
    <w:p>
      <w:pPr>
        <w:ind w:left="1260" w:right="20" w:hanging="510"/>
        <w:spacing w:after="0" w:line="279" w:lineRule="auto"/>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3" w:lineRule="exact"/>
        <w:rPr>
          <w:rFonts w:ascii="Arial" w:cs="Arial" w:eastAsia="Arial" w:hAnsi="Arial"/>
          <w:sz w:val="17"/>
          <w:szCs w:val="17"/>
          <w:color w:val="auto"/>
        </w:rPr>
      </w:pPr>
    </w:p>
    <w:p>
      <w:pPr>
        <w:ind w:left="1260" w:right="480" w:hanging="510"/>
        <w:spacing w:after="0" w:line="342" w:lineRule="auto"/>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5" w:lineRule="exact"/>
        <w:rPr>
          <w:rFonts w:ascii="Arial" w:cs="Arial" w:eastAsia="Arial" w:hAnsi="Arial"/>
          <w:sz w:val="16"/>
          <w:szCs w:val="16"/>
          <w:color w:val="auto"/>
        </w:rPr>
      </w:pPr>
    </w:p>
    <w:p>
      <w:pPr>
        <w:ind w:left="1260" w:right="140" w:hanging="510"/>
        <w:spacing w:after="0" w:line="308" w:lineRule="auto"/>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260" w:right="140" w:hanging="510"/>
        <w:spacing w:after="0" w:line="263"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260" w:right="42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260" w:hanging="510"/>
        <w:spacing w:after="0" w:line="259"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78" w:lineRule="exact"/>
        <w:rPr>
          <w:rFonts w:ascii="Arial" w:cs="Arial" w:eastAsia="Arial" w:hAnsi="Arial"/>
          <w:sz w:val="18"/>
          <w:szCs w:val="18"/>
          <w:color w:val="auto"/>
        </w:rPr>
      </w:pPr>
    </w:p>
    <w:p>
      <w:pPr>
        <w:ind w:left="1260" w:right="580" w:hanging="510"/>
        <w:spacing w:after="0" w:line="263"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5" w:lineRule="exact"/>
        <w:rPr>
          <w:rFonts w:ascii="Arial" w:cs="Arial" w:eastAsia="Arial" w:hAnsi="Arial"/>
          <w:sz w:val="18"/>
          <w:szCs w:val="18"/>
          <w:color w:val="auto"/>
        </w:rPr>
      </w:pPr>
    </w:p>
    <w:p>
      <w:pPr>
        <w:ind w:left="1260" w:right="68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40" w:lineRule="exact"/>
        <w:rPr>
          <w:rFonts w:ascii="Arial" w:cs="Arial" w:eastAsia="Arial" w:hAnsi="Arial"/>
          <w:sz w:val="16"/>
          <w:szCs w:val="16"/>
          <w:color w:val="auto"/>
        </w:rPr>
      </w:pPr>
    </w:p>
    <w:p>
      <w:pPr>
        <w:ind w:left="1260" w:right="520" w:hanging="510"/>
        <w:spacing w:after="0" w:line="263"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260" w:right="34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the Nasdaq Global Select Market,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17"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103" w:lineRule="exact"/>
        <w:rPr>
          <w:sz w:val="20"/>
          <w:szCs w:val="20"/>
          <w:color w:val="auto"/>
        </w:rPr>
      </w:pPr>
    </w:p>
    <w:p>
      <w:pPr>
        <w:ind w:left="1260" w:right="140" w:hanging="510"/>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60" w:right="400" w:hanging="510"/>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 economic, political, industry and market conditions, including the change of administration in the United States in 2021.</w:t>
      </w:r>
    </w:p>
    <w:p>
      <w:pPr>
        <w:spacing w:after="0" w:line="12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71" w:name="page72"/>
    <w:bookmarkEnd w:id="71"/>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jc w:val="both"/>
        <w:ind w:right="100" w:firstLine="749"/>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9" w:lineRule="exact"/>
        <w:rPr>
          <w:sz w:val="20"/>
          <w:szCs w:val="20"/>
          <w:color w:val="auto"/>
        </w:rPr>
      </w:pPr>
    </w:p>
    <w:p>
      <w:pPr>
        <w:jc w:val="both"/>
        <w:ind w:right="120" w:firstLine="74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260" w:right="140" w:hanging="510"/>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260" w:right="20" w:hanging="510"/>
        <w:spacing w:after="0" w:line="263"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and outcomes of clinical trials for ORIC-101, and any of our other product candidates, or competing product candidates;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1260" w:right="580" w:hanging="510"/>
        <w:spacing w:after="0" w:line="342" w:lineRule="auto"/>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competition from existing and potential future products that compete with ORIC-101 and any of our other product candidates, and changes in the competitive landscape of our industry, including consolidation among our competitors or partners;</w:t>
      </w:r>
    </w:p>
    <w:p>
      <w:pPr>
        <w:spacing w:after="0" w:line="15" w:lineRule="exact"/>
        <w:rPr>
          <w:rFonts w:ascii="Arial" w:cs="Arial" w:eastAsia="Arial" w:hAnsi="Arial"/>
          <w:sz w:val="16"/>
          <w:szCs w:val="16"/>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delays in regulatory review or approval of ORIC-101 or any of our other product candidates;</w:t>
      </w:r>
    </w:p>
    <w:p>
      <w:pPr>
        <w:spacing w:after="0" w:line="117"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demand for ORIC-101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ORIC-101 and any of our other product candidates;</w:t>
      </w:r>
    </w:p>
    <w:p>
      <w:pPr>
        <w:spacing w:after="0" w:line="62" w:lineRule="exact"/>
        <w:rPr>
          <w:rFonts w:ascii="Arial" w:cs="Arial" w:eastAsia="Arial" w:hAnsi="Arial"/>
          <w:sz w:val="18"/>
          <w:szCs w:val="18"/>
          <w:color w:val="auto"/>
        </w:rPr>
      </w:pPr>
    </w:p>
    <w:p>
      <w:pPr>
        <w:ind w:left="1260" w:right="400" w:hanging="510"/>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commercialize ORIC-101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ind w:right="160" w:firstLine="74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As of March 31, 2021, our executive officers, directors, holders of 5% or more of our common stock and their respective affiliates beneficially owned approximately 53%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8"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6" w:lineRule="exact"/>
        <w:rPr>
          <w:sz w:val="20"/>
          <w:szCs w:val="20"/>
          <w:color w:val="auto"/>
        </w:rPr>
      </w:pPr>
    </w:p>
    <w:p>
      <w:pPr>
        <w:ind w:left="1260" w:right="340" w:hanging="510"/>
        <w:spacing w:after="0" w:line="263"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75" w:lineRule="exact"/>
        <w:rPr>
          <w:rFonts w:ascii="Arial" w:cs="Arial" w:eastAsia="Arial" w:hAnsi="Arial"/>
          <w:sz w:val="18"/>
          <w:szCs w:val="18"/>
          <w:color w:val="auto"/>
        </w:rPr>
      </w:pPr>
    </w:p>
    <w:p>
      <w:pPr>
        <w:ind w:left="1260" w:right="360" w:hanging="510"/>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62" w:lineRule="exact"/>
        <w:rPr>
          <w:rFonts w:ascii="Arial" w:cs="Arial" w:eastAsia="Arial" w:hAnsi="Arial"/>
          <w:sz w:val="18"/>
          <w:szCs w:val="18"/>
          <w:color w:val="auto"/>
        </w:rPr>
      </w:pPr>
    </w:p>
    <w:p>
      <w:pPr>
        <w:ind w:left="1260" w:right="220" w:hanging="510"/>
        <w:spacing w:after="0" w:line="263"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1260" w:right="20" w:hanging="510"/>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EGCs that elect to avail themselves of the exemption from new or revised accounting pronouncements as of public company effective 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left="760"/>
        <w:spacing w:after="0"/>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(2) the date we qualify as a “large accelerated filer,” with at least $700.0 million of equity securities held by non-affiliates;</w:t>
      </w:r>
    </w:p>
    <w:p>
      <w:pPr>
        <w:spacing w:after="0" w:line="32" w:lineRule="exact"/>
        <w:rPr>
          <w:sz w:val="20"/>
          <w:szCs w:val="20"/>
          <w:color w:val="auto"/>
        </w:rPr>
      </w:pPr>
    </w:p>
    <w:p>
      <w:pPr>
        <w:ind w:right="340" w:firstLine="8"/>
        <w:spacing w:after="0" w:line="26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and (4) December 31, 2025.</w:t>
      </w:r>
    </w:p>
    <w:p>
      <w:pPr>
        <w:spacing w:after="0" w:line="77"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7"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3" w:lineRule="exact"/>
        <w:rPr>
          <w:sz w:val="20"/>
          <w:szCs w:val="20"/>
          <w:color w:val="auto"/>
        </w:rPr>
      </w:pPr>
    </w:p>
    <w:p>
      <w:pPr>
        <w:ind w:right="240" w:firstLine="749"/>
        <w:spacing w:after="0" w:line="25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6"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1260" w:right="600" w:hanging="510"/>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1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76" w:lineRule="exact"/>
        <w:rPr>
          <w:sz w:val="20"/>
          <w:szCs w:val="20"/>
          <w:color w:val="auto"/>
        </w:rPr>
      </w:pPr>
    </w:p>
    <w:p>
      <w:pPr>
        <w:ind w:right="200" w:firstLine="74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260" w:hanging="510"/>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left="1260" w:right="60" w:hanging="510"/>
        <w:spacing w:after="0" w:line="277"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03"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80"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 No offering expenses were paid or are payable, directly or indirectly, to our directors or officers, to persons owning 10% or more of any class of our equity securities or to any of our affiliates.</w:t>
      </w:r>
    </w:p>
    <w:p>
      <w:pPr>
        <w:spacing w:after="0" w:line="69" w:lineRule="exact"/>
        <w:rPr>
          <w:sz w:val="20"/>
          <w:szCs w:val="20"/>
          <w:color w:val="auto"/>
        </w:rPr>
      </w:pPr>
    </w:p>
    <w:p>
      <w:pPr>
        <w:jc w:val="both"/>
        <w:ind w:right="40" w:firstLine="749"/>
        <w:spacing w:after="0" w:line="287"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 No offering expenses were paid or are payable, directly or indirectly, to our directors or officers, to persons owning 10% or more of any class of our equity securities or to any of our affiliates.</w:t>
      </w:r>
    </w:p>
    <w:p>
      <w:pPr>
        <w:spacing w:after="0" w:line="85"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5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On August 3, 2020, we issued 588,235 shares of common stock to Mirati in connection with the Mirati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Mirati in a stock issuance agreement entered into between us and Mirati, dated August 3, 2020. During the eighteen-month period following the date of the stock issuance agreement, Mirati is subject to certain transfer restrictions, and the parties agreed to negotiate and enter into a registration rights agreement, with respect to the shares.</w:t>
      </w:r>
    </w:p>
    <w:p>
      <w:pPr>
        <w:spacing w:after="0" w:line="84" w:lineRule="exact"/>
        <w:rPr>
          <w:sz w:val="20"/>
          <w:szCs w:val="20"/>
          <w:color w:val="auto"/>
        </w:rPr>
      </w:pPr>
    </w:p>
    <w:p>
      <w:pPr>
        <w:ind w:right="240" w:firstLine="749"/>
        <w:spacing w:after="0" w:line="275" w:lineRule="auto"/>
        <w:rPr>
          <w:sz w:val="20"/>
          <w:szCs w:val="20"/>
          <w:color w:val="auto"/>
        </w:rPr>
      </w:pPr>
      <w:r>
        <w:rPr>
          <w:rFonts w:ascii="Arial" w:cs="Arial" w:eastAsia="Arial" w:hAnsi="Arial"/>
          <w:sz w:val="17"/>
          <w:szCs w:val="17"/>
          <w:color w:val="auto"/>
        </w:rPr>
        <w:t>On October 19, 2020, we issued 283,259 shares of common stock to Voronoi in connection with the Voronoi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Voronoi in a stock issuance agreement entered into between us and Voronoi, dated October 19, 2020. During the twenty-four month period following the date of the stock issuance agreement, Voronoi is subject to certain transfer and standstill restrictions.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gridSpan w:val="2"/>
            <w:vMerge w:val="continue"/>
          </w:tcPr>
          <w:p>
            <w:pPr>
              <w:spacing w:after="0"/>
              <w:rPr>
                <w:sz w:val="10"/>
                <w:szCs w:val="10"/>
                <w:color w:val="auto"/>
              </w:rPr>
            </w:pPr>
          </w:p>
        </w:tc>
        <w:tc>
          <w:tcPr>
            <w:tcW w:w="4460" w:type="dxa"/>
            <w:vAlign w:val="bottom"/>
            <w:gridSpan w:val="11"/>
            <w:vMerge w:val="restart"/>
          </w:tcPr>
          <w:p>
            <w:pPr>
              <w:ind w:left="152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File No.</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6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4460" w:type="dxa"/>
            <w:vAlign w:val="bottom"/>
            <w:gridSpan w:val="11"/>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4000" w:type="dxa"/>
            <w:vAlign w:val="bottom"/>
            <w:tcBorders>
              <w:top w:val="single" w:sz="8" w:color="auto"/>
              <w:bottom w:val="single" w:sz="8" w:color="0000EE"/>
            </w:tcBorders>
            <w:gridSpan w:val="6"/>
          </w:tcPr>
          <w:p>
            <w:pPr>
              <w:ind w:left="20"/>
              <w:spacing w:after="0" w:line="169"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of Principal Executive Officer Pursuant to</w:t>
              </w:r>
            </w:hyperlink>
          </w:p>
        </w:tc>
        <w:tc>
          <w:tcPr>
            <w:tcW w:w="240" w:type="dxa"/>
            <w:vAlign w:val="bottom"/>
            <w:tcBorders>
              <w:top w:val="single" w:sz="8" w:color="auto"/>
            </w:tcBorders>
            <w:gridSpan w:val="4"/>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Rules 13a-14(a) and 15d-14(a) under the Securities</w:t>
              </w:r>
            </w:hyperlink>
          </w:p>
        </w:tc>
        <w:tc>
          <w:tcPr>
            <w:tcW w:w="76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Exchange Act of 1934, as Adopted Pursuant to Section</w:t>
              </w:r>
            </w:hyperlink>
          </w:p>
        </w:tc>
        <w:tc>
          <w:tcPr>
            <w:tcW w:w="4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gridSpan w:val="11"/>
          </w:tcPr>
          <w:p>
            <w:pPr>
              <w:ind w:left="2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302 of the Sarbanes-Oxley Act of 2002.</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4460" w:type="dxa"/>
            <w:vAlign w:val="bottom"/>
            <w:gridSpan w:val="11"/>
          </w:tcPr>
          <w:p>
            <w:pPr>
              <w:ind w:lef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Certification of Principal Financial Officer Pursuant to</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Rules 13a-14(a) and 15d-14(a) under the Securities</w:t>
              </w:r>
            </w:hyperlink>
          </w:p>
        </w:tc>
        <w:tc>
          <w:tcPr>
            <w:tcW w:w="240" w:type="dxa"/>
            <w:vAlign w:val="bottom"/>
            <w:tcBorders>
              <w:top w:val="single" w:sz="8" w:color="0000EE"/>
            </w:tcBorders>
          </w:tcPr>
          <w:p>
            <w:pPr>
              <w:spacing w:after="0"/>
              <w:rPr>
                <w:sz w:val="17"/>
                <w:szCs w:val="17"/>
                <w:color w:val="auto"/>
              </w:rPr>
            </w:pPr>
          </w:p>
        </w:tc>
        <w:tc>
          <w:tcPr>
            <w:tcW w:w="52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Exchange Act of 1934, as Adopted Pursuant to Section</w:t>
              </w:r>
            </w:hyperlink>
          </w:p>
        </w:tc>
        <w:tc>
          <w:tcPr>
            <w:tcW w:w="48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gridSpan w:val="11"/>
          </w:tcPr>
          <w:p>
            <w:pPr>
              <w:ind w:lef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302 of the Sarbanes-Oxley Act of 2002.</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42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Certification of Principal Executive Officer Pursuant to 18</w:t>
              </w:r>
            </w:hyperlink>
          </w:p>
        </w:tc>
        <w:tc>
          <w:tcPr>
            <w:tcW w:w="2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gridSpan w:val="11"/>
          </w:tcPr>
          <w:p>
            <w:pPr>
              <w:ind w:left="20"/>
              <w:spacing w:after="0" w:line="19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U.S.C. Section 1350, as Adopted Pursuant to Section 906</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of the Sarbanes-Oxley Act of 2002.</w:t>
              </w:r>
            </w:hyperlink>
          </w:p>
        </w:tc>
        <w:tc>
          <w:tcPr>
            <w:tcW w:w="32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4460" w:type="dxa"/>
            <w:vAlign w:val="bottom"/>
            <w:gridSpan w:val="11"/>
          </w:tcPr>
          <w:p>
            <w:pPr>
              <w:ind w:left="20"/>
              <w:spacing w:after="0" w:line="196" w:lineRule="exact"/>
              <w:rPr>
                <w:rFonts w:ascii="Arial" w:cs="Arial" w:eastAsia="Arial" w:hAnsi="Arial"/>
                <w:sz w:val="18"/>
                <w:szCs w:val="18"/>
                <w:color w:val="0000EE"/>
                <w:w w:val="99"/>
              </w:rPr>
            </w:pPr>
            <w:hyperlink w:anchor="page83">
              <w:r>
                <w:rPr>
                  <w:rFonts w:ascii="Arial" w:cs="Arial" w:eastAsia="Arial" w:hAnsi="Arial"/>
                  <w:sz w:val="18"/>
                  <w:szCs w:val="18"/>
                  <w:color w:val="0000EE"/>
                  <w:w w:val="99"/>
                </w:rPr>
                <w:t>Certification of Principal Financial Officer Pursuant to 18</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top w:val="single" w:sz="8" w:color="0000EE"/>
            </w:tcBorders>
            <w:gridSpan w:val="8"/>
          </w:tcPr>
          <w:p>
            <w:pPr>
              <w:ind w:left="20"/>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U.S.C. Section 1350, as Adopted Pursuant to Section 906</w:t>
              </w:r>
            </w:hyperlink>
          </w:p>
        </w:tc>
        <w:tc>
          <w:tcPr>
            <w:tcW w:w="3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of the Sarbanes-Oxley Act of 2002.</w:t>
              </w:r>
            </w:hyperlink>
          </w:p>
        </w:tc>
        <w:tc>
          <w:tcPr>
            <w:tcW w:w="32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INLINE XBRL Instance Document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Calculation</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Linkbase Document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Definition Linkbase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Label Linkbase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INLINE XBRL Taxonomy Extension Presentation</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rPr>
              <w:t>Linkbase Document</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60" w:right="6020" w:hanging="1252"/>
        <w:spacing w:after="0" w:line="260"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ORIC Pharmaceuticals, Inc.</w:t>
      </w:r>
    </w:p>
    <w:p>
      <w:pPr>
        <w:spacing w:after="0" w:line="256" w:lineRule="exact"/>
        <w:rPr>
          <w:sz w:val="20"/>
          <w:szCs w:val="20"/>
          <w:color w:val="auto"/>
        </w:rPr>
      </w:pPr>
    </w:p>
    <w:p>
      <w:pPr>
        <w:spacing w:after="0"/>
        <w:tabs>
          <w:tab w:leader="none" w:pos="5440" w:val="left"/>
          <w:tab w:leader="none" w:pos="776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446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Jacob M. Chacko, M.D.</w:t>
      </w:r>
    </w:p>
    <w:p>
      <w:pPr>
        <w:spacing w:after="0" w:line="104" w:lineRule="exact"/>
        <w:rPr>
          <w:sz w:val="20"/>
          <w:szCs w:val="20"/>
          <w:color w:val="auto"/>
        </w:rPr>
      </w:pPr>
    </w:p>
    <w:p>
      <w:pPr>
        <w:ind w:left="7500"/>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232" w:lineRule="exact"/>
        <w:rPr>
          <w:sz w:val="20"/>
          <w:szCs w:val="20"/>
          <w:color w:val="auto"/>
        </w:rPr>
      </w:pPr>
    </w:p>
    <w:p>
      <w:pPr>
        <w:spacing w:after="0"/>
        <w:tabs>
          <w:tab w:leader="none" w:pos="5440" w:val="left"/>
          <w:tab w:leader="none" w:pos="77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4461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Dominic Piscitelli</w:t>
      </w:r>
    </w:p>
    <w:p>
      <w:pPr>
        <w:spacing w:after="0" w:line="104" w:lineRule="exact"/>
        <w:rPr>
          <w:sz w:val="20"/>
          <w:szCs w:val="20"/>
          <w:color w:val="auto"/>
        </w:rPr>
      </w:pPr>
    </w:p>
    <w:p>
      <w:pPr>
        <w:ind w:left="7900"/>
        <w:spacing w:after="0"/>
        <w:rPr>
          <w:sz w:val="20"/>
          <w:szCs w:val="20"/>
          <w:color w:val="auto"/>
        </w:rPr>
      </w:pPr>
      <w:r>
        <w:rPr>
          <w:rFonts w:ascii="Arial" w:cs="Arial" w:eastAsia="Arial" w:hAnsi="Arial"/>
          <w:sz w:val="13"/>
          <w:szCs w:val="13"/>
          <w:b w:val="1"/>
          <w:bCs w:val="1"/>
          <w:color w:val="auto"/>
        </w:rPr>
        <w:t>Chief Financial Officer</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553" w:right="5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22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Jacob M. Chacko, M.D.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22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3"/>
    </w:lvl>
  </w:abstractNum>
  <w:abstractNum w:abstractNumId="7">
    <w:nsid w:val="3804823E"/>
    <w:multiLevelType w:val="hybridMultilevel"/>
    <w:lvl w:ilvl="0">
      <w:lvlJc w:val="left"/>
      <w:lvlText w:val="%1."/>
      <w:numFmt w:val="decimal"/>
      <w:start w:val="4"/>
    </w:lvl>
  </w:abstractNum>
  <w:abstractNum w:abstractNumId="8">
    <w:nsid w:val="77465F01"/>
    <w:multiLevelType w:val="hybridMultilevel"/>
    <w:lvl w:ilvl="0">
      <w:lvlJc w:val="left"/>
      <w:lvlText w:val="%1."/>
      <w:numFmt w:val="decimal"/>
      <w:start w:val="6"/>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decimal"/>
      <w:start w:val="1"/>
    </w:lvl>
    <w:lvl w:ilvl="1">
      <w:lvlJc w:val="left"/>
      <w:lvlText w:val="(%2)"/>
      <w:numFmt w:val="decimal"/>
      <w:start w:val="1"/>
    </w:lvl>
  </w:abstractNum>
  <w:abstractNum w:abstractNumId="11">
    <w:nsid w:val="2463B9EA"/>
    <w:multiLevelType w:val="hybridMultilevel"/>
    <w:lvl w:ilvl="0">
      <w:lvlJc w:val="left"/>
      <w:lvlText w:val="%1."/>
      <w:numFmt w:val="decimal"/>
      <w:start w:val="8"/>
    </w:lvl>
    <w:lvl w:ilvl="1">
      <w:lvlJc w:val="left"/>
      <w:lvlText w:val="%2"/>
      <w:numFmt w:val="decimal"/>
      <w:start w:val="1"/>
    </w:lvl>
  </w:abstractNum>
  <w:abstractNum w:abstractNumId="12">
    <w:nsid w:val="5E884ADC"/>
    <w:multiLevelType w:val="hybridMultilevel"/>
    <w:lvl w:ilvl="0">
      <w:lvlJc w:val="left"/>
      <w:lvlText w:val="%1."/>
      <w:numFmt w:val="decimal"/>
      <w:start w:val="9"/>
    </w:lvl>
  </w:abstractNum>
  <w:abstractNum w:abstractNumId="13">
    <w:nsid w:val="51EAD36B"/>
    <w:multiLevelType w:val="hybridMultilevel"/>
    <w:lvl w:ilvl="0">
      <w:lvlJc w:val="left"/>
      <w:lvlText w:val="(%1)"/>
      <w:numFmt w:val="decimal"/>
      <w:start w:val="2"/>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decimal"/>
      <w:start w:val="3"/>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04"/>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2021-05-06T15:51:51Z</dcterms:created>
  <dcterms:modified xsi:type="dcterms:W3CDTF">2021-05-06T15:51:51Z</dcterms:modified>
</cp:coreProperties>
</file>