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82026_080834.xml.htm"/>
      <w:bookmarkStart w:id="1" w:name="ksform408282026_0808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Piscitelli Dominic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ORIC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 E. GRAND AVE.,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Oric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925"/>
        <w:gridCol w:w="1173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4.36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121,828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146,828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13.6859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69,828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1,680 shares of Common Stock acquired under the Issuer's 2020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were effected pursuant to a Rule 10b5-1 trading plan adopted by the Reporting Person on May 26,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25% of the shares subject to the option vested on February 1, 2024, and 1/36th of the remaining shares subject to the option shall vest each month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Kuhlen,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5028" TargetMode="External"/><Relationship Id="rId5" Type="http://schemas.openxmlformats.org/officeDocument/2006/relationships/hyperlink" Target="http://www.sec.gov/cgi-bin/browse-edgar?action=getcompany&amp;CIK=0001796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689</Words>
  <Characters>3709</Characters>
  <CharactersWithSpaces>4288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