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22026_091044.xml.htm"/>
      <w:bookmarkStart w:id="1" w:name="ksform410022026_0910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Heyman Richard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ORIC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 E. GRAND AVE.,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Oric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8"/>
        <w:gridCol w:w="911"/>
        <w:gridCol w:w="781"/>
        <w:gridCol w:w="605"/>
        <w:gridCol w:w="344"/>
        <w:gridCol w:w="827"/>
        <w:gridCol w:w="436"/>
        <w:gridCol w:w="981"/>
        <w:gridCol w:w="1136"/>
        <w:gridCol w:w="980"/>
        <w:gridCol w:w="103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41,800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12.9141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38,300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3,200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12.9141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203,472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Rule 10b5-1 trading plan adopted by the Reporting Person and RAHD Capital, LLC.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$12.57 to $13.39.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held of record by RAHD Capital, LLC, and the Reporting Person has voting and investment power with respect to such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subject to the option are fully vested and immediately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Kuhlen,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4759" TargetMode="External"/><Relationship Id="rId5" Type="http://schemas.openxmlformats.org/officeDocument/2006/relationships/hyperlink" Target="http://www.sec.gov/cgi-bin/browse-edgar?action=getcompany&amp;CIK=0001796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719</Words>
  <Characters>3866</Characters>
  <CharactersWithSpaces>4486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