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231F20"/>
        </w:rPr>
        <mc:AlternateContent>
          <mc:Choice Requires="wps">
            <w:drawing>
              <wp:anchor simplePos="0" relativeHeight="251657728" behindDoc="1" locked="0" layoutInCell="0" allowOverlap="1">
                <wp:simplePos x="0" y="0"/>
                <wp:positionH relativeFrom="page">
                  <wp:posOffset>342900</wp:posOffset>
                </wp:positionH>
                <wp:positionV relativeFrom="page">
                  <wp:posOffset>549910</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43.3pt" to="567pt,43.3pt" o:allowincell="f" strokecolor="#231F2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342900</wp:posOffset>
                </wp:positionH>
                <wp:positionV relativeFrom="page">
                  <wp:posOffset>568960</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44.8pt" to="567pt,44.8pt" o:allowincell="f" strokecolor="#231F20" strokeweight="0.75pt">
                <w10:wrap anchorx="page" anchory="page"/>
              </v:line>
            </w:pict>
          </mc:Fallback>
        </mc:AlternateContent>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53975</wp:posOffset>
                </wp:positionV>
                <wp:extent cx="1371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25pt" to="324pt,4.25pt" o:allowincell="f" strokecolor="#231F20" strokeweight="0.5pt"/>
            </w:pict>
          </mc:Fallback>
        </mc:AlternateConten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231F20"/>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86360</wp:posOffset>
                </wp:positionV>
                <wp:extent cx="1371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8pt" to="324pt,6.8pt" o:allowincell="f" strokecolor="#231F20" strokeweight="0.5pt"/>
            </w:pict>
          </mc:Fallback>
        </mc:AlternateConten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(Mark One)</w:t>
      </w:r>
    </w:p>
    <w:p>
      <w:pPr>
        <w:spacing w:after="0" w:line="108" w:lineRule="exact"/>
        <w:rPr>
          <w:sz w:val="24"/>
          <w:szCs w:val="24"/>
          <w:color w:val="auto"/>
        </w:rPr>
      </w:pPr>
    </w:p>
    <w:p>
      <w:pPr>
        <w:ind w:left="440" w:hanging="426"/>
        <w:spacing w:after="0"/>
        <w:tabs>
          <w:tab w:leader="none" w:pos="440" w:val="left"/>
        </w:tabs>
        <w:numPr>
          <w:ilvl w:val="0"/>
          <w:numId w:val="1"/>
        </w:numPr>
        <w:rPr>
          <w:rFonts w:ascii="Segoe UI Symbol" w:cs="Segoe UI Symbol" w:eastAsia="Segoe UI Symbol" w:hAnsi="Segoe UI Symbol"/>
          <w:sz w:val="18"/>
          <w:szCs w:val="18"/>
          <w:b w:val="1"/>
          <w:bCs w:val="1"/>
          <w:color w:val="231F20"/>
        </w:rPr>
      </w:pPr>
      <w:r>
        <w:rPr>
          <w:rFonts w:ascii="Times New Roman" w:cs="Times New Roman" w:eastAsia="Times New Roman" w:hAnsi="Times New Roman"/>
          <w:sz w:val="18"/>
          <w:szCs w:val="18"/>
          <w:b w:val="1"/>
          <w:bCs w:val="1"/>
          <w:color w:val="231F20"/>
        </w:rPr>
        <w:t>ANNUAL REPORT PURSUANT TO SECTION 13 OR 15(d) OF THE SECURITIES EXCHANGE ACT OF 1934</w:t>
      </w:r>
    </w:p>
    <w:p>
      <w:pPr>
        <w:spacing w:after="0" w:line="33" w:lineRule="exact"/>
        <w:rPr>
          <w:rFonts w:ascii="Segoe UI Symbol" w:cs="Segoe UI Symbol" w:eastAsia="Segoe UI Symbol" w:hAnsi="Segoe UI Symbol"/>
          <w:sz w:val="18"/>
          <w:szCs w:val="18"/>
          <w:b w:val="1"/>
          <w:bCs w:val="1"/>
          <w:color w:val="231F20"/>
        </w:rPr>
      </w:pPr>
    </w:p>
    <w:p>
      <w:pPr>
        <w:ind w:left="3520"/>
        <w:spacing w:after="0"/>
        <w:rPr>
          <w:rFonts w:ascii="Segoe UI Symbol" w:cs="Segoe UI Symbol" w:eastAsia="Segoe UI Symbol" w:hAnsi="Segoe UI Symbol"/>
          <w:sz w:val="18"/>
          <w:szCs w:val="18"/>
          <w:b w:val="1"/>
          <w:bCs w:val="1"/>
          <w:color w:val="231F20"/>
        </w:rPr>
      </w:pPr>
      <w:r>
        <w:rPr>
          <w:rFonts w:ascii="Times New Roman" w:cs="Times New Roman" w:eastAsia="Times New Roman" w:hAnsi="Times New Roman"/>
          <w:sz w:val="20"/>
          <w:szCs w:val="20"/>
          <w:b w:val="1"/>
          <w:bCs w:val="1"/>
          <w:color w:val="231F20"/>
        </w:rPr>
        <w:t>For the fiscal year ended December 31, 2025</w:t>
      </w:r>
    </w:p>
    <w:p>
      <w:pPr>
        <w:spacing w:after="0" w:line="60" w:lineRule="exact"/>
        <w:rPr>
          <w:rFonts w:ascii="Segoe UI Symbol" w:cs="Segoe UI Symbol" w:eastAsia="Segoe UI Symbol" w:hAnsi="Segoe UI Symbol"/>
          <w:sz w:val="18"/>
          <w:szCs w:val="18"/>
          <w:b w:val="1"/>
          <w:bCs w:val="1"/>
          <w:color w:val="231F20"/>
        </w:rPr>
      </w:pPr>
    </w:p>
    <w:p>
      <w:pPr>
        <w:ind w:left="5260"/>
        <w:spacing w:after="0"/>
        <w:rPr>
          <w:rFonts w:ascii="Segoe UI Symbol" w:cs="Segoe UI Symbol" w:eastAsia="Segoe UI Symbol" w:hAnsi="Segoe UI Symbol"/>
          <w:sz w:val="18"/>
          <w:szCs w:val="18"/>
          <w:b w:val="1"/>
          <w:bCs w:val="1"/>
          <w:color w:val="231F20"/>
        </w:rPr>
      </w:pPr>
      <w:r>
        <w:rPr>
          <w:rFonts w:ascii="Times New Roman" w:cs="Times New Roman" w:eastAsia="Times New Roman" w:hAnsi="Times New Roman"/>
          <w:sz w:val="20"/>
          <w:szCs w:val="20"/>
          <w:b w:val="1"/>
          <w:bCs w:val="1"/>
          <w:color w:val="231F20"/>
        </w:rPr>
        <w:t>OR</w:t>
      </w:r>
    </w:p>
    <w:p>
      <w:pPr>
        <w:spacing w:after="0" w:line="112" w:lineRule="exact"/>
        <w:rPr>
          <w:sz w:val="24"/>
          <w:szCs w:val="24"/>
          <w:color w:val="auto"/>
        </w:rPr>
      </w:pPr>
    </w:p>
    <w:p>
      <w:pPr>
        <w:ind w:left="440" w:hanging="426"/>
        <w:spacing w:after="0"/>
        <w:tabs>
          <w:tab w:leader="none" w:pos="440" w:val="left"/>
        </w:tabs>
        <w:numPr>
          <w:ilvl w:val="0"/>
          <w:numId w:val="2"/>
        </w:numPr>
        <w:rPr>
          <w:rFonts w:ascii="Segoe UI Symbol" w:cs="Segoe UI Symbol" w:eastAsia="Segoe UI Symbol" w:hAnsi="Segoe UI Symbol"/>
          <w:sz w:val="18"/>
          <w:szCs w:val="18"/>
          <w:b w:val="1"/>
          <w:bCs w:val="1"/>
          <w:color w:val="231F20"/>
        </w:rPr>
      </w:pPr>
      <w:r>
        <w:rPr>
          <w:rFonts w:ascii="Times New Roman" w:cs="Times New Roman" w:eastAsia="Times New Roman" w:hAnsi="Times New Roman"/>
          <w:sz w:val="18"/>
          <w:szCs w:val="18"/>
          <w:b w:val="1"/>
          <w:bCs w:val="1"/>
          <w:color w:val="231F20"/>
        </w:rPr>
        <w:t>TRANSITION REPORT PURSUANT TO SECTION 13 OR 15(d) OF THE SECURITIES EXCHANGE ACT OF 1934</w:t>
      </w:r>
    </w:p>
    <w:p>
      <w:pPr>
        <w:spacing w:after="0" w:line="13" w:lineRule="exact"/>
        <w:rPr>
          <w:sz w:val="24"/>
          <w:szCs w:val="24"/>
          <w:color w:val="auto"/>
        </w:rPr>
      </w:pPr>
    </w:p>
    <w:p>
      <w:pPr>
        <w:ind w:left="422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231F20"/>
        </w:rPr>
        <w:t>For the transition period from</w:t>
      </w:r>
      <w:r>
        <w:rPr>
          <w:sz w:val="20"/>
          <w:szCs w:val="20"/>
          <w:color w:val="auto"/>
        </w:rPr>
        <w:tab/>
      </w:r>
      <w:r>
        <w:rPr>
          <w:rFonts w:ascii="Times New Roman" w:cs="Times New Roman" w:eastAsia="Times New Roman" w:hAnsi="Times New Roman"/>
          <w:sz w:val="18"/>
          <w:szCs w:val="18"/>
          <w:b w:val="1"/>
          <w:bCs w:val="1"/>
          <w:color w:val="231F20"/>
        </w:rPr>
        <w:t>to</w:t>
      </w:r>
    </w:p>
    <w:p>
      <w:pPr>
        <w:spacing w:after="0" w:line="6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231F20"/>
        </w:rPr>
        <w:t>Commission File Number: 001-39269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72390</wp:posOffset>
                </wp:positionV>
                <wp:extent cx="1371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7pt" to="324pt,5.7pt" o:allowincell="f" strokecolor="#231F20" strokeweight="0.5pt"/>
            </w:pict>
          </mc:Fallback>
        </mc:AlternateConten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231F20"/>
        </w:rPr>
        <w:t>ORIC PHARMACEUTICALS,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54610</wp:posOffset>
                </wp:positionV>
                <wp:extent cx="13716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3pt" to="324pt,4.3pt" o:allowincell="f" strokecolor="#231F20" strokeweight="0.5pt"/>
            </w:pict>
          </mc:Fallback>
        </mc:AlternateContent>
      </w:r>
    </w:p>
    <w:p>
      <w:pPr>
        <w:spacing w:after="0" w:line="117" w:lineRule="exact"/>
        <w:rPr>
          <w:sz w:val="24"/>
          <w:szCs w:val="24"/>
          <w:color w:val="auto"/>
        </w:rPr>
      </w:pPr>
    </w:p>
    <w:tbl>
      <w:tblPr>
        <w:tblLayout w:type="fixed"/>
        <w:tblInd w:w="860" w:type="dxa"/>
        <w:tblCellMar>
          <w:top w:w="0" w:type="dxa"/>
          <w:left w:w="0" w:type="dxa"/>
          <w:bottom w:w="0" w:type="dxa"/>
          <w:right w:w="0" w:type="dxa"/>
        </w:tblCellMar>
      </w:tblPr>
      <w:tr>
        <w:trPr>
          <w:trHeight w:val="237"/>
        </w:trPr>
        <w:tc>
          <w:tcPr>
            <w:tcW w:w="4900" w:type="dxa"/>
            <w:vAlign w:val="bottom"/>
          </w:tcPr>
          <w:p>
            <w:pPr>
              <w:jc w:val="center"/>
              <w:ind w:right="1200"/>
              <w:spacing w:after="0"/>
              <w:rPr>
                <w:sz w:val="20"/>
                <w:szCs w:val="20"/>
                <w:color w:val="auto"/>
              </w:rPr>
            </w:pPr>
            <w:r>
              <w:rPr>
                <w:rFonts w:ascii="Times New Roman" w:cs="Times New Roman" w:eastAsia="Times New Roman" w:hAnsi="Times New Roman"/>
                <w:sz w:val="20"/>
                <w:szCs w:val="20"/>
                <w:b w:val="1"/>
                <w:bCs w:val="1"/>
                <w:color w:val="231F20"/>
              </w:rPr>
              <w:t>Delaware</w:t>
            </w:r>
          </w:p>
        </w:tc>
        <w:tc>
          <w:tcPr>
            <w:tcW w:w="3440" w:type="dxa"/>
            <w:vAlign w:val="bottom"/>
          </w:tcPr>
          <w:p>
            <w:pPr>
              <w:jc w:val="right"/>
              <w:ind w:right="625"/>
              <w:spacing w:after="0"/>
              <w:rPr>
                <w:sz w:val="20"/>
                <w:szCs w:val="20"/>
                <w:color w:val="auto"/>
              </w:rPr>
            </w:pPr>
            <w:r>
              <w:rPr>
                <w:rFonts w:ascii="Times New Roman" w:cs="Times New Roman" w:eastAsia="Times New Roman" w:hAnsi="Times New Roman"/>
                <w:sz w:val="16"/>
                <w:szCs w:val="16"/>
                <w:b w:val="1"/>
                <w:bCs w:val="1"/>
                <w:color w:val="231F20"/>
              </w:rPr>
              <w:t>47-1787157</w:t>
            </w:r>
          </w:p>
        </w:tc>
      </w:tr>
      <w:tr>
        <w:trPr>
          <w:trHeight w:val="191"/>
        </w:trPr>
        <w:tc>
          <w:tcPr>
            <w:tcW w:w="4900" w:type="dxa"/>
            <w:vAlign w:val="bottom"/>
          </w:tcPr>
          <w:p>
            <w:pPr>
              <w:jc w:val="center"/>
              <w:ind w:right="1200"/>
              <w:spacing w:after="0"/>
              <w:rPr>
                <w:sz w:val="20"/>
                <w:szCs w:val="20"/>
                <w:color w:val="auto"/>
              </w:rPr>
            </w:pPr>
            <w:r>
              <w:rPr>
                <w:rFonts w:ascii="Times New Roman" w:cs="Times New Roman" w:eastAsia="Times New Roman" w:hAnsi="Times New Roman"/>
                <w:sz w:val="14"/>
                <w:szCs w:val="14"/>
                <w:b w:val="1"/>
                <w:bCs w:val="1"/>
                <w:color w:val="231F20"/>
              </w:rPr>
              <w:t>(State or other jurisdiction of incorporation or organization)</w:t>
            </w:r>
          </w:p>
        </w:tc>
        <w:tc>
          <w:tcPr>
            <w:tcW w:w="3440" w:type="dxa"/>
            <w:vAlign w:val="bottom"/>
          </w:tcPr>
          <w:p>
            <w:pPr>
              <w:jc w:val="center"/>
              <w:ind w:left="1205"/>
              <w:spacing w:after="0"/>
              <w:rPr>
                <w:sz w:val="20"/>
                <w:szCs w:val="20"/>
                <w:color w:val="auto"/>
              </w:rPr>
            </w:pPr>
            <w:r>
              <w:rPr>
                <w:rFonts w:ascii="Times New Roman" w:cs="Times New Roman" w:eastAsia="Times New Roman" w:hAnsi="Times New Roman"/>
                <w:sz w:val="14"/>
                <w:szCs w:val="14"/>
                <w:b w:val="1"/>
                <w:bCs w:val="1"/>
                <w:color w:val="231F20"/>
              </w:rPr>
              <w:t>(I.R.S. Employer Identification No.)</w:t>
            </w:r>
          </w:p>
        </w:tc>
      </w:tr>
      <w:tr>
        <w:trPr>
          <w:trHeight w:val="286"/>
        </w:trPr>
        <w:tc>
          <w:tcPr>
            <w:tcW w:w="4900" w:type="dxa"/>
            <w:vAlign w:val="bottom"/>
          </w:tcPr>
          <w:p>
            <w:pPr>
              <w:jc w:val="center"/>
              <w:ind w:right="1200"/>
              <w:spacing w:after="0"/>
              <w:rPr>
                <w:sz w:val="20"/>
                <w:szCs w:val="20"/>
                <w:color w:val="auto"/>
              </w:rPr>
            </w:pPr>
            <w:r>
              <w:rPr>
                <w:rFonts w:ascii="Times New Roman" w:cs="Times New Roman" w:eastAsia="Times New Roman" w:hAnsi="Times New Roman"/>
                <w:sz w:val="16"/>
                <w:szCs w:val="16"/>
                <w:b w:val="1"/>
                <w:bCs w:val="1"/>
                <w:color w:val="231F20"/>
              </w:rPr>
              <w:t>240 E. Grand Ave, 2nd Floor</w:t>
            </w:r>
          </w:p>
        </w:tc>
        <w:tc>
          <w:tcPr>
            <w:tcW w:w="3440" w:type="dxa"/>
            <w:vAlign w:val="bottom"/>
          </w:tcPr>
          <w:p>
            <w:pPr>
              <w:spacing w:after="0"/>
              <w:rPr>
                <w:sz w:val="24"/>
                <w:szCs w:val="24"/>
                <w:color w:val="auto"/>
              </w:rPr>
            </w:pPr>
          </w:p>
        </w:tc>
      </w:tr>
      <w:tr>
        <w:trPr>
          <w:trHeight w:val="202"/>
        </w:trPr>
        <w:tc>
          <w:tcPr>
            <w:tcW w:w="4900" w:type="dxa"/>
            <w:vAlign w:val="bottom"/>
          </w:tcPr>
          <w:p>
            <w:pPr>
              <w:jc w:val="center"/>
              <w:ind w:right="1220"/>
              <w:spacing w:after="0"/>
              <w:rPr>
                <w:sz w:val="20"/>
                <w:szCs w:val="20"/>
                <w:color w:val="auto"/>
              </w:rPr>
            </w:pPr>
            <w:r>
              <w:rPr>
                <w:rFonts w:ascii="Times New Roman" w:cs="Times New Roman" w:eastAsia="Times New Roman" w:hAnsi="Times New Roman"/>
                <w:sz w:val="16"/>
                <w:szCs w:val="16"/>
                <w:b w:val="1"/>
                <w:bCs w:val="1"/>
                <w:color w:val="231F20"/>
              </w:rPr>
              <w:t>South San Francisco, CA</w:t>
            </w:r>
          </w:p>
        </w:tc>
        <w:tc>
          <w:tcPr>
            <w:tcW w:w="3440" w:type="dxa"/>
            <w:vAlign w:val="bottom"/>
          </w:tcPr>
          <w:p>
            <w:pPr>
              <w:jc w:val="right"/>
              <w:ind w:right="805"/>
              <w:spacing w:after="0"/>
              <w:rPr>
                <w:sz w:val="20"/>
                <w:szCs w:val="20"/>
                <w:color w:val="auto"/>
              </w:rPr>
            </w:pPr>
            <w:r>
              <w:rPr>
                <w:rFonts w:ascii="Times New Roman" w:cs="Times New Roman" w:eastAsia="Times New Roman" w:hAnsi="Times New Roman"/>
                <w:sz w:val="16"/>
                <w:szCs w:val="16"/>
                <w:b w:val="1"/>
                <w:bCs w:val="1"/>
                <w:color w:val="231F20"/>
              </w:rPr>
              <w:t>94080</w:t>
            </w:r>
          </w:p>
        </w:tc>
      </w:tr>
      <w:tr>
        <w:trPr>
          <w:trHeight w:val="191"/>
        </w:trPr>
        <w:tc>
          <w:tcPr>
            <w:tcW w:w="4900" w:type="dxa"/>
            <w:vAlign w:val="bottom"/>
          </w:tcPr>
          <w:p>
            <w:pPr>
              <w:jc w:val="center"/>
              <w:ind w:right="1220"/>
              <w:spacing w:after="0"/>
              <w:rPr>
                <w:sz w:val="20"/>
                <w:szCs w:val="20"/>
                <w:color w:val="auto"/>
              </w:rPr>
            </w:pPr>
            <w:r>
              <w:rPr>
                <w:rFonts w:ascii="Times New Roman" w:cs="Times New Roman" w:eastAsia="Times New Roman" w:hAnsi="Times New Roman"/>
                <w:sz w:val="14"/>
                <w:szCs w:val="14"/>
                <w:b w:val="1"/>
                <w:bCs w:val="1"/>
                <w:color w:val="231F20"/>
              </w:rPr>
              <w:t>(Address of principal executive offices)</w:t>
            </w:r>
          </w:p>
        </w:tc>
        <w:tc>
          <w:tcPr>
            <w:tcW w:w="3440" w:type="dxa"/>
            <w:vAlign w:val="bottom"/>
          </w:tcPr>
          <w:p>
            <w:pPr>
              <w:jc w:val="center"/>
              <w:ind w:left="1205"/>
              <w:spacing w:after="0"/>
              <w:rPr>
                <w:sz w:val="20"/>
                <w:szCs w:val="20"/>
                <w:color w:val="auto"/>
              </w:rPr>
            </w:pPr>
            <w:r>
              <w:rPr>
                <w:rFonts w:ascii="Times New Roman" w:cs="Times New Roman" w:eastAsia="Times New Roman" w:hAnsi="Times New Roman"/>
                <w:sz w:val="14"/>
                <w:szCs w:val="14"/>
                <w:b w:val="1"/>
                <w:bCs w:val="1"/>
                <w:color w:val="231F20"/>
                <w:w w:val="98"/>
              </w:rPr>
              <w:t>(Zip Code)</w:t>
            </w:r>
          </w:p>
        </w:tc>
      </w:tr>
    </w:tbl>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Registrant’s telephone number, including area code: (650) 388-5600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72390</wp:posOffset>
                </wp:positionV>
                <wp:extent cx="13716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7pt" to="324pt,5.7pt" o:allowincell="f" strokecolor="#231F20" strokeweight="0.5pt"/>
            </w:pict>
          </mc:Fallback>
        </mc:AlternateConten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220" w:type="dxa"/>
            <w:vAlign w:val="bottom"/>
          </w:tcPr>
          <w:p>
            <w:pPr>
              <w:ind w:left="500"/>
              <w:spacing w:after="0"/>
              <w:rPr>
                <w:sz w:val="20"/>
                <w:szCs w:val="20"/>
                <w:color w:val="auto"/>
              </w:rPr>
            </w:pPr>
            <w:r>
              <w:rPr>
                <w:rFonts w:ascii="Times New Roman" w:cs="Times New Roman" w:eastAsia="Times New Roman" w:hAnsi="Times New Roman"/>
                <w:sz w:val="16"/>
                <w:szCs w:val="16"/>
                <w:color w:val="231F20"/>
              </w:rPr>
              <w:t>Securities registered pursuant to Section 12(b) of the Act:</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220"/>
        </w:trPr>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Trading</w:t>
            </w:r>
          </w:p>
        </w:tc>
        <w:tc>
          <w:tcPr>
            <w:tcW w:w="100" w:type="dxa"/>
            <w:vAlign w:val="bottom"/>
          </w:tcPr>
          <w:p>
            <w:pPr>
              <w:spacing w:after="0"/>
              <w:rPr>
                <w:sz w:val="19"/>
                <w:szCs w:val="19"/>
                <w:color w:val="auto"/>
              </w:rPr>
            </w:pPr>
          </w:p>
        </w:tc>
        <w:tc>
          <w:tcPr>
            <w:tcW w:w="4220" w:type="dxa"/>
            <w:vAlign w:val="bottom"/>
          </w:tcPr>
          <w:p>
            <w:pPr>
              <w:spacing w:after="0"/>
              <w:rPr>
                <w:sz w:val="19"/>
                <w:szCs w:val="19"/>
                <w:color w:val="auto"/>
              </w:rPr>
            </w:pPr>
          </w:p>
        </w:tc>
      </w:tr>
      <w:tr>
        <w:trPr>
          <w:trHeight w:val="203"/>
        </w:trPr>
        <w:tc>
          <w:tcPr>
            <w:tcW w:w="42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Title of each class</w:t>
            </w:r>
          </w:p>
        </w:tc>
        <w:tc>
          <w:tcPr>
            <w:tcW w:w="100" w:type="dxa"/>
            <w:vAlign w:val="bottom"/>
          </w:tcPr>
          <w:p>
            <w:pPr>
              <w:spacing w:after="0"/>
              <w:rPr>
                <w:sz w:val="17"/>
                <w:szCs w:val="17"/>
                <w:color w:val="auto"/>
              </w:rPr>
            </w:pPr>
          </w:p>
        </w:tc>
        <w:tc>
          <w:tcPr>
            <w:tcW w:w="21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Symbol(s)</w:t>
            </w:r>
          </w:p>
        </w:tc>
        <w:tc>
          <w:tcPr>
            <w:tcW w:w="100" w:type="dxa"/>
            <w:vAlign w:val="bottom"/>
          </w:tcPr>
          <w:p>
            <w:pPr>
              <w:spacing w:after="0"/>
              <w:rPr>
                <w:sz w:val="17"/>
                <w:szCs w:val="17"/>
                <w:color w:val="auto"/>
              </w:rPr>
            </w:pPr>
          </w:p>
        </w:tc>
        <w:tc>
          <w:tcPr>
            <w:tcW w:w="42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r>
      <w:tr>
        <w:trPr>
          <w:trHeight w:val="211"/>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Common Stock, $0.0001 par value per share</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5"/>
              </w:rPr>
              <w:t>ORIC</w:t>
            </w:r>
          </w:p>
        </w:tc>
        <w:tc>
          <w:tcPr>
            <w:tcW w:w="1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The Nasdaq Global Select Market</w:t>
            </w: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2674620</wp:posOffset>
                </wp:positionH>
                <wp:positionV relativeFrom="paragraph">
                  <wp:posOffset>-142875</wp:posOffset>
                </wp:positionV>
                <wp:extent cx="6858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pt,-11.2499pt" to="216pt,-11.2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4114800</wp:posOffset>
                </wp:positionH>
                <wp:positionV relativeFrom="paragraph">
                  <wp:posOffset>-142875</wp:posOffset>
                </wp:positionV>
                <wp:extent cx="6858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1.2499pt" to="329.4pt,-11.2499pt" o:allowincell="f" strokecolor="#FFFFFF" strokeweight="0.5pt"/>
            </w:pict>
          </mc:Fallback>
        </mc:AlternateContent>
      </w:r>
    </w:p>
    <w:p>
      <w:pPr>
        <w:ind w:left="500" w:right="1820"/>
        <w:spacing w:after="0" w:line="289" w:lineRule="auto"/>
        <w:rPr>
          <w:sz w:val="20"/>
          <w:szCs w:val="20"/>
          <w:color w:val="auto"/>
        </w:rPr>
      </w:pPr>
      <w:r>
        <w:rPr>
          <w:rFonts w:ascii="Times New Roman" w:cs="Times New Roman" w:eastAsia="Times New Roman" w:hAnsi="Times New Roman"/>
          <w:sz w:val="16"/>
          <w:szCs w:val="16"/>
          <w:color w:val="231F20"/>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Indicate by check mark if the registrant is not required to file reports pursuant to Section 13 or 15(d) of the Act.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1" w:lineRule="exact"/>
        <w:rPr>
          <w:sz w:val="24"/>
          <w:szCs w:val="24"/>
          <w:color w:val="auto"/>
        </w:rPr>
      </w:pPr>
    </w:p>
    <w:p>
      <w:pPr>
        <w:ind w:right="40" w:firstLine="490"/>
        <w:spacing w:after="0" w:line="246" w:lineRule="auto"/>
        <w:rPr>
          <w:sz w:val="20"/>
          <w:szCs w:val="20"/>
          <w:color w:val="auto"/>
        </w:rPr>
      </w:pPr>
      <w:r>
        <w:rPr>
          <w:rFonts w:ascii="Times New Roman" w:cs="Times New Roman" w:eastAsia="Times New Roman" w:hAnsi="Times New Roman"/>
          <w:sz w:val="16"/>
          <w:szCs w:val="16"/>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90 days.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30"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231F20"/>
        </w:rPr>
        <w:t>Indicate by check mark whether the registrant has submitted electronically every Interactive Data File required to be submitted pursuant to Rule 405 of</w:t>
      </w:r>
    </w:p>
    <w:p>
      <w:pPr>
        <w:spacing w:after="0" w:line="10" w:lineRule="exact"/>
        <w:rPr>
          <w:sz w:val="24"/>
          <w:szCs w:val="24"/>
          <w:color w:val="auto"/>
        </w:rPr>
      </w:pPr>
    </w:p>
    <w:p>
      <w:pPr>
        <w:ind w:right="360"/>
        <w:spacing w:after="0" w:line="256" w:lineRule="auto"/>
        <w:rPr>
          <w:sz w:val="20"/>
          <w:szCs w:val="20"/>
          <w:color w:val="auto"/>
        </w:rPr>
      </w:pPr>
      <w:r>
        <w:rPr>
          <w:rFonts w:ascii="Times New Roman" w:cs="Times New Roman" w:eastAsia="Times New Roman" w:hAnsi="Times New Roman"/>
          <w:sz w:val="16"/>
          <w:szCs w:val="16"/>
          <w:color w:val="231F20"/>
        </w:rPr>
        <w:t xml:space="preserve">Regulation S-T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2" w:lineRule="exact"/>
        <w:rPr>
          <w:sz w:val="24"/>
          <w:szCs w:val="24"/>
          <w:color w:val="auto"/>
        </w:rPr>
      </w:pPr>
    </w:p>
    <w:p>
      <w:pPr>
        <w:ind w:right="40" w:firstLine="490"/>
        <w:spacing w:after="0" w:line="255" w:lineRule="auto"/>
        <w:rPr>
          <w:sz w:val="20"/>
          <w:szCs w:val="20"/>
          <w:color w:val="auto"/>
        </w:rPr>
      </w:pPr>
      <w:r>
        <w:rPr>
          <w:rFonts w:ascii="Times New Roman" w:cs="Times New Roman" w:eastAsia="Times New Roman" w:hAnsi="Times New Roman"/>
          <w:sz w:val="16"/>
          <w:szCs w:val="16"/>
          <w:color w:val="231F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231F20"/>
              </w:rPr>
              <w:t>Large accelerated filer</w:t>
            </w:r>
          </w:p>
        </w:tc>
        <w:tc>
          <w:tcPr>
            <w:tcW w:w="3340" w:type="dxa"/>
            <w:vAlign w:val="bottom"/>
          </w:tcPr>
          <w:p>
            <w:pPr>
              <w:ind w:left="220"/>
              <w:spacing w:after="0"/>
              <w:rPr>
                <w:sz w:val="20"/>
                <w:szCs w:val="20"/>
                <w:color w:val="auto"/>
              </w:rPr>
            </w:pPr>
            <w:r>
              <w:rPr>
                <w:rFonts w:ascii="Segoe UI Symbol" w:cs="Segoe UI Symbol" w:eastAsia="Segoe UI Symbol" w:hAnsi="Segoe UI Symbol"/>
                <w:sz w:val="16"/>
                <w:szCs w:val="16"/>
                <w:color w:val="231F20"/>
              </w:rPr>
              <w:t>☐</w:t>
            </w:r>
          </w:p>
        </w:tc>
        <w:tc>
          <w:tcPr>
            <w:tcW w:w="5000" w:type="dxa"/>
            <w:vAlign w:val="bottom"/>
          </w:tcPr>
          <w:p>
            <w:pPr>
              <w:ind w:left="2980"/>
              <w:spacing w:after="0"/>
              <w:rPr>
                <w:sz w:val="20"/>
                <w:szCs w:val="20"/>
                <w:color w:val="auto"/>
              </w:rPr>
            </w:pPr>
            <w:r>
              <w:rPr>
                <w:rFonts w:ascii="Times New Roman" w:cs="Times New Roman" w:eastAsia="Times New Roman" w:hAnsi="Times New Roman"/>
                <w:sz w:val="16"/>
                <w:szCs w:val="16"/>
                <w:color w:val="231F20"/>
              </w:rPr>
              <w:t>Accelerated filer</w:t>
            </w:r>
          </w:p>
        </w:tc>
        <w:tc>
          <w:tcPr>
            <w:tcW w:w="420" w:type="dxa"/>
            <w:vAlign w:val="bottom"/>
          </w:tcPr>
          <w:p>
            <w:pPr>
              <w:ind w:left="280"/>
              <w:spacing w:after="0"/>
              <w:rPr>
                <w:sz w:val="20"/>
                <w:szCs w:val="20"/>
                <w:color w:val="auto"/>
              </w:rPr>
            </w:pPr>
            <w:r>
              <w:rPr>
                <w:rFonts w:ascii="Segoe UI Symbol" w:cs="Segoe UI Symbol" w:eastAsia="Segoe UI Symbol" w:hAnsi="Segoe UI Symbol"/>
                <w:sz w:val="16"/>
                <w:szCs w:val="16"/>
                <w:color w:val="231F20"/>
                <w:w w:val="86"/>
              </w:rPr>
              <w:t>☐</w:t>
            </w:r>
          </w:p>
        </w:tc>
      </w:tr>
      <w:tr>
        <w:trPr>
          <w:trHeight w:val="29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231F20"/>
              </w:rPr>
              <w:t>Non-accelerated filer</w:t>
            </w:r>
          </w:p>
        </w:tc>
        <w:tc>
          <w:tcPr>
            <w:tcW w:w="3340" w:type="dxa"/>
            <w:vAlign w:val="bottom"/>
          </w:tcPr>
          <w:p>
            <w:pPr>
              <w:ind w:left="220"/>
              <w:spacing w:after="0"/>
              <w:rPr>
                <w:sz w:val="20"/>
                <w:szCs w:val="20"/>
                <w:color w:val="auto"/>
              </w:rPr>
            </w:pPr>
            <w:r>
              <w:rPr>
                <w:rFonts w:ascii="Segoe UI Symbol" w:cs="Segoe UI Symbol" w:eastAsia="Segoe UI Symbol" w:hAnsi="Segoe UI Symbol"/>
                <w:sz w:val="16"/>
                <w:szCs w:val="16"/>
                <w:color w:val="231F20"/>
              </w:rPr>
              <w:t>☒</w:t>
            </w:r>
          </w:p>
        </w:tc>
        <w:tc>
          <w:tcPr>
            <w:tcW w:w="5000" w:type="dxa"/>
            <w:vAlign w:val="bottom"/>
          </w:tcPr>
          <w:p>
            <w:pPr>
              <w:ind w:left="2980"/>
              <w:spacing w:after="0"/>
              <w:rPr>
                <w:sz w:val="20"/>
                <w:szCs w:val="20"/>
                <w:color w:val="auto"/>
              </w:rPr>
            </w:pPr>
            <w:r>
              <w:rPr>
                <w:rFonts w:ascii="Times New Roman" w:cs="Times New Roman" w:eastAsia="Times New Roman" w:hAnsi="Times New Roman"/>
                <w:sz w:val="16"/>
                <w:szCs w:val="16"/>
                <w:color w:val="231F20"/>
              </w:rPr>
              <w:t>Smaller reporting company</w:t>
            </w:r>
          </w:p>
        </w:tc>
        <w:tc>
          <w:tcPr>
            <w:tcW w:w="420" w:type="dxa"/>
            <w:vAlign w:val="bottom"/>
          </w:tcPr>
          <w:p>
            <w:pPr>
              <w:ind w:left="280"/>
              <w:spacing w:after="0"/>
              <w:rPr>
                <w:sz w:val="20"/>
                <w:szCs w:val="20"/>
                <w:color w:val="auto"/>
              </w:rPr>
            </w:pPr>
            <w:r>
              <w:rPr>
                <w:rFonts w:ascii="Segoe UI Symbol" w:cs="Segoe UI Symbol" w:eastAsia="Segoe UI Symbol" w:hAnsi="Segoe UI Symbol"/>
                <w:sz w:val="16"/>
                <w:szCs w:val="16"/>
                <w:color w:val="231F20"/>
                <w:w w:val="86"/>
              </w:rPr>
              <w:t>☒</w:t>
            </w:r>
          </w:p>
        </w:tc>
      </w:tr>
      <w:tr>
        <w:trPr>
          <w:trHeight w:val="28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231F20"/>
              </w:rPr>
              <w:t>Emerging growth company</w:t>
            </w:r>
          </w:p>
        </w:tc>
        <w:tc>
          <w:tcPr>
            <w:tcW w:w="3340" w:type="dxa"/>
            <w:vAlign w:val="bottom"/>
          </w:tcPr>
          <w:p>
            <w:pPr>
              <w:ind w:left="220"/>
              <w:spacing w:after="0"/>
              <w:rPr>
                <w:sz w:val="20"/>
                <w:szCs w:val="20"/>
                <w:color w:val="auto"/>
              </w:rPr>
            </w:pPr>
            <w:r>
              <w:rPr>
                <w:rFonts w:ascii="Segoe UI Symbol" w:cs="Segoe UI Symbol" w:eastAsia="Segoe UI Symbol" w:hAnsi="Segoe UI Symbol"/>
                <w:sz w:val="16"/>
                <w:szCs w:val="16"/>
                <w:color w:val="231F20"/>
              </w:rPr>
              <w:t>☐</w:t>
            </w:r>
          </w:p>
        </w:tc>
        <w:tc>
          <w:tcPr>
            <w:tcW w:w="50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41" w:lineRule="exact"/>
        <w:rPr>
          <w:sz w:val="24"/>
          <w:szCs w:val="24"/>
          <w:color w:val="auto"/>
        </w:rPr>
      </w:pPr>
    </w:p>
    <w:p>
      <w:pPr>
        <w:ind w:right="280" w:firstLine="490"/>
        <w:spacing w:after="0" w:line="267" w:lineRule="auto"/>
        <w:rPr>
          <w:sz w:val="20"/>
          <w:szCs w:val="20"/>
          <w:color w:val="auto"/>
        </w:rPr>
      </w:pPr>
      <w:r>
        <w:rPr>
          <w:rFonts w:ascii="Times New Roman" w:cs="Times New Roman" w:eastAsia="Times New Roman" w:hAnsi="Times New Roman"/>
          <w:sz w:val="16"/>
          <w:szCs w:val="16"/>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231F20"/>
        </w:rPr>
        <w:t>☐</w:t>
      </w:r>
    </w:p>
    <w:p>
      <w:pPr>
        <w:ind w:right="20" w:firstLine="490"/>
        <w:spacing w:after="0" w:line="246" w:lineRule="auto"/>
        <w:rPr>
          <w:sz w:val="20"/>
          <w:szCs w:val="20"/>
          <w:color w:val="auto"/>
        </w:rPr>
      </w:pPr>
      <w:r>
        <w:rPr>
          <w:rFonts w:ascii="Times New Roman" w:cs="Times New Roman" w:eastAsia="Times New Roman" w:hAnsi="Times New Roman"/>
          <w:sz w:val="16"/>
          <w:szCs w:val="16"/>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report. </w:t>
      </w:r>
      <w:r>
        <w:rPr>
          <w:rFonts w:ascii="Segoe UI Symbol" w:cs="Segoe UI Symbol" w:eastAsia="Segoe UI Symbol" w:hAnsi="Segoe UI Symbol"/>
          <w:sz w:val="16"/>
          <w:szCs w:val="16"/>
          <w:color w:val="231F20"/>
        </w:rPr>
        <w:t>☐</w:t>
      </w:r>
    </w:p>
    <w:p>
      <w:pPr>
        <w:spacing w:after="0" w:line="30" w:lineRule="exact"/>
        <w:rPr>
          <w:sz w:val="24"/>
          <w:szCs w:val="24"/>
          <w:color w:val="auto"/>
        </w:rPr>
      </w:pPr>
    </w:p>
    <w:p>
      <w:pPr>
        <w:ind w:right="200" w:firstLine="490"/>
        <w:spacing w:after="0" w:line="264" w:lineRule="auto"/>
        <w:rPr>
          <w:sz w:val="20"/>
          <w:szCs w:val="20"/>
          <w:color w:val="auto"/>
        </w:rPr>
      </w:pPr>
      <w:r>
        <w:rPr>
          <w:rFonts w:ascii="Times New Roman" w:cs="Times New Roman" w:eastAsia="Times New Roman" w:hAnsi="Times New Roman"/>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231F20"/>
        </w:rPr>
        <w:t>☐</w:t>
      </w:r>
    </w:p>
    <w:p>
      <w:pPr>
        <w:ind w:right="220" w:firstLine="490"/>
        <w:spacing w:after="0" w:line="264" w:lineRule="auto"/>
        <w:rPr>
          <w:sz w:val="20"/>
          <w:szCs w:val="20"/>
          <w:color w:val="auto"/>
        </w:rPr>
      </w:pPr>
      <w:r>
        <w:rPr>
          <w:rFonts w:ascii="Times New Roman" w:cs="Times New Roman" w:eastAsia="Times New Roman" w:hAnsi="Times New Roman"/>
          <w:sz w:val="16"/>
          <w:szCs w:val="16"/>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231F20"/>
        </w:rPr>
        <w:t>☐</w:t>
      </w:r>
    </w:p>
    <w:p>
      <w:pPr>
        <w:ind w:left="500"/>
        <w:spacing w:after="0"/>
        <w:rPr>
          <w:sz w:val="20"/>
          <w:szCs w:val="20"/>
          <w:color w:val="auto"/>
        </w:rPr>
      </w:pPr>
      <w:r>
        <w:rPr>
          <w:rFonts w:ascii="Times New Roman" w:cs="Times New Roman" w:eastAsia="Times New Roman" w:hAnsi="Times New Roman"/>
          <w:sz w:val="16"/>
          <w:szCs w:val="16"/>
          <w:color w:val="231F20"/>
        </w:rPr>
        <w:t xml:space="preserve">Indicate by check mark whether the registrant is a shell company (as defined in Rule 12b-2 of the Exchange Act). YES </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 </w:t>
      </w:r>
      <w:r>
        <w:rPr>
          <w:rFonts w:ascii="Segoe UI Symbol" w:cs="Segoe UI Symbol" w:eastAsia="Segoe UI Symbol" w:hAnsi="Segoe UI Symbol"/>
          <w:sz w:val="16"/>
          <w:szCs w:val="16"/>
          <w:color w:val="231F20"/>
        </w:rPr>
        <w:t>☒</w:t>
      </w:r>
    </w:p>
    <w:p>
      <w:pPr>
        <w:spacing w:after="0" w:line="40" w:lineRule="exact"/>
        <w:rPr>
          <w:sz w:val="24"/>
          <w:szCs w:val="24"/>
          <w:color w:val="auto"/>
        </w:rPr>
      </w:pPr>
    </w:p>
    <w:p>
      <w:pPr>
        <w:ind w:right="40" w:firstLine="490"/>
        <w:spacing w:after="0" w:line="280" w:lineRule="auto"/>
        <w:rPr>
          <w:sz w:val="20"/>
          <w:szCs w:val="20"/>
          <w:color w:val="auto"/>
        </w:rPr>
      </w:pPr>
      <w:r>
        <w:rPr>
          <w:rFonts w:ascii="Times New Roman" w:cs="Times New Roman" w:eastAsia="Times New Roman" w:hAnsi="Times New Roman"/>
          <w:sz w:val="15"/>
          <w:szCs w:val="15"/>
          <w:color w:val="231F20"/>
        </w:rPr>
        <w:t>The aggregate market value of the voting and non-voting common equity held by non-affiliates of the registrant, based on the closing price of the shares of common stock on the Nasdaq Global Select Market on June 30, 2025 (the last day of the registrant’s most recently completed second fiscal quarter) was $862.4 million.</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231F20"/>
        </w:rPr>
        <w:t>The number of shares of registrant’s Common Stock outstanding as of February 12, 2026 was 100,358,242.</w:t>
      </w:r>
    </w:p>
    <w:p>
      <w:pPr>
        <w:spacing w:after="0" w:line="40" w:lineRule="exact"/>
        <w:rPr>
          <w:sz w:val="24"/>
          <w:szCs w:val="24"/>
          <w:color w:val="auto"/>
        </w:rPr>
      </w:pPr>
    </w:p>
    <w:p>
      <w:pPr>
        <w:ind w:firstLine="490"/>
        <w:spacing w:after="0" w:line="258" w:lineRule="auto"/>
        <w:rPr>
          <w:sz w:val="20"/>
          <w:szCs w:val="20"/>
          <w:color w:val="auto"/>
        </w:rPr>
      </w:pPr>
      <w:r>
        <w:rPr>
          <w:rFonts w:ascii="Times New Roman" w:cs="Times New Roman" w:eastAsia="Times New Roman" w:hAnsi="Times New Roman"/>
          <w:sz w:val="16"/>
          <w:szCs w:val="16"/>
          <w:color w:val="231F20"/>
        </w:rPr>
        <w:t>Portions of the Registrant’s Definitive Proxy Statement relating to the Registrant’s Annual Meeting of Shareholders are incorporated by reference into Part III of this Annual Report on Form 10-K where indicated. Such Definitive Proxy Statement will be filed with the Securities and Exchange Commission within 120 days after the end of the registrant’s 2025 fiscal year ended December 31, 2025.</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68580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05pt" to="540pt,0.0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68580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540pt,1.55pt" o:allowincell="f" strokecolor="#231F20" strokeweight="0.75pt"/>
            </w:pict>
          </mc:Fallback>
        </mc:AlternateContent>
      </w:r>
    </w:p>
    <w:p>
      <w:pPr>
        <w:sectPr>
          <w:pgSz w:w="11880" w:h="15480" w:orient="portrait"/>
          <w:cols w:equalWidth="0" w:num="1">
            <w:col w:w="10800"/>
          </w:cols>
          <w:pgMar w:left="540" w:top="925" w:right="540" w:bottom="294" w:gutter="0" w:footer="0" w:header="0"/>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960" w:type="dxa"/>
            <w:vAlign w:val="bottom"/>
          </w:tcPr>
          <w:p>
            <w:pPr>
              <w:spacing w:after="0"/>
              <w:rPr>
                <w:sz w:val="23"/>
                <w:szCs w:val="23"/>
                <w:color w:val="auto"/>
              </w:rPr>
            </w:pPr>
          </w:p>
        </w:tc>
        <w:tc>
          <w:tcPr>
            <w:tcW w:w="9120" w:type="dxa"/>
            <w:vAlign w:val="bottom"/>
          </w:tcPr>
          <w:p>
            <w:pPr>
              <w:ind w:left="3680"/>
              <w:spacing w:after="0"/>
              <w:rPr>
                <w:sz w:val="20"/>
                <w:szCs w:val="20"/>
                <w:color w:val="auto"/>
              </w:rPr>
            </w:pPr>
            <w:r>
              <w:rPr>
                <w:rFonts w:ascii="Times New Roman" w:cs="Times New Roman" w:eastAsia="Times New Roman" w:hAnsi="Times New Roman"/>
                <w:sz w:val="20"/>
                <w:szCs w:val="20"/>
                <w:b w:val="1"/>
                <w:bCs w:val="1"/>
                <w:color w:val="231F20"/>
              </w:rPr>
              <w:t>Table of Contents</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PART I</w:t>
            </w:r>
          </w:p>
        </w:tc>
        <w:tc>
          <w:tcPr>
            <w:tcW w:w="9120" w:type="dxa"/>
            <w:vAlign w:val="bottom"/>
          </w:tcPr>
          <w:p>
            <w:pPr>
              <w:spacing w:after="0"/>
              <w:rPr>
                <w:sz w:val="24"/>
                <w:szCs w:val="24"/>
                <w:color w:val="auto"/>
              </w:rPr>
            </w:pPr>
          </w:p>
        </w:tc>
        <w:tc>
          <w:tcPr>
            <w:tcW w:w="720" w:type="dxa"/>
            <w:vAlign w:val="bottom"/>
            <w:tcBorders>
              <w:bottom w:val="single" w:sz="8" w:color="231F20"/>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56"/>
        </w:trPr>
        <w:tc>
          <w:tcPr>
            <w:tcW w:w="960" w:type="dxa"/>
            <w:vAlign w:val="bottom"/>
            <w:vMerge w:val="continue"/>
          </w:tcPr>
          <w:p>
            <w:pPr>
              <w:spacing w:after="0"/>
              <w:rPr>
                <w:sz w:val="22"/>
                <w:szCs w:val="22"/>
                <w:color w:val="auto"/>
              </w:rPr>
            </w:pPr>
          </w:p>
        </w:tc>
        <w:tc>
          <w:tcPr>
            <w:tcW w:w="9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Business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1A.</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818385"/>
              </w:rPr>
              <w:t xml:space="preserve">Risk </w:t>
            </w:r>
            <w:r>
              <w:rPr>
                <w:rFonts w:ascii="Times New Roman" w:cs="Times New Roman" w:eastAsia="Times New Roman" w:hAnsi="Times New Roman"/>
                <w:sz w:val="20"/>
                <w:szCs w:val="20"/>
                <w:color w:val="818385"/>
              </w:rPr>
              <w:t>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1B.</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Unresolved Staff Comments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1C.</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Cybersecurity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2.</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Properties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3.</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4.</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0" w:type="dxa"/>
            <w:vAlign w:val="bottom"/>
          </w:tcPr>
          <w:p>
            <w:pPr>
              <w:spacing w:after="0"/>
              <w:rPr>
                <w:sz w:val="1"/>
                <w:szCs w:val="1"/>
                <w:color w:val="auto"/>
              </w:rPr>
            </w:pPr>
          </w:p>
        </w:tc>
      </w:tr>
      <w:tr>
        <w:trPr>
          <w:trHeight w:val="469"/>
        </w:trPr>
        <w:tc>
          <w:tcPr>
            <w:tcW w:w="9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w:t>
            </w:r>
          </w:p>
        </w:tc>
        <w:tc>
          <w:tcPr>
            <w:tcW w:w="9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5.</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Market for Registrant’s Common Equity, Related Stockholder Matters and Issuer Purchases of Equity</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6.</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Reserved</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7.</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7A.</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8.</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Financial Statements and Supplementary Data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Changes in and Disagreements with Accountants on Accounting and Financial Disclosure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9A.</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9B.</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9C.</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Disclosure Regarding Foreign Jurisdictions That Prevent Inspections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0" w:type="dxa"/>
            <w:vAlign w:val="bottom"/>
          </w:tcPr>
          <w:p>
            <w:pPr>
              <w:spacing w:after="0"/>
              <w:rPr>
                <w:sz w:val="1"/>
                <w:szCs w:val="1"/>
                <w:color w:val="auto"/>
              </w:rPr>
            </w:pPr>
          </w:p>
        </w:tc>
      </w:tr>
      <w:tr>
        <w:trPr>
          <w:trHeight w:val="469"/>
        </w:trPr>
        <w:tc>
          <w:tcPr>
            <w:tcW w:w="9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9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10.</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Directors, Executive Officers and 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11.</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Executive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12.</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Security Ownership of Certain Beneficial Owners and Management and Related Stockholder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13.</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Certain Relationships and Related Transactions, and Director Independence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14.</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Principal Accounting Fees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0" w:type="dxa"/>
            <w:vAlign w:val="bottom"/>
          </w:tcPr>
          <w:p>
            <w:pPr>
              <w:spacing w:after="0"/>
              <w:rPr>
                <w:sz w:val="1"/>
                <w:szCs w:val="1"/>
                <w:color w:val="auto"/>
              </w:rPr>
            </w:pPr>
          </w:p>
        </w:tc>
      </w:tr>
      <w:tr>
        <w:trPr>
          <w:trHeight w:val="469"/>
        </w:trPr>
        <w:tc>
          <w:tcPr>
            <w:tcW w:w="9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IV</w:t>
            </w:r>
          </w:p>
        </w:tc>
        <w:tc>
          <w:tcPr>
            <w:tcW w:w="9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15.</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Exhibits, Financial Statement Schedules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16</w:t>
            </w:r>
          </w:p>
        </w:tc>
        <w:tc>
          <w:tcPr>
            <w:tcW w:w="9120" w:type="dxa"/>
            <w:vAlign w:val="bottom"/>
          </w:tcPr>
          <w:p>
            <w:pPr>
              <w:ind w:left="120"/>
              <w:spacing w:after="0"/>
              <w:rPr>
                <w:sz w:val="20"/>
                <w:szCs w:val="20"/>
                <w:color w:val="auto"/>
              </w:rPr>
            </w:pPr>
            <w:r>
              <w:rPr>
                <w:rFonts w:ascii="Times New Roman" w:cs="Times New Roman" w:eastAsia="Times New Roman" w:hAnsi="Times New Roman"/>
                <w:sz w:val="20"/>
                <w:szCs w:val="20"/>
                <w:color w:val="818385"/>
              </w:rPr>
              <w:t>Form 10-K Summary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0" w:type="dxa"/>
            <w:vAlign w:val="bottom"/>
          </w:tcPr>
          <w:p>
            <w:pPr>
              <w:spacing w:after="0"/>
              <w:rPr>
                <w:sz w:val="1"/>
                <w:szCs w:val="1"/>
                <w:color w:val="auto"/>
              </w:rPr>
            </w:pPr>
          </w:p>
        </w:tc>
      </w:tr>
      <w:tr>
        <w:trPr>
          <w:trHeight w:val="266"/>
        </w:trPr>
        <w:tc>
          <w:tcPr>
            <w:tcW w:w="10080" w:type="dxa"/>
            <w:vAlign w:val="bottom"/>
            <w:gridSpan w:val="2"/>
          </w:tcPr>
          <w:p>
            <w:pPr>
              <w:spacing w:after="0"/>
              <w:rPr>
                <w:sz w:val="20"/>
                <w:szCs w:val="20"/>
                <w:color w:val="auto"/>
              </w:rPr>
            </w:pPr>
            <w:r>
              <w:rPr>
                <w:rFonts w:ascii="Times New Roman" w:cs="Times New Roman" w:eastAsia="Times New Roman" w:hAnsi="Times New Roman"/>
                <w:sz w:val="20"/>
                <w:szCs w:val="20"/>
                <w:color w:val="818385"/>
              </w:rPr>
              <w:t>SIGNATURES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-4823460</wp:posOffset>
            </wp:positionV>
            <wp:extent cx="6858000" cy="4813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extLst>
                    </a:blip>
                    <a:srcRect/>
                    <a:stretch>
                      <a:fillRect/>
                    </a:stretch>
                  </pic:blipFill>
                  <pic:spPr bwMode="auto">
                    <a:xfrm>
                      <a:off x="0" y="0"/>
                      <a:ext cx="6858000" cy="4813300"/>
                    </a:xfrm>
                    <a:prstGeom prst="rect">
                      <a:avLst/>
                    </a:prstGeom>
                    <a:noFill/>
                  </pic:spPr>
                </pic:pic>
              </a:graphicData>
            </a:graphic>
          </wp:anchor>
        </w:drawing>
      </w:r>
    </w:p>
    <w:p>
      <w:pPr>
        <w:sectPr>
          <w:pgSz w:w="11880" w:h="15480" w:orient="portrait"/>
          <w:cols w:equalWidth="0" w:num="1">
            <w:col w:w="10800"/>
          </w:cols>
          <w:pgMar w:left="540" w:top="746" w:right="540" w:bottom="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i</w:t>
      </w:r>
    </w:p>
    <w:p>
      <w:pPr>
        <w:sectPr>
          <w:pgSz w:w="11880" w:h="15480" w:orient="portrait"/>
          <w:cols w:equalWidth="0" w:num="1">
            <w:col w:w="10800"/>
          </w:cols>
          <w:pgMar w:left="540" w:top="746" w:right="540" w:bottom="64"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231F20"/>
        </w:rPr>
        <w:t>SPECIAL NOTE REGARDING FORWARD-LOOKING STATEMENTS</w:t>
      </w:r>
    </w:p>
    <w:p>
      <w:pPr>
        <w:spacing w:after="0" w:line="244"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231F20"/>
        </w:rPr>
        <w:t>This Annual Report on Form 10-K contains forward-looking statements. All statements other than statements of historical facts contained in this Annual Report on Form 10-K,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Annual Report on Form 10-K include, but are not limited to, statements about:</w:t>
      </w:r>
    </w:p>
    <w:p>
      <w:pPr>
        <w:spacing w:after="0" w:line="96" w:lineRule="exact"/>
        <w:rPr>
          <w:sz w:val="20"/>
          <w:szCs w:val="20"/>
          <w:color w:val="auto"/>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of our clinical trials to demonstrate safety and efficacy of our product candidates, and other positive results;</w:t>
      </w:r>
    </w:p>
    <w:p>
      <w:pPr>
        <w:spacing w:after="0" w:line="133" w:lineRule="exact"/>
        <w:rPr>
          <w:rFonts w:ascii="Arial" w:cs="Arial" w:eastAsia="Arial" w:hAnsi="Arial"/>
          <w:sz w:val="20"/>
          <w:szCs w:val="20"/>
          <w:color w:val="231F20"/>
        </w:rPr>
      </w:pPr>
    </w:p>
    <w:p>
      <w:pPr>
        <w:ind w:left="1220" w:right="60" w:hanging="500"/>
        <w:spacing w:after="0" w:line="252" w:lineRule="auto"/>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progress and results of preclinical studies and clinical trials for rinzimetostat (formerly ORIC-944), enozertinib (formerly ORIC-114)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87" w:lineRule="exact"/>
        <w:rPr>
          <w:rFonts w:ascii="Arial" w:cs="Arial" w:eastAsia="Arial" w:hAnsi="Arial"/>
          <w:sz w:val="20"/>
          <w:szCs w:val="20"/>
          <w:color w:val="231F20"/>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scope or likelihood of regulatory filings and approvals;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 benefits of and activity under the company’s collaboration, licenses and other third-party agreements;</w:t>
      </w:r>
    </w:p>
    <w:p>
      <w:pPr>
        <w:spacing w:after="0" w:line="133" w:lineRule="exact"/>
        <w:rPr>
          <w:rFonts w:ascii="Arial" w:cs="Arial" w:eastAsia="Arial" w:hAnsi="Arial"/>
          <w:sz w:val="20"/>
          <w:szCs w:val="20"/>
          <w:color w:val="231F20"/>
        </w:rPr>
      </w:pPr>
    </w:p>
    <w:p>
      <w:pPr>
        <w:ind w:left="1220" w:right="580" w:hanging="500"/>
        <w:spacing w:after="0" w:line="276" w:lineRule="auto"/>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develop and advance our current product candidates and programs into, and successfully complete, clinical studies;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manufacturing, commercialization, and marketing capabilities and strategy;</w:t>
      </w:r>
    </w:p>
    <w:p>
      <w:pPr>
        <w:spacing w:after="0" w:line="133" w:lineRule="exact"/>
        <w:rPr>
          <w:rFonts w:ascii="Arial" w:cs="Arial" w:eastAsia="Arial" w:hAnsi="Arial"/>
          <w:sz w:val="20"/>
          <w:szCs w:val="20"/>
          <w:color w:val="231F20"/>
        </w:rPr>
      </w:pPr>
    </w:p>
    <w:p>
      <w:pPr>
        <w:ind w:left="1220" w:right="120" w:hanging="500"/>
        <w:spacing w:after="0" w:line="276" w:lineRule="auto"/>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plans relating to commercializing our product candidates, if approved, including the geographic areas of focus and sales strategy;</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need to hire additional personnel and our ability to attract and retain such personnel;</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regarding the impact of a global pandemic or other public health emergencies on our business;</w:t>
      </w:r>
    </w:p>
    <w:p>
      <w:pPr>
        <w:spacing w:after="0" w:line="133" w:lineRule="exact"/>
        <w:rPr>
          <w:rFonts w:ascii="Arial" w:cs="Arial" w:eastAsia="Arial" w:hAnsi="Arial"/>
          <w:sz w:val="20"/>
          <w:szCs w:val="20"/>
          <w:color w:val="231F20"/>
        </w:rPr>
      </w:pPr>
    </w:p>
    <w:p>
      <w:pPr>
        <w:ind w:left="1220" w:right="300" w:hanging="500"/>
        <w:spacing w:after="0" w:line="276" w:lineRule="auto"/>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size of the market opportunity for our product candidates, including our estimates of the number of patients who suffer from the diseases we are targeting;</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regarding the approval and use of our product candidates in combination with other drugs;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competitive position and the success of competing therapies that are or may become available;</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estimates of the number of patients that we will enroll in our clinical trials;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beneficial characteristics, safety, efficacy and therapeutic effects of our product candidates;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obtain and maintain regulatory approval of our product candidates;</w:t>
      </w:r>
    </w:p>
    <w:p>
      <w:pPr>
        <w:spacing w:after="0" w:line="133" w:lineRule="exact"/>
        <w:rPr>
          <w:rFonts w:ascii="Arial" w:cs="Arial" w:eastAsia="Arial" w:hAnsi="Arial"/>
          <w:sz w:val="20"/>
          <w:szCs w:val="20"/>
          <w:color w:val="231F20"/>
        </w:rPr>
      </w:pPr>
    </w:p>
    <w:p>
      <w:pPr>
        <w:ind w:left="1220" w:right="620" w:hanging="500"/>
        <w:spacing w:after="0" w:line="276" w:lineRule="auto"/>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plans relating to the further development of our product candidates, including additional indications we may pursue;</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existing regulations and regulatory developments in the United States, Europe and other jurisdictions;</w:t>
      </w:r>
    </w:p>
    <w:p>
      <w:pPr>
        <w:spacing w:after="0" w:line="133" w:lineRule="exact"/>
        <w:rPr>
          <w:rFonts w:ascii="Arial" w:cs="Arial" w:eastAsia="Arial" w:hAnsi="Arial"/>
          <w:sz w:val="20"/>
          <w:szCs w:val="20"/>
          <w:color w:val="231F20"/>
        </w:rPr>
      </w:pPr>
    </w:p>
    <w:p>
      <w:pPr>
        <w:ind w:left="1220" w:hanging="500"/>
        <w:spacing w:after="0" w:line="252" w:lineRule="auto"/>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intellectual property position, including the scope of protection we are able to establish and maintain for intellectual property rights covering rinzimetostat, enozertinib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7" w:lineRule="exact"/>
        <w:rPr>
          <w:rFonts w:ascii="Arial" w:cs="Arial" w:eastAsia="Arial" w:hAnsi="Arial"/>
          <w:sz w:val="20"/>
          <w:szCs w:val="20"/>
          <w:color w:val="231F20"/>
        </w:rPr>
      </w:pPr>
    </w:p>
    <w:p>
      <w:pPr>
        <w:ind w:left="1220" w:right="660" w:hanging="500"/>
        <w:spacing w:after="0" w:line="276" w:lineRule="auto"/>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continued reliance on third parties to conduct additional clinical trials of our product candidates, and for the manufacture of our product candidates for preclinical studies and clinical trials;</w:t>
      </w:r>
    </w:p>
    <w:p>
      <w:pPr>
        <w:spacing w:after="0" w:line="64" w:lineRule="exact"/>
        <w:rPr>
          <w:rFonts w:ascii="Arial" w:cs="Arial" w:eastAsia="Arial" w:hAnsi="Arial"/>
          <w:sz w:val="20"/>
          <w:szCs w:val="20"/>
          <w:color w:val="231F20"/>
        </w:rPr>
      </w:pPr>
    </w:p>
    <w:p>
      <w:pPr>
        <w:ind w:left="1220" w:right="220" w:hanging="500"/>
        <w:spacing w:after="0" w:line="276" w:lineRule="auto"/>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obtain, and negotiate favorable terms of, any collaboration, licensing or other arrangements that may be necessary or desirable to develop, manufacture or commercialize our product candidates;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pricing and reimbursement of rinzimetostat, enozertinib and other product candidates we may develop, if approved;</w:t>
      </w:r>
    </w:p>
    <w:p>
      <w:pPr>
        <w:spacing w:after="0" w:line="133" w:lineRule="exact"/>
        <w:rPr>
          <w:rFonts w:ascii="Arial" w:cs="Arial" w:eastAsia="Arial" w:hAnsi="Arial"/>
          <w:sz w:val="20"/>
          <w:szCs w:val="20"/>
          <w:color w:val="231F20"/>
        </w:rPr>
      </w:pPr>
    </w:p>
    <w:p>
      <w:pPr>
        <w:ind w:left="1220" w:right="160" w:hanging="500"/>
        <w:spacing w:after="0" w:line="276" w:lineRule="auto"/>
        <w:tabs>
          <w:tab w:leader="none" w:pos="12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rate and degree of market acceptance and clinical utility of rinzimetostat, enozertinib and other product candidates we may develop, if approved;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ii</w:t>
      </w:r>
    </w:p>
    <w:p>
      <w:pPr>
        <w:sectPr>
          <w:pgSz w:w="11880" w:h="15480" w:orient="portrait"/>
          <w:cols w:equalWidth="0" w:num="1">
            <w:col w:w="10800"/>
          </w:cols>
          <w:pgMar w:left="540" w:top="986" w:right="540" w:bottom="0" w:gutter="0" w:footer="0" w:header="0"/>
        </w:sectPr>
      </w:pPr>
    </w:p>
    <w:bookmarkStart w:id="4" w:name="page5"/>
    <w:bookmarkEnd w:id="4"/>
    <w:p>
      <w:pPr>
        <w:ind w:left="1220" w:hanging="500"/>
        <w:spacing w:after="0"/>
        <w:tabs>
          <w:tab w:leader="none" w:pos="12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our estimates regarding expenses, future revenue, capital requirements and needs for additional financing;</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regarding the impacts of our strategic pipeline prioritization and reduction in workforce;</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our financial performance;</w:t>
      </w:r>
    </w:p>
    <w:p>
      <w:pPr>
        <w:spacing w:after="0" w:line="133" w:lineRule="exact"/>
        <w:rPr>
          <w:rFonts w:ascii="Arial" w:cs="Arial" w:eastAsia="Arial" w:hAnsi="Arial"/>
          <w:sz w:val="20"/>
          <w:szCs w:val="20"/>
          <w:color w:val="231F20"/>
        </w:rPr>
      </w:pPr>
    </w:p>
    <w:p>
      <w:pPr>
        <w:ind w:left="1220" w:right="300" w:hanging="500"/>
        <w:spacing w:after="0" w:line="276" w:lineRule="auto"/>
        <w:tabs>
          <w:tab w:leader="none" w:pos="12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the period over which we estimate our existing cash, cash equivalents and investments will be sufficient to fund our operating plan;</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laws and regulations; and</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our anticipated use of our existing resources.</w:t>
      </w:r>
    </w:p>
    <w:p>
      <w:pPr>
        <w:spacing w:after="0" w:line="23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202"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pgSz w:w="11880" w:h="15480" w:orient="portrait"/>
          <w:cols w:equalWidth="0" w:num="1">
            <w:col w:w="10780"/>
          </w:cols>
          <w:pgMar w:left="540" w:top="764" w:right="5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iii</w:t>
      </w:r>
    </w:p>
    <w:p>
      <w:pPr>
        <w:sectPr>
          <w:pgSz w:w="11880" w:h="15480" w:orient="portrait"/>
          <w:cols w:equalWidth="0" w:num="1">
            <w:col w:w="10780"/>
          </w:cols>
          <w:pgMar w:left="540" w:top="764" w:right="560" w:bottom="6"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1.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4" w:lineRule="exact"/>
        <w:rPr>
          <w:sz w:val="20"/>
          <w:szCs w:val="20"/>
          <w:color w:val="auto"/>
        </w:rPr>
      </w:pPr>
    </w:p>
    <w:p>
      <w:pPr>
        <w:ind w:right="1420" w:firstLine="720"/>
        <w:spacing w:after="0" w:line="277" w:lineRule="auto"/>
        <w:rPr>
          <w:sz w:val="20"/>
          <w:szCs w:val="20"/>
          <w:color w:val="auto"/>
        </w:rPr>
      </w:pPr>
      <w:r>
        <w:rPr>
          <w:rFonts w:ascii="Times New Roman" w:cs="Times New Roman" w:eastAsia="Times New Roman" w:hAnsi="Times New Roman"/>
          <w:sz w:val="20"/>
          <w:szCs w:val="20"/>
          <w:color w:val="231F20"/>
        </w:rPr>
        <w:t xml:space="preserve">ORIC Pharmaceuticals is a clinical-stage biopharmaceutical company dedicated to improving patients’ lives by </w:t>
      </w:r>
      <w:r>
        <w:rPr>
          <w:rFonts w:ascii="Times New Roman" w:cs="Times New Roman" w:eastAsia="Times New Roman" w:hAnsi="Times New Roman"/>
          <w:sz w:val="20"/>
          <w:szCs w:val="20"/>
          <w:i w:val="1"/>
          <w:iCs w:val="1"/>
          <w:u w:val="single" w:color="auto"/>
          <w:color w:val="231F20"/>
        </w:rPr>
        <w:t>O</w:t>
      </w:r>
      <w:r>
        <w:rPr>
          <w:rFonts w:ascii="Times New Roman" w:cs="Times New Roman" w:eastAsia="Times New Roman" w:hAnsi="Times New Roman"/>
          <w:sz w:val="20"/>
          <w:szCs w:val="20"/>
          <w:i w:val="1"/>
          <w:iCs w:val="1"/>
          <w:color w:val="231F20"/>
        </w:rPr>
        <w:t>vercoming</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u w:val="single" w:color="auto"/>
          <w:color w:val="231F20"/>
        </w:rPr>
        <w:t>R</w:t>
      </w:r>
      <w:r>
        <w:rPr>
          <w:rFonts w:ascii="Times New Roman" w:cs="Times New Roman" w:eastAsia="Times New Roman" w:hAnsi="Times New Roman"/>
          <w:sz w:val="20"/>
          <w:szCs w:val="20"/>
          <w:i w:val="1"/>
          <w:iCs w:val="1"/>
          <w:color w:val="231F20"/>
        </w:rPr>
        <w:t>esistance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u w:val="single" w:color="auto"/>
          <w:color w:val="231F20"/>
        </w:rPr>
        <w:t>I</w:t>
      </w:r>
      <w:r>
        <w:rPr>
          <w:rFonts w:ascii="Times New Roman" w:cs="Times New Roman" w:eastAsia="Times New Roman" w:hAnsi="Times New Roman"/>
          <w:sz w:val="20"/>
          <w:szCs w:val="20"/>
          <w:i w:val="1"/>
          <w:iCs w:val="1"/>
          <w:color w:val="231F20"/>
        </w:rPr>
        <w:t>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u w:val="single" w:color="auto"/>
          <w:color w:val="231F20"/>
        </w:rPr>
        <w:t>C</w:t>
      </w:r>
      <w:r>
        <w:rPr>
          <w:rFonts w:ascii="Times New Roman" w:cs="Times New Roman" w:eastAsia="Times New Roman" w:hAnsi="Times New Roman"/>
          <w:sz w:val="20"/>
          <w:szCs w:val="20"/>
          <w:i w:val="1"/>
          <w:iCs w:val="1"/>
          <w:color w:val="231F20"/>
        </w:rPr>
        <w:t>ancer</w:t>
      </w:r>
      <w:r>
        <w:rPr>
          <w:rFonts w:ascii="Times New Roman" w:cs="Times New Roman" w:eastAsia="Times New Roman" w:hAnsi="Times New Roman"/>
          <w:sz w:val="20"/>
          <w:szCs w:val="20"/>
          <w:color w:val="231F20"/>
        </w:rPr>
        <w:t>.</w:t>
      </w:r>
    </w:p>
    <w:p>
      <w:pPr>
        <w:spacing w:after="0" w:line="169" w:lineRule="exact"/>
        <w:rPr>
          <w:sz w:val="20"/>
          <w:szCs w:val="20"/>
          <w:color w:val="auto"/>
        </w:rPr>
      </w:pPr>
    </w:p>
    <w:p>
      <w:pPr>
        <w:ind w:right="280" w:firstLine="720"/>
        <w:spacing w:after="0" w:line="249" w:lineRule="auto"/>
        <w:rPr>
          <w:sz w:val="20"/>
          <w:szCs w:val="20"/>
          <w:color w:val="auto"/>
        </w:rPr>
      </w:pPr>
      <w:r>
        <w:rPr>
          <w:rFonts w:ascii="Times New Roman" w:cs="Times New Roman" w:eastAsia="Times New Roman" w:hAnsi="Times New Roman"/>
          <w:sz w:val="20"/>
          <w:szCs w:val="20"/>
          <w:color w:val="231F20"/>
        </w:rPr>
        <w:t>Profound advancements in oncology drug development have expanded the treatment options available to patients, yet therapeutic resistance and relapse continue to limit the efficacy and duration of clinical benefit of such treatments. Collectively, our founders and management team have a decades-long heritage of identifying and characterizing resistance mechanisms in oncology, having discovered, developed and commercialized groundbreaking medicines at companies such as Ignyta, Medivation, Aragon, Pharmacyclics, Deciphera and Genentech.</w:t>
      </w:r>
    </w:p>
    <w:p>
      <w:pPr>
        <w:spacing w:after="0" w:line="197"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231F20"/>
        </w:rPr>
        <w:t>Our fully integrated research and development team is advancing a diverse pipeline of innovative clinical therapies designed to counter resistance mechanisms in cancer by leveraging our expertise within three specific areas: hormone-dependent cancers, precision oncology and key tumor dependencies.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Our clinical stage product candidates include:</w:t>
      </w:r>
    </w:p>
    <w:p>
      <w:pPr>
        <w:spacing w:after="0" w:line="134" w:lineRule="exact"/>
        <w:rPr>
          <w:sz w:val="20"/>
          <w:szCs w:val="20"/>
          <w:color w:val="auto"/>
        </w:rPr>
      </w:pPr>
    </w:p>
    <w:p>
      <w:pPr>
        <w:ind w:left="1200" w:hanging="480"/>
        <w:spacing w:after="0" w:line="236" w:lineRule="auto"/>
        <w:tabs>
          <w:tab w:leader="none" w:pos="120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Rinzimetostat (formerly ORIC-944), an allosteric inhibitor of the polycomb repressive complex 2 (PRC2) via the embryonic ectoderm development (EED) subunit, for which we licensed development and commercialization rights from Mirati Therapeutics, Inc. (Mirati) under a license agreement (Mirati License Agreement). We filed and cleared an Investigational New Drug application (IND) with the Food and Drug Administration (FDA) for rinzimetostat in the fourth quarter of 2021. We completed a Phase 1b trial of rinzimetostat as a single-agent, in patients with advanced prostate cancer and reported initial Phase 1b data from this trial in January 2024, demonstrating potential best-in-class drug properties, including an approximate 20-hour clinical half-life, robust target engagement and a favorable safety profile. In July 2024, we announced that in the first half of 2024 we initiated dosing of rinzimetostat in combination with apalutamide as well as in combination with darolutamide, as part of the ongoing Phase 1b trial in patients with metastatic castration resistant prostate cancer (mCRPC). We also announced that we entered into clinical trial collaboration and supply agreements with Janssen Research &amp; Development, LLC, a Johnson and Johnson company (Johnson &amp; Johnson) and Bayer Consumer Care AG (Bayer), to evaluate rinzimetostat in combination with Erleada</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(apalutamide), Johnson &amp; Johnson’s androgen receptor (AR) inhibitor, and Nubeqa</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(darolutamide), Bayer’s AR inhibitor. In November 2025, we announced the completion of the dose exploration portion of the Phase 1b trial and the selection of provisional recommended Phase 2 doses (RP2Ds) of rinzimetostat to be tested in combination with the approved doses of darolutamide and apalutamide in the dose optimization portion of the Phase 1b trial: 400 mg and 600 mg QD of rinzimetostat in combination with 600 mg BID of darolutamide; and 600 mg, 800 mg and 1,200 mg QD of rinzimetostat in combination with 240 mg QD of apalutamide. Also, in November 2025, we reported Phase 1b dose exploration data in 20 patients with mCRPC, who were treated with rinzimetostat in combination with 240 mg QD of apalutamide or with 600 mg BID of darolutamide. The November 2025 data set (cutoff date of September 22, 2025) demonstrated PSA responses and circulating tumor DNA (ctDNA) reductions across all rinzimetostat dose levels and at comparable rates in combination with apalutamide or with darolutamide. Broad and deep PSA responses were demonstrated, with 55% of patients achieving a PSA50 response rate (confirmed in 40%), and 20% of patients achieving a PSA90 response rate (all confirmed). Rapid and deep ctDNA responses were observed in patients across a breadth of AR mutations and other gene alterations, with 76% of patients achieving greater than 50% ctDNA reduction, and 59% of patients achieving ctDNA clearance. Both combination regimens demonstrated a safety profile compatible with long-term dosing, with the vast majority of treatment-related adverse events (TRAEs) Grade 1 or 2 in severity and consistent with PRC2 and AR inhibition. As of the September 22, 2025 cutoff date, only one patient experienced a Grade 3 TRAE, and there were no Grade 4 or Grade 5 AEs attributed to rinzimetostat, apalutamide or darolutamide. We expect to report dose optimization data in the first quarter of 2026, and we expect to initiate our first global Phase 3 registrational trial for rinzimetostat in mCRPC in the first half of 2026.</w:t>
      </w:r>
    </w:p>
    <w:p>
      <w:pPr>
        <w:spacing w:after="0" w:line="117" w:lineRule="exact"/>
        <w:rPr>
          <w:rFonts w:ascii="Arial" w:cs="Arial" w:eastAsia="Arial" w:hAnsi="Arial"/>
          <w:sz w:val="20"/>
          <w:szCs w:val="20"/>
          <w:color w:val="231F20"/>
        </w:rPr>
      </w:pPr>
    </w:p>
    <w:p>
      <w:pPr>
        <w:ind w:left="1200" w:right="40" w:hanging="480"/>
        <w:spacing w:after="0" w:line="246" w:lineRule="auto"/>
        <w:tabs>
          <w:tab w:leader="none" w:pos="120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Enozertinib (formerly ORIC-114), a brain-penetrant, orally bioavailable, irreversible inhibitor targeting EGFR exon 20 and EGFR atypical mutations, for which we licensed development and commercialization rights from Voronoi Inc. (Voronoi) under a license and collaboration agreement (Voronoi License Agreement). In the fourth quarter of 2021, we filed a Clinical Trial Application (CTA) in South Korea for enozertinib, which was cleared in the first quarter of 2022. We also filed and cleared an IND with the FDA for enozertinib in the third quarter of 2022. Enozertinib is being evaluated in Phase 1b trials in EGFR exon 20 and P-loop and alpha C-helix compressing (PACC) mutated NSCLC, which allow enrollment of patients with CNS metastases that are either treated or untreated but asymptomatic. We</w:t>
      </w:r>
    </w:p>
    <w:p>
      <w:pPr>
        <w:sectPr>
          <w:pgSz w:w="11880" w:h="15480" w:orient="portrait"/>
          <w:cols w:equalWidth="0" w:num="1">
            <w:col w:w="10800"/>
          </w:cols>
          <w:pgMar w:left="540" w:top="746" w:right="540" w:bottom="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10800"/>
          </w:cols>
          <w:pgMar w:left="540" w:top="746" w:right="540" w:bottom="0" w:gutter="0" w:footer="0" w:header="0"/>
          <w:type w:val="continuous"/>
        </w:sectPr>
      </w:pPr>
    </w:p>
    <w:bookmarkStart w:id="7" w:name="page8"/>
    <w:bookmarkEnd w:id="7"/>
    <w:p>
      <w:pPr>
        <w:ind w:left="1200"/>
        <w:spacing w:after="0" w:line="242" w:lineRule="auto"/>
        <w:rPr>
          <w:sz w:val="20"/>
          <w:szCs w:val="20"/>
          <w:color w:val="auto"/>
        </w:rPr>
      </w:pPr>
      <w:r>
        <w:rPr>
          <w:rFonts w:ascii="Times New Roman" w:cs="Times New Roman" w:eastAsia="Times New Roman" w:hAnsi="Times New Roman"/>
          <w:sz w:val="20"/>
          <w:szCs w:val="20"/>
          <w:color w:val="231F20"/>
        </w:rPr>
        <w:t>reported initial Phase 1b data with enozertinib as a monotherapy in patients with EGFR exon 20 mutations at the European Society for Medical Oncology (ESMO) Congress in October 2023, which demonstrated both systemic and intracranial activity across multiple dose levels in a heavily pre-treated patient population. In April 2024, we announced the selection of two provisional RP2Ds of enozertinib at 80 mg and 120 mg QD. In December 2025, we reported additional Phase 1b data at the 2025 ESMO Asia Congress in treatment-naïve and in previously treated non-small cell lung cancer (NSCLC) patients with EGFR exon 20 and EGFR atypical mutations. EGFR atypical mutations are a heterogeneous group of non-classical mutations, with PACC mutations comprising the largest subset. Enozertinib achieved highly competitive systemic response rates as well as profound antitumor activity in the CNS in EGFR exon 20 and EGFR PACC patients. Enozertinib also demonstrated a well-tolerated safety profile in EGFR exon 20 and EGFR atypical patients, with no significant off-target toxicity and manageable on-target toxicity, resulting in low rate of discontinuations. Based on these data, 80 mg QD oral enozertinib has been selected as the monotherapy dose for potential Phase 3 development. In January 2025, we announced that we entered into a clinical trial and supply agreement with Johnson &amp; Johnson to evaluate enozertinib in combination with amivantamab and hyaluronidase-lpuj subcutaneous injection (SC amivantamab) for the first line treatment of patients with advanced NSCLC with EGFR exon 20 mutations, and we initiated a Phase 1b trial in the first quarter of 2025. Dosing and follow-up continues in NSCLC patients with exon 20 mutations, including as a monotherapy, in combination with SC amivantamab and in combination with chemotherapy, as well as in NSCLC patients with EGFR PACC mutations as a monotherapy. We expect to report data in the second half of 2026 in 1L NSCLC patients with EGFR exon 20 mutations as a monotherapy and in combination with SC amivantamab, as well as in 1L NSCLC patients with EGFR PACC mutations as a monotherapy.</w:t>
      </w:r>
    </w:p>
    <w:p>
      <w:pPr>
        <w:spacing w:after="0" w:line="202"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Beyond these clinical stage product candidates, we have historically engaged in the research and development of multiple discovery stage precision medicines targeting other hallmark cancer resistance mechanisms. On August 12, 2025, we announced a strategic pipeline prioritization to focus operational and financial resources on the continued advancement of our two lead clinical programs, rinzimetostat and enozertinib. This initiative has resulted in a substantial decrease in preclinical research, primarily from the elimination of our discovery research group.</w:t>
      </w:r>
    </w:p>
    <w:p>
      <w:pPr>
        <w:spacing w:after="0" w:line="197"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Cancer resistance continues to be one of the most daunting challenges facing patients, clinicians and researchers in oncology today. A multitude of biological factors and pathways have been linked to resistance, which enables tumors to restore cell growth and survival by circumventing a treatment’s intended mechanism of action. Our resistance platform is focused on three areas: (1) innate resistance, which derives from an unaddressed oncogenic driver that promotes tumorigenesis; (2) acquired resistance, the result of an induced or enriched oncogenic driver that arises in response to treatment; and (3) bypass resistance, the activation of a compensatory signaling pathway in response to treatment.</w:t>
      </w:r>
    </w:p>
    <w:p>
      <w:pPr>
        <w:spacing w:after="0" w:line="200"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color w:val="231F20"/>
        </w:rPr>
        <w:t>We are building a portfolio of novel agents targeting multiple resistance mechanisms by leveraging our specialized expertise in hormone-dependent cancers, precision oncology and key tumor dependencies:</w:t>
      </w:r>
    </w:p>
    <w:p>
      <w:pPr>
        <w:spacing w:after="0" w:line="82" w:lineRule="exact"/>
        <w:rPr>
          <w:sz w:val="20"/>
          <w:szCs w:val="20"/>
          <w:color w:val="auto"/>
        </w:rPr>
      </w:pPr>
    </w:p>
    <w:p>
      <w:pPr>
        <w:ind w:left="1200" w:right="20" w:hanging="480"/>
        <w:spacing w:after="0" w:line="244" w:lineRule="auto"/>
        <w:tabs>
          <w:tab w:leader="none" w:pos="120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Hormone-dependent cancers: </w:t>
      </w:r>
      <w:r>
        <w:rPr>
          <w:rFonts w:ascii="Times New Roman" w:cs="Times New Roman" w:eastAsia="Times New Roman" w:hAnsi="Times New Roman"/>
          <w:sz w:val="20"/>
          <w:szCs w:val="20"/>
          <w:color w:val="231F20"/>
        </w:rPr>
        <w:t>Two of our founders, Drs. Charles Sawyers and Richard Heyman, are leading experts in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nuclear hormone receptors and hormone-dependent cancers. They previously co-founded two oncology companies, Aragon (acquired by Johnson &amp; Johnson in 2013) and Seragon (acquired by Roche in 2014), that developed therapeutics targeting two nuclear hormone receptors, the AR and estrogen receptor, respectively, the former effort leading to the approved drug Erleada (apalutamide). Our product candidate rinzimetostat is an allosteric inhibitor of PRC2 with mechanism of action via binding the EED subunit that was designed to have superior drug properties compared to EZH2 inhibitors and is being developed as a potential treatment for advanced prostate cancer. Given the breadth of solid tumor indications in which hormone signaling pathways have been implicated in driving disease, or in the development of resistance, we believe our differentiated insight into this biology is a crucial component of our future success.</w:t>
      </w:r>
    </w:p>
    <w:p>
      <w:pPr>
        <w:spacing w:after="0" w:line="113" w:lineRule="exact"/>
        <w:rPr>
          <w:rFonts w:ascii="Arial" w:cs="Arial" w:eastAsia="Arial" w:hAnsi="Arial"/>
          <w:sz w:val="20"/>
          <w:szCs w:val="20"/>
          <w:color w:val="231F20"/>
        </w:rPr>
      </w:pPr>
    </w:p>
    <w:p>
      <w:pPr>
        <w:ind w:left="1220" w:right="80" w:hanging="500"/>
        <w:spacing w:after="0" w:line="244" w:lineRule="auto"/>
        <w:tabs>
          <w:tab w:leader="none" w:pos="122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Precision oncology: </w:t>
      </w:r>
      <w:r>
        <w:rPr>
          <w:rFonts w:ascii="Times New Roman" w:cs="Times New Roman" w:eastAsia="Times New Roman" w:hAnsi="Times New Roman"/>
          <w:sz w:val="20"/>
          <w:szCs w:val="20"/>
          <w:color w:val="231F20"/>
        </w:rPr>
        <w:t>Our precision medicine approach of utilizing biomarkers for demonstration of target and pathway</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engagement and ultimately for patient selection is rooted in our management team’s prior experience at Ignyta (acquired by Roche in 2018) in successfully developing Rozlytrek (entrectinib), which was approved by the FDA for the treatment of ROS1-positive metastatic NSCLC and neurotrophic tyrosine receptor kinase (NTRK)-positive solid tumors in 2019. Similarly, our product candidate enozertinib, a brain-penetrant, orally bioavailable irreversible inhibitor targeting EGFR exon 20 and EGFR atypical mutations, is being developed in genetically defined patient populations, including NSCLC. Our team’s experience in precision oncology dates back decades, including</w:t>
      </w:r>
    </w:p>
    <w:p>
      <w:pPr>
        <w:ind w:left="1220" w:right="380"/>
        <w:spacing w:after="0" w:line="242" w:lineRule="auto"/>
        <w:rPr>
          <w:rFonts w:ascii="Arial" w:cs="Arial" w:eastAsia="Arial" w:hAnsi="Arial"/>
          <w:sz w:val="20"/>
          <w:szCs w:val="20"/>
          <w:color w:val="231F20"/>
        </w:rPr>
      </w:pPr>
      <w:r>
        <w:rPr>
          <w:rFonts w:ascii="Times New Roman" w:cs="Times New Roman" w:eastAsia="Times New Roman" w:hAnsi="Times New Roman"/>
          <w:sz w:val="20"/>
          <w:szCs w:val="20"/>
          <w:color w:val="231F20"/>
        </w:rPr>
        <w:t>Dr. Sawyers’ pivotal role in the development of Gleevec (imatinib) and Sprycel (dasatinib). We believe our team’s expertise and experience in precision oncology will allow us to develop drugs with a higher probability of clinical success within biomarker-defined patient populations, while also potentially reducing the time and cost of development.</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10780"/>
          </w:cols>
          <w:pgMar w:left="540" w:top="750" w:right="560" w:bottom="0" w:gutter="0" w:footer="0" w:header="0"/>
          <w:type w:val="continuous"/>
        </w:sectPr>
      </w:pPr>
    </w:p>
    <w:bookmarkStart w:id="8" w:name="page9"/>
    <w:bookmarkEnd w:id="8"/>
    <w:p>
      <w:pPr>
        <w:ind w:left="1220" w:right="40" w:hanging="500"/>
        <w:spacing w:after="0" w:line="244" w:lineRule="auto"/>
        <w:tabs>
          <w:tab w:leader="none" w:pos="122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Key tumor dependencies: </w:t>
      </w:r>
      <w:r>
        <w:rPr>
          <w:rFonts w:ascii="Times New Roman" w:cs="Times New Roman" w:eastAsia="Times New Roman" w:hAnsi="Times New Roman"/>
          <w:sz w:val="20"/>
          <w:szCs w:val="20"/>
          <w:color w:val="231F20"/>
        </w:rPr>
        <w:t>Key tumor dependencies are abnormal alterations that promote cancer cell growth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survival and also confer specific vulnerabilities that normal cells lack; these cancer-specific dependencies are compelling therapeutic targets. Our scientific team—led by our Chief Scientific Officer, head of biology and head of translational medicine—has amassed deep knowledge of key oncogenic drivers and pathways in order to identify and validate oncology targets. They most recently worked together at Genentech, where they progressed more than 20 oncology discovery programs into clinical development, with four approvals to date, including Cotellic (cobimetinib), Zelboraf (vemurafenib), Polivy (polatuzumab vedotin) and Itovebi (inavolisib). Our knowledge of innate, acquired and bypass resistance mechanisms, as well as our in-depth experience in forward and reverse translation, underpins our efforts to identify key drivers of cancer resistance that can be exploited for therapeutic gain.</w:t>
      </w:r>
    </w:p>
    <w:p>
      <w:pPr>
        <w:spacing w:after="0" w:line="205" w:lineRule="exact"/>
        <w:rPr>
          <w:sz w:val="20"/>
          <w:szCs w:val="20"/>
          <w:color w:val="auto"/>
        </w:rPr>
      </w:pPr>
    </w:p>
    <w:p>
      <w:pPr>
        <w:ind w:right="500" w:firstLine="720"/>
        <w:spacing w:after="0" w:line="258" w:lineRule="auto"/>
        <w:rPr>
          <w:sz w:val="20"/>
          <w:szCs w:val="20"/>
          <w:color w:val="auto"/>
        </w:rPr>
      </w:pPr>
      <w:r>
        <w:rPr>
          <w:rFonts w:ascii="Times New Roman" w:cs="Times New Roman" w:eastAsia="Times New Roman" w:hAnsi="Times New Roman"/>
          <w:sz w:val="20"/>
          <w:szCs w:val="20"/>
          <w:color w:val="231F20"/>
        </w:rPr>
        <w:t>We are applying our internal capabilities to these three areas of expertise to identify and develop innovative therapies targeting the critical cancer resistance mechanisms that we believe will bring the largest benefit to patients, including by making existing therapies more effective for a longer period of time.</w:t>
      </w:r>
    </w:p>
    <w:p>
      <w:pPr>
        <w:spacing w:after="0" w:line="188" w:lineRule="exact"/>
        <w:rPr>
          <w:sz w:val="20"/>
          <w:szCs w:val="20"/>
          <w:color w:val="auto"/>
        </w:rPr>
      </w:pPr>
    </w:p>
    <w:p>
      <w:pPr>
        <w:ind w:right="500" w:firstLine="720"/>
        <w:spacing w:after="0" w:line="277" w:lineRule="auto"/>
        <w:rPr>
          <w:sz w:val="20"/>
          <w:szCs w:val="20"/>
          <w:color w:val="auto"/>
        </w:rPr>
      </w:pPr>
      <w:r>
        <w:rPr>
          <w:rFonts w:ascii="Times New Roman" w:cs="Times New Roman" w:eastAsia="Times New Roman" w:hAnsi="Times New Roman"/>
          <w:sz w:val="20"/>
          <w:szCs w:val="20"/>
          <w:color w:val="231F20"/>
        </w:rPr>
        <w:t>Our portfolio currently consists of programs targeting key resistance mechanisms in cancer. Our product candidates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858000" cy="3162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extLst>
                    </a:blip>
                    <a:srcRect/>
                    <a:stretch>
                      <a:fillRect/>
                    </a:stretch>
                  </pic:blipFill>
                  <pic:spPr bwMode="auto">
                    <a:xfrm>
                      <a:off x="0" y="0"/>
                      <a:ext cx="6858000" cy="316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(1) Clinical collaboration with Johnson &amp; Johnson to evaluate enozertinib in combination with SC amivantamab in patients with first-line NSCLC with EGFR exon 20 mutations.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PRC2 inhibitor program: Rinzimetostat</w:t>
      </w:r>
    </w:p>
    <w:p>
      <w:pPr>
        <w:spacing w:after="0" w:line="12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The dysregulation of PRC2 methyltransferase activity can lead to tumorigenesis in a wide range of cancers including prostate cancer, breast cancer, and hematological malignancies. PRC2 is composed of two druggable subunits: EED and EZH2. Several companies are developing EZH2 inhibitors; however, the pharmacologic properties of these compounds result in high doses that achieve only partial target inhibition in the clinic. Additionally, preclinical studies suggest drug resistance to EZH2 inhibitors may develop via EZH1 bypass compensation or acquired mutations in EZH2. Allosteric inhibition of EED impacts the assembly, stabilization, and activation of PRC2, and may have benefits over EZH2-mediated inhibition of PRC2.</w:t>
      </w:r>
    </w:p>
    <w:p>
      <w:pPr>
        <w:spacing w:after="0" w:line="8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Rinzimetostat is a potent and selective allosteric inhibitor of PRC2 with mechanism of action via binding the EED subunit that was designed to have superior drug properties compared to EZH2 inhibitors and is efficacious in androgen-insensitive and enzalutamide-resistant prostate cancer models in preclinical studies. We filed and cleared an IND with the FDA for rinzimetostat in the fourth quarter of 2021. We completed a Phase 1b trial of rinzimetostat as a single-agent, in patients with advanced prostate cancer and reported initial Phase 1b data from this trial in January 2024, demonstrating potential best- in-class drug properties, including an approximate 20-hour clinical half-life, robust target engagement and a favorable safety profile. In July 2024, we announced that in the first half of 2024 we initiated dosing of rinzimetostat in combination with apalutamide as well as in combination with darolutamide, as part of the ongoing Phase 1b trial in patients with mCRPC. We also announced that we entered into clinical trial collaboration and supply agreements with Johnson &amp; Johnson and Bayer, to evaluate rinzimetostat in combination with Erleada® (apalutamide),</w:t>
      </w:r>
    </w:p>
    <w:p>
      <w:pPr>
        <w:sectPr>
          <w:pgSz w:w="11880" w:h="15480" w:orient="portrait"/>
          <w:cols w:equalWidth="0" w:num="1">
            <w:col w:w="10780"/>
          </w:cols>
          <w:pgMar w:left="540" w:top="764" w:right="56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10780"/>
          </w:cols>
          <w:pgMar w:left="540" w:top="764" w:right="560" w:bottom="0" w:gutter="0" w:footer="0" w:header="0"/>
          <w:type w:val="continuous"/>
        </w:sectPr>
      </w:pPr>
    </w:p>
    <w:bookmarkStart w:id="9" w:name="page10"/>
    <w:bookmarkEnd w:id="9"/>
    <w:p>
      <w:pPr>
        <w:spacing w:after="0" w:line="242" w:lineRule="auto"/>
        <w:rPr>
          <w:sz w:val="20"/>
          <w:szCs w:val="20"/>
          <w:color w:val="auto"/>
        </w:rPr>
      </w:pPr>
      <w:r>
        <w:rPr>
          <w:rFonts w:ascii="Times New Roman" w:cs="Times New Roman" w:eastAsia="Times New Roman" w:hAnsi="Times New Roman"/>
          <w:sz w:val="20"/>
          <w:szCs w:val="20"/>
          <w:color w:val="231F20"/>
        </w:rPr>
        <w:t>Johnson &amp; Johnson’s AR inhibitor, and Nubeqa® (darolutamide), Bayer’s AR inhibitor. In November 2025, we announced the completion of the dose exploration portion of the Phase 1b trial and the selection of provisional RP2Ds of rinzimetostat to be tested in combination with the approved doses of darolutamide and apalutamide in the dose optimization portion of the Phase 1b trial: 400 mg and 600 mg QD of rinzimetostat in combination with 600 mg BID of darolutamide; and 600 mg, 800 mg and 1,200 mg QD of rinzimetostat in combination with 240 mg QD of apalutamide. Also, in November 2025, we reported Phase 1b dose exploration data in 20 patients with mCRPC, who were treated with rinzimetostat in combination with 240 mg QD of apalutamide or with 600 mg BID of darolutamide. The November 2025 data set (cutoff date of September 22, 2025) demonstrated PSA responses and ctDNA reductions across all rinzimetostat dose levels and at comparable rates in combination with apalutamide or with darolutamide. Broad and deep PSA responses were demonstrated, with 55% of patients achieving a PSA50 response rate (confirmed in 40%), and 20% of patients achieving a PSA90 response rate (all confirmed). Rapid and deep ctDNA responses were observed in patients across a breadth of AR mutations and other gene alterations, with 76% of patients achieving greater than 50% ctDNA reduction, and 59% of patients achieving ctDNA clearance. Both combination regimens demonstrated a safety profile compatible with long-term dosing, with the vast majority of TRAEs Grade 1 or 2 in severity and consistent with PRC2 and AR inhibition. As of the September 22, 2025 cutoff date, only one patient experienced a Grade 3 TRAE, and there were no Grade 4 or Grade 5 AEs attributed to rinzimetostat, apalutamide or darolutamide. We expect to report dose optimization data in the first quarter of 2026, and we expect to initiate our first global Phase 3 registrational trial for rinzimetostat in mCRPC in the first half of 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Brain-penetrant EGFR program: Enozertinib</w:t>
      </w:r>
    </w:p>
    <w:p>
      <w:pPr>
        <w:spacing w:after="0" w:line="116"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231F20"/>
        </w:rPr>
        <w:t>The ErbB receptor tyrosine kinase family is involved in key cellular functions, including cell growth and survival. EGFR exon 20 mutations are observed in approximately 2.1% of all patients with NSCLC and these patients have a worse prognosis than patients with NSCLC driven by other EGFR mutations. EGFR PACC mutations are observed in approximately 2.5% of all patients with NSCLC. Approximately 30% of patients with EGFR-mutant NSCLC present with de novo CNS disease and approximately 50% will develop brain metastases over the course of their disease, which contributes to poor prognosis.</w:t>
      </w:r>
    </w:p>
    <w:p>
      <w:pPr>
        <w:spacing w:after="0" w:line="197"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Enozertinib is a brain-penetrant, orally bioavailable, irreversible inhibitor targeting EGFR exon 20 and EGFR atypical mutations. Enozertinib has demonstrated greater brain exposure in preclinical studies compared to certain other compounds being developed against exon 20 mutations and has shown strong anti-tumor activity in an EGFR-driven intracranial lung cancer model. In the fourth quarter of 2021, we filed a CTA in South Korea for enozertinib, which was cleared in the first quarter of 2022. We also filed and cleared an IND with the FDA for enozertinib in the third quarter of 2022. Enozertinib is being evaluated in Phase 1b trials in EGFR exon 20 and PACC mutated NSCLC, which allow enrollment of patients with CNS metastases that are either treated or untreated but asymptomatic. We reported initial Phase 1b data with enozertinib as a monotherapy in patients with EGFR exon 20 mutations at the ESMO Congress in October 2023, which demonstrated both systemic and intracranial activity across multiple dose levels in a heavily pre-treated patient population. In April 2024, we announced the selection of two provisional RP2Ds of enozertinib at 80 mg and 120 mg QD. In December 2025, we reported additional Phase 1b data at the 2025 ESMO Asia Congress in treatment-naïve and in previously treated NSCLC patients with EGFR exon 20 and EGFR atypical mutations. Enozertinib achieved highly competitive systemic response rates as well as profound antitumor activity in the CNS in EGFR exon 20 and EGFR PACC patients. Enozertinib also demonstrated a well-tolerated safety profile in EGFR exon 20 and EGFR atypical patients, with no significant off-target toxicity and manageable on-target toxicity, resulting in low rate of discontinuations. Based on these data, 80 mg QD oral enozertinib has been selected as the monotherapy dose for potential Phase 3 development. In January 2025, we announced that we entered into a clinical trial and supply agreement with Johnson &amp; Johnson to evaluate enozertinib in combination with SC amivantamab for the first line treatment of patients with advanced NSCLC with EGFR exon 20 mutations, and we initiated a Phase 1b trial in the first quarter of 2025. Dosing and follow-up continues in NSCLC patients with exon 20 mutations, including as a monotherapy, in combination with SC amivantamab and in combination with chemotherapy, as well as in NSCLC patients with EGFR PACC mutations as a monotherapy. We expect to report data in the second half of 2026 in 1L NSCLC patients with EGFR exon 20 mutations as a monotherapy and in combination with SC amivantamab, as well as in 1L NSCLC patients with EGFR PACC mutations as a monotherapy.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strategy</w:t>
      </w:r>
    </w:p>
    <w:p>
      <w:pPr>
        <w:spacing w:after="0" w:line="124" w:lineRule="exact"/>
        <w:rPr>
          <w:sz w:val="20"/>
          <w:szCs w:val="20"/>
          <w:color w:val="auto"/>
        </w:rPr>
      </w:pPr>
    </w:p>
    <w:p>
      <w:pPr>
        <w:ind w:right="220" w:firstLine="720"/>
        <w:spacing w:after="0" w:line="277" w:lineRule="auto"/>
        <w:rPr>
          <w:sz w:val="20"/>
          <w:szCs w:val="20"/>
          <w:color w:val="auto"/>
        </w:rPr>
      </w:pPr>
      <w:r>
        <w:rPr>
          <w:rFonts w:ascii="Times New Roman" w:cs="Times New Roman" w:eastAsia="Times New Roman" w:hAnsi="Times New Roman"/>
          <w:sz w:val="20"/>
          <w:szCs w:val="20"/>
          <w:color w:val="231F20"/>
        </w:rPr>
        <w:t>Our goal is to develop and commercialize innovative therapies that overcome resistance in cancer. The key elements of our business strategy to achieve this goal include:</w:t>
      </w:r>
    </w:p>
    <w:p>
      <w:pPr>
        <w:spacing w:after="0" w:line="184" w:lineRule="exact"/>
        <w:rPr>
          <w:sz w:val="20"/>
          <w:szCs w:val="20"/>
          <w:color w:val="auto"/>
        </w:rPr>
      </w:pPr>
    </w:p>
    <w:p>
      <w:pPr>
        <w:ind w:left="1200" w:right="100" w:hanging="480"/>
        <w:spacing w:after="0" w:line="249" w:lineRule="auto"/>
        <w:tabs>
          <w:tab w:leader="none" w:pos="12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Leveraging the insights, experience and networks of our founders and management team. </w:t>
      </w:r>
      <w:r>
        <w:rPr>
          <w:rFonts w:ascii="Times New Roman" w:cs="Times New Roman" w:eastAsia="Times New Roman" w:hAnsi="Times New Roman"/>
          <w:sz w:val="20"/>
          <w:szCs w:val="20"/>
          <w:color w:val="231F20"/>
        </w:rPr>
        <w:t>Our founders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management team have extensive experience identifying, discovering, developing and commercializing innovative cancer therapeutics aimed at novel targets, including Rozlytrek, Erleada, Talzenna, Xtandi, Sprycel, Gleevec, Imbruvica and Zelboraf. We are using this broad oncology experience to build a diverse pipeline of therapies targeting multiple cancer resistance mechanisms.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10800"/>
          </w:cols>
          <w:pgMar w:left="540" w:top="750" w:right="540" w:bottom="0" w:gutter="0" w:footer="0" w:header="0"/>
          <w:type w:val="continuous"/>
        </w:sectPr>
      </w:pPr>
    </w:p>
    <w:bookmarkStart w:id="10" w:name="page11"/>
    <w:bookmarkEnd w:id="10"/>
    <w:p>
      <w:pPr>
        <w:ind w:left="480" w:right="40" w:hanging="480"/>
        <w:spacing w:after="0" w:line="242" w:lineRule="auto"/>
        <w:tabs>
          <w:tab w:leader="none" w:pos="4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Advancing our product candidates as rapidly as possible through clinical development. </w:t>
      </w:r>
      <w:r>
        <w:rPr>
          <w:rFonts w:ascii="Times New Roman" w:cs="Times New Roman" w:eastAsia="Times New Roman" w:hAnsi="Times New Roman"/>
          <w:sz w:val="20"/>
          <w:szCs w:val="20"/>
          <w:color w:val="231F20"/>
        </w:rPr>
        <w:t>In the first half of 2024 we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initiated dosing of rinzimetostat in combination with apalutamide as well as in combination with darolutamide, as part of our ongoing Phase 1b trial in patients with mCRPC. In November 2025, we announced the completion of the dose exploration portion of the Phase 1b trial and the selection of provisional RP2Ds of rinzimetostat for the dose optimization portion of the Phase 1b trial. We expect to report dose optimization data in the first quarter of 2026, and we expect to initiate our first global Phase 3 registrational trial for rinzimetostat in mCRPC in the first half of 2026. Enozertinib is being evaluated in Phase 1b trials in EGFR exon 20 and PACC mutated NSCLC, which allow enrollment of patients with CNS metastases that are either treated or untreated but asymptomatic. We reported initial Phase 1b data with enozertinib as a monotherapy in patients with EGFR exon 20 mutations at the ESMO Congress in October 2023. In April 2024, we announced the selection of two provisional RP2Ds of enozertinib at 80 mg and 120 mg QD. In December 2025, we reported additional Phase 1b data at the 2025 ESMO Asia Congress in treatment-naïve and in previously treated NSCLC patients with EGFR exon 20 and EGFR atypical mutations. In January 2025, we announced that we entered into a clinical trial and supply agreement with Johnson &amp; Johnson to evaluate enozertinib in combination with SC amivantamab for the first line treatment of patients with advanced NSCLC with EGFR exon 20 mutations, and we initiated a Phase 1b trial in the first quarter of 2025. Where possible, we plan to pursue accelerated development strategies in areas of high unmet need.</w:t>
      </w:r>
    </w:p>
    <w:p>
      <w:pPr>
        <w:spacing w:after="0" w:line="223" w:lineRule="exact"/>
        <w:rPr>
          <w:rFonts w:ascii="Arial" w:cs="Arial" w:eastAsia="Arial" w:hAnsi="Arial"/>
          <w:sz w:val="20"/>
          <w:szCs w:val="20"/>
          <w:color w:val="231F20"/>
        </w:rPr>
      </w:pPr>
    </w:p>
    <w:p>
      <w:pPr>
        <w:ind w:left="480" w:hanging="480"/>
        <w:spacing w:after="0" w:line="246" w:lineRule="auto"/>
        <w:tabs>
          <w:tab w:leader="none" w:pos="4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Leveraging our expertise to build the leading company focused on delivering innovative medicines that aim to overcome resistance in cancer. </w:t>
      </w:r>
      <w:r>
        <w:rPr>
          <w:rFonts w:ascii="Times New Roman" w:cs="Times New Roman" w:eastAsia="Times New Roman" w:hAnsi="Times New Roman"/>
          <w:sz w:val="20"/>
          <w:szCs w:val="20"/>
          <w:color w:val="231F20"/>
        </w:rPr>
        <w:t>As of December 31, 2025, we had 104 full-time employees, including world-class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preclinical and clinical development teams. Together, they bring in-house expertise in biology, translational medicine, in vitro and in vivo pharmacology, computational biology, biomarker development and CMC. We have also established internal expertise in clinical development, clinical operations, pharmacovigilance, clinical pharmacology, regulatory, quality, medical affairs and commercial. The members of our development and commercial organizations have collectively led and contributed to dozens of IND filings and multiple drug approvals in oncology.</w:t>
      </w:r>
    </w:p>
    <w:p>
      <w:pPr>
        <w:spacing w:after="0" w:line="213" w:lineRule="exact"/>
        <w:rPr>
          <w:rFonts w:ascii="Arial" w:cs="Arial" w:eastAsia="Arial" w:hAnsi="Arial"/>
          <w:sz w:val="20"/>
          <w:szCs w:val="20"/>
          <w:color w:val="231F20"/>
        </w:rPr>
      </w:pPr>
    </w:p>
    <w:p>
      <w:pPr>
        <w:ind w:left="480" w:right="40" w:hanging="480"/>
        <w:spacing w:after="0" w:line="246" w:lineRule="auto"/>
        <w:tabs>
          <w:tab w:leader="none" w:pos="4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Continuing to expand our portfolio of product candidates through business development efforts. </w:t>
      </w:r>
      <w:r>
        <w:rPr>
          <w:rFonts w:ascii="Times New Roman" w:cs="Times New Roman" w:eastAsia="Times New Roman" w:hAnsi="Times New Roman"/>
          <w:sz w:val="20"/>
          <w:szCs w:val="20"/>
          <w:color w:val="231F20"/>
        </w:rPr>
        <w:t>We believe that</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accessing external innovation and expertise is important to our success. For example, we in-licensed Mirati’s allosteric PRC2 program, our lead product candidate now designated as rinzimetostat, as well as Voronoi’s EGFR exon 20 mutation program, our other lead product candidate now designated as enozertinib. We will continue to leverage our leadership team’s prior business development experience as we evaluate potential in-licensing and acquisition opportunities to further expand our portfolio. We aim to be the partner of choice for academic groups and companies in the field of cancer resistance.</w:t>
      </w:r>
    </w:p>
    <w:p>
      <w:pPr>
        <w:spacing w:after="0" w:line="213" w:lineRule="exact"/>
        <w:rPr>
          <w:rFonts w:ascii="Arial" w:cs="Arial" w:eastAsia="Arial" w:hAnsi="Arial"/>
          <w:sz w:val="20"/>
          <w:szCs w:val="20"/>
          <w:color w:val="231F20"/>
        </w:rPr>
      </w:pPr>
    </w:p>
    <w:p>
      <w:pPr>
        <w:ind w:left="480" w:right="20" w:hanging="480"/>
        <w:spacing w:after="0" w:line="244" w:lineRule="auto"/>
        <w:tabs>
          <w:tab w:leader="none" w:pos="4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Utilizing a precision medicine approach in the development of each of our product candidates. </w:t>
      </w:r>
      <w:r>
        <w:rPr>
          <w:rFonts w:ascii="Times New Roman" w:cs="Times New Roman" w:eastAsia="Times New Roman" w:hAnsi="Times New Roman"/>
          <w:sz w:val="20"/>
          <w:szCs w:val="20"/>
          <w:color w:val="231F20"/>
        </w:rPr>
        <w:t>We use biomarkers to</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demonstrate target and pathway engagement and plan to use them for patient selection in certain of our clinical trials. This approach is rooted in our team’s prior experiences developing targeted therapies, such as Rozlytrek, an orally bioavailable, tyrosine kinase inhibitor approved for select tumors that harbor ROS1 or NTRK fusions. We seek to design rigorous and cost-efficient clinical programs that increase the probability of success by exploring connections between cellular-level biology and patient-level clinical outcomes. The use of biomarker-based patient selection is designed to enable demonstration of clinical proof-of-concept earlier and with fewer patients, leading ultimately to smaller pivotal trials. As part of our strategy, our in-house team of experienced translational scientists and computational biologists leverages existing technologies as well as develops proprietary assays to enable the selection and assessment of biomarkers for each of our programs.</w:t>
      </w:r>
    </w:p>
    <w:p>
      <w:pPr>
        <w:spacing w:after="0" w:line="215" w:lineRule="exact"/>
        <w:rPr>
          <w:rFonts w:ascii="Arial" w:cs="Arial" w:eastAsia="Arial" w:hAnsi="Arial"/>
          <w:sz w:val="20"/>
          <w:szCs w:val="20"/>
          <w:color w:val="231F20"/>
        </w:rPr>
      </w:pPr>
    </w:p>
    <w:p>
      <w:pPr>
        <w:ind w:left="500" w:right="20" w:hanging="500"/>
        <w:spacing w:after="0" w:line="230" w:lineRule="auto"/>
        <w:tabs>
          <w:tab w:leader="none" w:pos="50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Evaluating opportunities to accelerate development timelines and enhance the commercial potential of our programs in collaboration with third parties. </w:t>
      </w:r>
      <w:r>
        <w:rPr>
          <w:rFonts w:ascii="Times New Roman" w:cs="Times New Roman" w:eastAsia="Times New Roman" w:hAnsi="Times New Roman"/>
          <w:sz w:val="20"/>
          <w:szCs w:val="20"/>
          <w:color w:val="231F20"/>
        </w:rPr>
        <w:t>We own or license full worldwide development and commercialization</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rights to each of our programs (other than with respect to our brain-penetrant EGFR program, enozertinib, for which we own exclusive rights worldwide excluding the People's Republic of China, Hong Kong, Macau and Taiwan (the ORIC Territory)). We have established collaborations, including clinical trial collaboration and supply agreements with Johnson &amp; Johnson and Bayer to evaluate rinzimetostat in combination with Erleada</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(apalutamide), Johnson &amp; Johnson’s AR inhibitor, and Nubeqa</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(darolutamide), Bayer’s AR inhibitor and with Johnson &amp; Johnson to evaluate enozertinib in combination with SC amivantamab. We intend to continue evaluating opportunities to work with partners that meaningfully enhance our capabilities with respect to the development and commercialization of our product candidates. In addition, we intend to commercialize our product candidates in key markets either alone or with partners in order to maximize the worldwide commercial potential of our programs.</w:t>
      </w:r>
    </w:p>
    <w:p>
      <w:pPr>
        <w:sectPr>
          <w:pgSz w:w="11880" w:h="15480" w:orient="portrait"/>
          <w:cols w:equalWidth="0" w:num="1">
            <w:col w:w="10080"/>
          </w:cols>
          <w:pgMar w:left="126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10080"/>
          </w:cols>
          <w:pgMar w:left="1260" w:top="764" w:right="54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i w:val="1"/>
          <w:iCs w:val="1"/>
          <w:color w:val="231F20"/>
        </w:rPr>
        <w:t>Background on cancer resistance</w:t>
      </w:r>
    </w:p>
    <w:p>
      <w:pPr>
        <w:spacing w:after="0" w:line="120"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231F20"/>
        </w:rPr>
        <w:t>Cancer resistance continues to be one of the most daunting challenges facing patients, clinicians and researchers in oncology today. A multitude of biological factors and pathways have been linked to resistance, which enables tumors to restore cell growth and survival by circumventing a treatment’s intended mechanism of action. Furthermore, treatment resistance in cancer emerges irrespective of therapeutic class, including targeted therapy, hormone therapy, immunotherapy and chemotherapy.</w:t>
      </w:r>
    </w:p>
    <w:p>
      <w:pPr>
        <w:spacing w:after="0" w:line="194"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231F20"/>
        </w:rPr>
        <w:t>Our resistance platform is focused on three areas: (1) innate resistance, which derives from an unaddressed oncogenic driver that promotes tumorigenesis; (2) acquired resistance, the result of an induced or enriched oncogenic driver that arises in response to treatment; and (3) bypass resistance, the activation of a compensatory signaling pathway in response to treatment.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Overview of key resistance mechanisms and ORIC team’s prior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89535</wp:posOffset>
            </wp:positionV>
            <wp:extent cx="5829300" cy="258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extLst>
                    </a:blip>
                    <a:srcRect/>
                    <a:stretch>
                      <a:fillRect/>
                    </a:stretch>
                  </pic:blipFill>
                  <pic:spPr bwMode="auto">
                    <a:xfrm>
                      <a:off x="0" y="0"/>
                      <a:ext cx="582930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20" w:right="40" w:hanging="500"/>
        <w:spacing w:after="0" w:line="242" w:lineRule="auto"/>
        <w:tabs>
          <w:tab w:leader="none" w:pos="122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Innate resistance </w:t>
      </w:r>
      <w:r>
        <w:rPr>
          <w:rFonts w:ascii="Times New Roman" w:cs="Times New Roman" w:eastAsia="Times New Roman" w:hAnsi="Times New Roman"/>
          <w:sz w:val="20"/>
          <w:szCs w:val="20"/>
          <w:color w:val="231F20"/>
        </w:rPr>
        <w:t>occurs when a key tumor dependency is not addressed, such as a driver mutation with no available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targeted therapeutic. An example of a drug targeting innate resistance is Rozlytrek, developed by Ignyta for patients with ROS1-positive, metastatic NSCLC and NTRK gene fusion-positive solid tumors. We believe these innate resistance targets have a higher probability of technical success than other cancer targets, hold potential for meaningful clinical outcomes, and have the potential for rapid clinical development and approval timelines. Innate resistance targets have been the subject of a number of targeted therapies that have been approved over the past couple of decades. Studies have shown that treatments that target and inhibit unaddressed driver mutations have high response rates with generally good durability, including in a resistant setting. This efficacy in a refractory patient population in turn has been shown to enable a shorter development pathway, with many such agents being approved based upon single arm trials of modest size. New advances in small molecule drug discovery have created an opportunity to better target next-generation oncogenic drivers. Our pipeline includes several programs targeting innate resistance including rinzimetostat, our allosteric inhibitor of PRC2, which was designed to address innate resistance related to PRC2 dysregulation in prostate and other tumors; and enozertinib, our brain-penetrant, orally bioavailable, irreversible inhibitor targeting EGFR exon 20 and EGFR atypical mutations in lung and other tumors. While other therapies targeting innate resistance have shown technical success, our programs are distinct from other therapies and there is no guarantee that our product candidates will be approved, are more likely to receive FDA approval than other potential product candidates, or if approved, will be approved quickly.</w:t>
      </w:r>
    </w:p>
    <w:p>
      <w:pPr>
        <w:spacing w:after="0" w:line="119" w:lineRule="exact"/>
        <w:rPr>
          <w:rFonts w:ascii="Arial" w:cs="Arial" w:eastAsia="Arial" w:hAnsi="Arial"/>
          <w:sz w:val="20"/>
          <w:szCs w:val="20"/>
          <w:color w:val="231F20"/>
        </w:rPr>
      </w:pPr>
    </w:p>
    <w:p>
      <w:pPr>
        <w:ind w:left="1220" w:hanging="500"/>
        <w:spacing w:after="0" w:line="245" w:lineRule="auto"/>
        <w:tabs>
          <w:tab w:leader="none" w:pos="122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Acquired resistance </w:t>
      </w:r>
      <w:r>
        <w:rPr>
          <w:rFonts w:ascii="Times New Roman" w:cs="Times New Roman" w:eastAsia="Times New Roman" w:hAnsi="Times New Roman"/>
          <w:sz w:val="20"/>
          <w:szCs w:val="20"/>
          <w:color w:val="231F20"/>
        </w:rPr>
        <w:t>arises in response to treatment resulting in a newly acquired or enriched oncogenic driver.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Genomic changes in the therapeutic target, such as DNA mutation or amplification, can be evolutionarily selected to propel proliferation in heterogeneous tumors or may be acquired through the course of the disease. Specific changes in the target itself often result in loss of potency of the initial therapeutic. An example of acquired resistance is seen in chronic myeloid leukemia (CML) treated with the first-generation BCR-ABL inhibitor Gleevec, with resistance frequently driven by mutations in BCR-ABL that lead to loss of Gleevec binding activity. The second-generation BCR-ABL inhibitor Sprycel was developed to specifically address acquired resistance to Gleevec, with our co-founder, Dr. Sawyers, playing a critical role in the development of both therapeutics.</w:t>
      </w:r>
    </w:p>
    <w:p>
      <w:pPr>
        <w:spacing w:after="0" w:line="113" w:lineRule="exact"/>
        <w:rPr>
          <w:rFonts w:ascii="Arial" w:cs="Arial" w:eastAsia="Arial" w:hAnsi="Arial"/>
          <w:sz w:val="20"/>
          <w:szCs w:val="20"/>
          <w:color w:val="231F20"/>
        </w:rPr>
      </w:pPr>
    </w:p>
    <w:p>
      <w:pPr>
        <w:jc w:val="both"/>
        <w:ind w:left="1220" w:right="180" w:hanging="500"/>
        <w:spacing w:after="0" w:line="304" w:lineRule="auto"/>
        <w:tabs>
          <w:tab w:leader="none" w:pos="1220" w:val="left"/>
        </w:tabs>
        <w:numPr>
          <w:ilvl w:val="0"/>
          <w:numId w:val="10"/>
        </w:numPr>
        <w:rPr>
          <w:rFonts w:ascii="Arial" w:cs="Arial" w:eastAsia="Arial" w:hAnsi="Arial"/>
          <w:sz w:val="19"/>
          <w:szCs w:val="19"/>
          <w:color w:val="231F20"/>
        </w:rPr>
      </w:pPr>
      <w:r>
        <w:rPr>
          <w:rFonts w:ascii="Times New Roman" w:cs="Times New Roman" w:eastAsia="Times New Roman" w:hAnsi="Times New Roman"/>
          <w:sz w:val="19"/>
          <w:szCs w:val="19"/>
          <w:b w:val="1"/>
          <w:bCs w:val="1"/>
          <w:i w:val="1"/>
          <w:iCs w:val="1"/>
          <w:color w:val="231F20"/>
        </w:rPr>
        <w:t xml:space="preserve">Bypass resistance </w:t>
      </w:r>
      <w:r>
        <w:rPr>
          <w:rFonts w:ascii="Times New Roman" w:cs="Times New Roman" w:eastAsia="Times New Roman" w:hAnsi="Times New Roman"/>
          <w:sz w:val="19"/>
          <w:szCs w:val="19"/>
          <w:color w:val="231F20"/>
        </w:rPr>
        <w:t>occurs when a therapeutically targeted cancer pathway is reactivated in cells to compensate for the</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presence of a therapeutic. Targeted therapies that induce reactivation of the same pathway indicate a key dependence</w:t>
      </w:r>
    </w:p>
    <w:p>
      <w:pPr>
        <w:sectPr>
          <w:pgSz w:w="11880" w:h="15480" w:orient="portrait"/>
          <w:cols w:equalWidth="0" w:num="1">
            <w:col w:w="10780"/>
          </w:cols>
          <w:pgMar w:left="540" w:top="750" w:right="560" w:bottom="0" w:gutter="0" w:footer="0" w:header="0"/>
        </w:sect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10780"/>
          </w:cols>
          <w:pgMar w:left="540" w:top="750" w:right="560" w:bottom="0" w:gutter="0" w:footer="0" w:header="0"/>
          <w:type w:val="continuous"/>
        </w:sectPr>
      </w:pPr>
    </w:p>
    <w:bookmarkStart w:id="12" w:name="page13"/>
    <w:bookmarkEnd w:id="12"/>
    <w:p>
      <w:pPr>
        <w:ind w:left="1220" w:right="20"/>
        <w:spacing w:after="0" w:line="245" w:lineRule="auto"/>
        <w:rPr>
          <w:sz w:val="20"/>
          <w:szCs w:val="20"/>
          <w:color w:val="auto"/>
        </w:rPr>
      </w:pPr>
      <w:r>
        <w:rPr>
          <w:rFonts w:ascii="Times New Roman" w:cs="Times New Roman" w:eastAsia="Times New Roman" w:hAnsi="Times New Roman"/>
          <w:sz w:val="20"/>
          <w:szCs w:val="20"/>
          <w:color w:val="231F20"/>
        </w:rPr>
        <w:t>on that specific pathway for tumor growth and survival. This key dependency concept is illustrated in the context of BRAF mutant melanoma. Mutations in the BRAF kinase allow for unrestricted signaling of the protein that is required for tumor growth and survival. Discovery of small molecule BRAF inhibitors led to significant reduction of tumor growth and improvement of melanoma patient survival, as the innate resistance was addressed. However, following the initial profound responses observed in patients, patients began relapsing. Mechanistic exploration into the basis of patient progression revealed that some tumors were evolving to reactivate the same pathway further downstream, as the tumors compensated for the BRAF therapeutic. The development of Cotellic to target MEK further downstream in this pathway overcame the bypass mechanism and significantly improved patient outcomes.</w:t>
      </w:r>
    </w:p>
    <w:p>
      <w:pPr>
        <w:spacing w:after="0" w:line="232"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231F20"/>
        </w:rPr>
        <w:t>Collectively, our team has spent decades identifying and characterizing resistance mechanisms and has a strong heritage of bringing forth new and improved therapies designed to exploit resistance biology from the research lab to the clinic and, ultimately, to patients in need.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areas of focus within cancer resistance</w:t>
      </w:r>
    </w:p>
    <w:p>
      <w:pPr>
        <w:spacing w:after="0" w:line="120"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Our vision for patients with cancer is that therapeutics specifically addressing resistance will provide durable treatment responses, such that solid tumors can become a chronic disease with patient survival measured in years rather than months. Within the broader resistance landscape, we have specialized expertise in hormone-dependent cancers, precision oncology and key tumor dependencies, areas in which we have focused our product and business development efforts.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Hormone-dependent cancers</w:t>
      </w:r>
    </w:p>
    <w:p>
      <w:pPr>
        <w:spacing w:after="0" w:line="120"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231F20"/>
        </w:rPr>
        <w:t>Two of our founders, Drs. Sawyers and Heyman, are leading experts in hormone-dependent cancers. They previously co-founded two oncology companies, Aragon and Seragon, that developed therapeutics targeting two nuclear hormone receptors, AR and ER, respectively. Following the acquisitions of Aragon, whose lead product, Erleada, was ultimately approved for prostate cancer, and Seragon, whose lead product candidates were being developed for breast cancer, Drs. Sawyers and Heyman founded ORIC.</w:t>
      </w:r>
    </w:p>
    <w:p>
      <w:pPr>
        <w:spacing w:after="0" w:line="194"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231F20"/>
        </w:rPr>
        <w:t>Given the breadth of resistance in hormone driven cancers, we believe our differentiated insight into this biology is a crucial component of our future success. Our programs include the product candidate rinzimetostat being developed for advanced prostate cancer.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Precision oncology (biomarker-driven, patient-selected trials)</w:t>
      </w:r>
    </w:p>
    <w:p>
      <w:pPr>
        <w:spacing w:after="0" w:line="120"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231F20"/>
        </w:rPr>
        <w:t>Our clinical development team—including our Chief Medical Officer, head of clinical development and heads of core functions—previously worked together with our Chief Executive Officer at Ignyta, an oncology company that developed a pipeline of precision therapies, including Rozlytrek, which is now approved by the FDA in two different indications for genetically defined tumors, ROS1-positive metastatic NSCLC and NTRK-positive solid tumors. The clinical development of Rozlytrek, which was largely driven by this team, relied upon biomarker-driven patient selection via a companion diagnostic, leading to the approval of the compound approximately five years after it first entered the clinic.</w:t>
      </w:r>
    </w:p>
    <w:p>
      <w:pPr>
        <w:spacing w:after="0" w:line="200"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231F20"/>
        </w:rPr>
        <w:t>The Rozlytrek and Ignyta experience can be seen as a paradigm for precision oncology, in which the identification of biomarkers forms the basis of the entire drug research and development process, from early understandings of PK and PD modulation of target biology through to appropriate patient selection during clinical development. As part of our strategy, our in-house team of experienced translational scientists and computational biologists utilize existing technologies as well as develop proprietary assays to enable the selection and assessment of biomarkers for each of our programs. We seek to design rigorous and cost-efficient clinical programs that increase the probability of success by exploring connections between cellular-level biology and patient-level clinical outcomes. The use of biomarker-based patient selection is designed to enable demonstration of clinical proof-of-concept earlier and with fewer patients, leading ultimately to smaller pivotal trials.</w:t>
      </w:r>
    </w:p>
    <w:p>
      <w:pPr>
        <w:spacing w:after="0" w:line="202"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Our emphasis on a precision oncology approach to the mechanisms that underlie cancer resistance enables us to develop biological methods and assays that can be employed in the selection of appropriate patients for our development candidates rather than relying solely on limited clinical diagnosis information. For example, like many cancers, prostate cancer is a heterogeneous disease with different pathways contributing to potential resistance mechanisms to anti-androgen therapy that may vary from patient to patient or evolve over the course of a patient’s treatment history. We intend to apply a precision oncology approach to the advancement of our entire pipeline.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10800"/>
          </w:cols>
          <w:pgMar w:left="540" w:top="750" w:right="5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231F20"/>
        </w:rPr>
        <w:t>Key tumor dependencies</w:t>
      </w:r>
    </w:p>
    <w:p>
      <w:pPr>
        <w:spacing w:after="0" w:line="12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Our scientific team—led by our Chief Scientific Officer, head of biology and head of translational medicine—has amassed deep knowledge of key oncogenic drivers and pathways in order to identify and validate oncology targets. They most recently worked together at Genentech, where they progressed more than 20 oncology discovery programs into clinical development, with four approvals to date, including Cotellic, Zelboraf, Polivy and Itovebi. The team’s approach to uncovering tumor dependencies that are key drivers of cancer resistance is biology-focused and mechanistically driven.</w:t>
      </w:r>
    </w:p>
    <w:p>
      <w:pPr>
        <w:spacing w:after="0" w:line="19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Tumors are dependent on distinct biological drivers, or key tumor dependencies, which can be exploited to develop therapeutics. Examples of key tumor dependencies include oncogenic drivers, metabolic dependencies and lineage-specific markers. The earliest known tumor dependency occurs after normal cells acquire mutations that initiate tumor development. These early lesions continuously evolve within a given tissue in the presence of other cell types, such as endothelial and immune cells, ultimately generating a heterogeneous tumor ecosystem. The interplay between tumor cells and other heterologous cell types within a tissue impart physiological restrictions, such as limited oxygen or increased acidity, that tumor cells are forced to withstand to enable growth. This concept of evolution under selective pressure also applies in the context of an advanced tumor being subjected to therapeutic interventions—the relapsing tumors are forced to adapt in order to grow in the presence of treatment. Through these evolutionary processes, tumor cells can become exclusively dependent on distinct pathways, and these are the key dependencies that can be exploited for therapeutic gain.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PRC2 inhibitor program: Rinzimetostat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Background</w:t>
      </w:r>
    </w:p>
    <w:p>
      <w:pPr>
        <w:spacing w:after="0" w:line="12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PRC2 is a histone methyltransferase complex consisting of three core subunits: EED, EZH2 or EZH1, and SUZ12 and plays a key role in gene regulation and transcriptional repression, in particular during embryonic development. The dysregulation of PRC2 can lead to tumorigenesis in a wide range of cancers including prostate cancer, breast cancer, and hematological malignancies. EED is responsible for histone binding and activation of PRC2. Allosteric inhibition of EED impacts the assembly, stabilization, and activation of PRC2.</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Rationale for targeting allosteric inhibition of PRC2 through EED</w:t>
      </w:r>
    </w:p>
    <w:p>
      <w:pPr>
        <w:spacing w:after="0" w:line="120"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PRC2 has two druggable subunits, EZH2, whose enzymatic function is the target of first-generation therapeutics, and EED, which next-generation therapeutics like rinzimetostat inhibit. Several companies are developing EZH2 inhibitors; however, the pharmacologic properties of these compounds result in high doses given more than once a day, that achieve only partial target inhibition in the clinic. Allosteric inhibition of PRC2 through EED is differentiated from targeting EZH2 and may be beneficial for a number of reasons. First, preclinical studies show that EED inhibition is active against mutants in EZH2 that confer innate resistance to EZH2 inhibitors. Second, in a similar fashion, acquired mutations in EZH2 are sensitive to EED inhibition. Third, cells treated with EZH2 inhibitors are also able to activate EHZ1 in a compensatory bypass mechanism of resistance, yet those cells are sensitive to EED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64770</wp:posOffset>
            </wp:positionV>
            <wp:extent cx="6477000" cy="2476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extLst>
                    </a:blip>
                    <a:srcRect/>
                    <a:stretch>
                      <a:fillRect/>
                    </a:stretch>
                  </pic:blipFill>
                  <pic:spPr bwMode="auto">
                    <a:xfrm>
                      <a:off x="0" y="0"/>
                      <a:ext cx="6477000"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Note: EZH2, enhancer of zeste homolog 2. EED, embryonic ectoderm development. H3K27, histone H3 at lysine 27.</w:t>
      </w:r>
    </w:p>
    <w:p>
      <w:pPr>
        <w:spacing w:after="0" w:line="20" w:lineRule="exact"/>
        <w:rPr>
          <w:sz w:val="20"/>
          <w:szCs w:val="20"/>
          <w:color w:val="auto"/>
        </w:rPr>
      </w:pPr>
    </w:p>
    <w:p>
      <w:pPr>
        <w:ind w:left="480" w:hanging="192"/>
        <w:spacing w:after="0"/>
        <w:tabs>
          <w:tab w:leader="none" w:pos="480" w:val="left"/>
        </w:tabs>
        <w:numPr>
          <w:ilvl w:val="0"/>
          <w:numId w:val="1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Schade et al. Nature (2024), Loi et al. Cancer Discovery (2024), Daemen et al. AACR (2024 and 2025), and Friedman AACR Presentation (2024).</w:t>
      </w:r>
    </w:p>
    <w:p>
      <w:pPr>
        <w:ind w:left="480" w:hanging="192"/>
        <w:spacing w:after="0"/>
        <w:tabs>
          <w:tab w:leader="none" w:pos="480" w:val="left"/>
        </w:tabs>
        <w:numPr>
          <w:ilvl w:val="0"/>
          <w:numId w:val="1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Yu et al Cancer Res. (2007).</w:t>
      </w:r>
    </w:p>
    <w:p>
      <w:pPr>
        <w:ind w:left="480" w:hanging="192"/>
        <w:spacing w:after="0"/>
        <w:tabs>
          <w:tab w:leader="none" w:pos="480" w:val="left"/>
        </w:tabs>
        <w:numPr>
          <w:ilvl w:val="0"/>
          <w:numId w:val="1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Schweizer et al. ASCO GU (2025).</w:t>
      </w:r>
    </w:p>
    <w:p>
      <w:pPr>
        <w:sectPr>
          <w:pgSz w:w="11880" w:h="15480" w:orient="portrait"/>
          <w:cols w:equalWidth="0" w:num="1">
            <w:col w:w="10760"/>
          </w:cols>
          <w:pgMar w:left="540" w:top="750" w:right="580" w:bottom="0" w:gutter="0" w:footer="0" w:header="0"/>
        </w:sect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10760"/>
          </w:cols>
          <w:pgMar w:left="540" w:top="750" w:right="58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231F20"/>
        </w:rPr>
        <w:t>Preclinical Data</w:t>
      </w:r>
    </w:p>
    <w:p>
      <w:pPr>
        <w:spacing w:after="0" w:line="12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Rinzimetostat is a potent and selective allosteric inhibitor of PRC2 with a mechanism of action via binding the EED subunit that was designed to have superior drug properties compared to EZH2 inhibitors. Rinzimetostat when dosed orally once a day as a single-agent significantly inhibited prostate tumor growth in androgen-insensitive and enzalutamide -resistant prostate cancer models as seen in the figures below. While cross-study comparisons of preclinical data have limitations and caveats, the rinzimetostat efficacy appears to be superior to EZH2 inhibitors in the same models</w:t>
      </w:r>
      <w:r>
        <w:rPr>
          <w:rFonts w:ascii="Times New Roman" w:cs="Times New Roman" w:eastAsia="Times New Roman" w:hAnsi="Times New Roman"/>
          <w:sz w:val="20"/>
          <w:szCs w:val="20"/>
          <w:i w:val="1"/>
          <w:iCs w:val="1"/>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6858000" cy="2562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extLst>
                    </a:blip>
                    <a:srcRect/>
                    <a:stretch>
                      <a:fillRect/>
                    </a:stretch>
                  </pic:blipFill>
                  <pic:spPr bwMode="auto">
                    <a:xfrm>
                      <a:off x="0" y="0"/>
                      <a:ext cx="6858000" cy="256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80" w:right="300"/>
        <w:spacing w:after="0" w:line="278" w:lineRule="auto"/>
        <w:rPr>
          <w:sz w:val="20"/>
          <w:szCs w:val="20"/>
          <w:color w:val="auto"/>
        </w:rPr>
      </w:pPr>
      <w:r>
        <w:rPr>
          <w:rFonts w:ascii="Times New Roman" w:cs="Times New Roman" w:eastAsia="Times New Roman" w:hAnsi="Times New Roman"/>
          <w:sz w:val="14"/>
          <w:szCs w:val="14"/>
          <w:color w:val="231F20"/>
        </w:rPr>
        <w:t>Note: Rinzimetostat dose used was 200 mg/kg QD. Enzalutamide dose used was 30 mg/kg QD. ****p &lt; 0.0001. Left graph: C4-2 xenograft model. Right graph: 22Rv1 xenograft model.</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Additional preclinical studies with rinzimetostat as a monotherapy and in combination regimens are being explored.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Initial Phase 1 dose escalation data of rinzimetostat</w:t>
      </w:r>
    </w:p>
    <w:p>
      <w:pPr>
        <w:spacing w:after="0" w:line="92" w:lineRule="exact"/>
        <w:rPr>
          <w:sz w:val="20"/>
          <w:szCs w:val="20"/>
          <w:color w:val="auto"/>
        </w:rPr>
      </w:pPr>
    </w:p>
    <w:p>
      <w:pPr>
        <w:jc w:val="both"/>
        <w:ind w:right="120" w:firstLine="720"/>
        <w:spacing w:after="0" w:line="233" w:lineRule="auto"/>
        <w:rPr>
          <w:sz w:val="20"/>
          <w:szCs w:val="20"/>
          <w:color w:val="auto"/>
        </w:rPr>
      </w:pPr>
      <w:r>
        <w:rPr>
          <w:rFonts w:ascii="Times New Roman" w:cs="Times New Roman" w:eastAsia="Times New Roman" w:hAnsi="Times New Roman"/>
          <w:sz w:val="20"/>
          <w:szCs w:val="20"/>
          <w:color w:val="231F20"/>
        </w:rPr>
        <w:t>We filed and cleared an IND with the FDA for rinzimetostat in the fourth quarter of 2021. We completed a Phase 1b trial of rinzimetostat as a single-agent, in patients with advanced prostate cancer and reported initial Phase 1b data from this trial in January 2024.</w:t>
      </w:r>
    </w:p>
    <w:p>
      <w:pPr>
        <w:spacing w:after="0" w:line="80" w:lineRule="exact"/>
        <w:rPr>
          <w:sz w:val="20"/>
          <w:szCs w:val="20"/>
          <w:color w:val="auto"/>
        </w:rPr>
      </w:pPr>
    </w:p>
    <w:p>
      <w:pPr>
        <w:ind w:right="60" w:firstLine="720"/>
        <w:spacing w:after="0" w:line="277" w:lineRule="auto"/>
        <w:rPr>
          <w:sz w:val="20"/>
          <w:szCs w:val="20"/>
          <w:color w:val="auto"/>
        </w:rPr>
      </w:pPr>
      <w:r>
        <w:rPr>
          <w:rFonts w:ascii="Times New Roman" w:cs="Times New Roman" w:eastAsia="Times New Roman" w:hAnsi="Times New Roman"/>
          <w:sz w:val="20"/>
          <w:szCs w:val="20"/>
          <w:color w:val="231F20"/>
        </w:rPr>
        <w:t>As of December 10, 2023, these data demonstrated potential best-in-class drug properties, including an approximate 20-hour clinical half-life and no signs of cytochrome P450 autoinduction that is seen with first-generation PRC2 inhibitors.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Preliminary Phase 1b Pharmacokinetics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6858000" cy="2743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extLst>
                    </a:blip>
                    <a:srcRect/>
                    <a:stretch>
                      <a:fillRect/>
                    </a:stretch>
                  </pic:blipFill>
                  <pic:spPr bwMode="auto">
                    <a:xfrm>
                      <a:off x="0" y="0"/>
                      <a:ext cx="6858000" cy="2743200"/>
                    </a:xfrm>
                    <a:prstGeom prst="rect">
                      <a:avLst/>
                    </a:prstGeom>
                    <a:noFill/>
                  </pic:spPr>
                </pic:pic>
              </a:graphicData>
            </a:graphic>
          </wp:anchor>
        </w:drawing>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10760"/>
          </w:cols>
          <w:pgMar w:left="540" w:top="750" w:right="580" w:bottom="0" w:gutter="0" w:footer="0" w:header="0"/>
          <w:type w:val="continuous"/>
        </w:sectPr>
      </w:pPr>
    </w:p>
    <w:bookmarkStart w:id="15" w:name="page16"/>
    <w:bookmarkEnd w:id="15"/>
    <w:p>
      <w:pPr>
        <w:ind w:right="460" w:firstLine="720"/>
        <w:spacing w:after="0" w:line="277" w:lineRule="auto"/>
        <w:rPr>
          <w:sz w:val="20"/>
          <w:szCs w:val="20"/>
          <w:color w:val="auto"/>
        </w:rPr>
      </w:pPr>
      <w:r>
        <w:rPr>
          <w:rFonts w:ascii="Times New Roman" w:cs="Times New Roman" w:eastAsia="Times New Roman" w:hAnsi="Times New Roman"/>
          <w:sz w:val="20"/>
          <w:szCs w:val="20"/>
          <w:color w:val="231F20"/>
        </w:rPr>
        <w:t>There was robust target engagement, with maximal decrease (≥75%) in H3K27me3 in monocytes from peripheral blood samples at doses as low as 200 mg QD with low inter-patient variability.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Preliminary Phase 1b Pharmacodynamic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42545</wp:posOffset>
            </wp:positionV>
            <wp:extent cx="6819900" cy="256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extLst>
                    </a:blip>
                    <a:srcRect/>
                    <a:stretch>
                      <a:fillRect/>
                    </a:stretch>
                  </pic:blipFill>
                  <pic:spPr bwMode="auto">
                    <a:xfrm>
                      <a:off x="0" y="0"/>
                      <a:ext cx="6819900" cy="256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firstLine="720"/>
        <w:spacing w:after="0" w:line="277" w:lineRule="auto"/>
        <w:rPr>
          <w:sz w:val="20"/>
          <w:szCs w:val="20"/>
          <w:color w:val="auto"/>
        </w:rPr>
      </w:pPr>
      <w:r>
        <w:rPr>
          <w:rFonts w:ascii="Times New Roman" w:cs="Times New Roman" w:eastAsia="Times New Roman" w:hAnsi="Times New Roman"/>
          <w:sz w:val="20"/>
          <w:szCs w:val="20"/>
          <w:color w:val="231F20"/>
        </w:rPr>
        <w:t>Rinzimetostat was well tolerated up to 900 mg QD, with only Grade 1 and Grade 2 TRAEs at dose levels corresponding with strong target engagement. The most common TRAEs observed are summarized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Treatment related adverse events occurring in ≥ 10%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6858000" cy="267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extLst>
                    </a:blip>
                    <a:srcRect/>
                    <a:stretch>
                      <a:fillRect/>
                    </a:stretch>
                  </pic:blipFill>
                  <pic:spPr bwMode="auto">
                    <a:xfrm>
                      <a:off x="0" y="0"/>
                      <a:ext cx="6858000" cy="267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Note: All data as of the data cutoff on December 10, 2024. No Grade 4 or Grade 5 events reported.</w:t>
      </w:r>
    </w:p>
    <w:p>
      <w:pPr>
        <w:spacing w:after="0" w:line="235" w:lineRule="exact"/>
        <w:rPr>
          <w:sz w:val="20"/>
          <w:szCs w:val="20"/>
          <w:color w:val="auto"/>
        </w:rPr>
      </w:pPr>
    </w:p>
    <w:p>
      <w:pPr>
        <w:ind w:right="720" w:firstLine="720"/>
        <w:spacing w:after="0" w:line="277" w:lineRule="auto"/>
        <w:rPr>
          <w:sz w:val="20"/>
          <w:szCs w:val="20"/>
          <w:color w:val="auto"/>
        </w:rPr>
      </w:pPr>
      <w:r>
        <w:rPr>
          <w:rFonts w:ascii="Times New Roman" w:cs="Times New Roman" w:eastAsia="Times New Roman" w:hAnsi="Times New Roman"/>
          <w:sz w:val="20"/>
          <w:szCs w:val="20"/>
          <w:color w:val="231F20"/>
        </w:rPr>
        <w:t>Based on rinzimetostat's emerging profile with superior drug properties, we advanced rinzimetostat into combination development in prostate cancer with AR inhibitor(s).</w:t>
      </w:r>
    </w:p>
    <w:p>
      <w:pPr>
        <w:spacing w:after="0" w:line="169"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231F20"/>
        </w:rPr>
        <w:t>In mid-2024, we initiated dosing of rinzimetostat in combination with 240 mg QD apalutamide as well as in combination with 600 mg BID darolutamide, as part of the ongoing Phase 1b trial in patients with mCRPC. We also announced that we entered into clinical trial collaboration and supply agreements with Johnson &amp; Johnson and Bayer, to evaluate rinzimetostat in combination with Erleada</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(apalutamide), Johnson &amp; Johnson’s AR inhibitor, and Nubeqa</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(darolutamide), Bayer’s AR inhibitor.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Completion of dose exploration and preliminary efficacy and safety data</w:t>
      </w:r>
    </w:p>
    <w:p>
      <w:pPr>
        <w:spacing w:after="0" w:line="1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In November 2025, we announced the completion of the dose exploration portion of the Phase 1b trial and the selection of</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800"/>
          </w:cols>
          <w:pgMar w:left="540" w:top="750" w:right="540" w:bottom="0" w:gutter="0" w:footer="0" w:header="0"/>
          <w:type w:val="continuous"/>
        </w:sectPr>
      </w:pPr>
    </w:p>
    <w:bookmarkStart w:id="16" w:name="page17"/>
    <w:bookmarkEnd w:id="16"/>
    <w:p>
      <w:pPr>
        <w:jc w:val="both"/>
        <w:ind w:right="60"/>
        <w:spacing w:after="0" w:line="258" w:lineRule="auto"/>
        <w:rPr>
          <w:sz w:val="20"/>
          <w:szCs w:val="20"/>
          <w:color w:val="auto"/>
        </w:rPr>
      </w:pPr>
      <w:r>
        <w:rPr>
          <w:rFonts w:ascii="Times New Roman" w:cs="Times New Roman" w:eastAsia="Times New Roman" w:hAnsi="Times New Roman"/>
          <w:sz w:val="20"/>
          <w:szCs w:val="20"/>
          <w:color w:val="231F20"/>
        </w:rPr>
        <w:t>provisional RP2Ds of rinzimetostat to be tested in combination with the approved doses of darolutamide and apalutamide in the dose optimization portion of the Phase 1b trial: 400 mg and 600 mg once daily of rinzimetostat in combination with 600 mg twice daily of darolutamide; and 600 mg, 800 mg and 1,200 mg once daily of rinzimetostat in combination with 240 mg once daily of apalutamide.</w:t>
      </w:r>
    </w:p>
    <w:p>
      <w:pPr>
        <w:spacing w:after="0" w:line="68" w:lineRule="exact"/>
        <w:rPr>
          <w:sz w:val="20"/>
          <w:szCs w:val="20"/>
          <w:color w:val="auto"/>
        </w:rPr>
      </w:pPr>
    </w:p>
    <w:p>
      <w:pPr>
        <w:ind w:right="940" w:firstLine="720"/>
        <w:spacing w:after="0" w:line="277" w:lineRule="auto"/>
        <w:rPr>
          <w:sz w:val="20"/>
          <w:szCs w:val="20"/>
          <w:color w:val="auto"/>
        </w:rPr>
      </w:pPr>
      <w:r>
        <w:rPr>
          <w:rFonts w:ascii="Times New Roman" w:cs="Times New Roman" w:eastAsia="Times New Roman" w:hAnsi="Times New Roman"/>
          <w:sz w:val="20"/>
          <w:szCs w:val="20"/>
          <w:color w:val="231F20"/>
        </w:rPr>
        <w:t>We also reported preliminary efficacy and safety data from the Phase 1b dose exploration trial of rinzimetostat in combination with AR inhibitors in 20 patients with mCRPC.</w:t>
      </w:r>
    </w:p>
    <w:p>
      <w:pPr>
        <w:spacing w:after="0" w:line="49"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As of the September 22, 2025 cutoff date, rinzimetostat in combination with apalutamide or with darolutamide continues to be well tolerated, and both combination regimens demonstrated a safety profile compatible with long-term dosing, with the vast majority of TRAEs Grade 1 or 2 in severity and consistent with PRC2 and AR inhibition. As of the September 22, 2025 cutoff date, only one patient experienced a Grade 3 TRAE, and there were no Grade 4 or Grade 5 AEs attributed to rinzimetostat, apalutamide or darolutamide. The most common TRAEs observed are summarized below.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Treatment related adverse events occurring in ≥ 15%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6858000" cy="2314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extLst>
                    </a:blip>
                    <a:srcRect/>
                    <a:stretch>
                      <a:fillRect/>
                    </a:stretch>
                  </pic:blipFill>
                  <pic:spPr bwMode="auto">
                    <a:xfrm>
                      <a:off x="0" y="0"/>
                      <a:ext cx="68580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(1) The occurrence of hypothyroidism is consistent with the known safety profile of apalutamide.</w:t>
      </w:r>
    </w:p>
    <w:p>
      <w:pPr>
        <w:spacing w:after="0" w:line="235"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231F20"/>
        </w:rPr>
        <w:t>As of the September 22, 2025 cutoff date, PSA responses were observed across all rinzimetostat dose levels and were also observed at comparable rates in combination with apalutamide or with darolutamide, with 55% of patients (11/20) achieving a PSA50 response (confirmed in 40%), and 20% of patients (4/20) achieving a PSA90 response (all confirmed).</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PSA Response Data of Rinzimetostat Plus Apalutamide or Darolutamide: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44450</wp:posOffset>
            </wp:positionV>
            <wp:extent cx="5448300" cy="3181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extLst>
                    </a:blip>
                    <a:srcRect/>
                    <a:stretch>
                      <a:fillRect/>
                    </a:stretch>
                  </pic:blipFill>
                  <pic:spPr bwMode="auto">
                    <a:xfrm>
                      <a:off x="0" y="0"/>
                      <a:ext cx="5448300" cy="3181350"/>
                    </a:xfrm>
                    <a:prstGeom prst="rect">
                      <a:avLst/>
                    </a:prstGeom>
                    <a:noFill/>
                  </pic:spPr>
                </pic:pic>
              </a:graphicData>
            </a:graphic>
          </wp:anchor>
        </w:drawing>
      </w:r>
    </w:p>
    <w:p>
      <w:pPr>
        <w:sectPr>
          <w:pgSz w:w="11880" w:h="15480" w:orient="portrait"/>
          <w:cols w:equalWidth="0" w:num="1">
            <w:col w:w="10720"/>
          </w:cols>
          <w:pgMar w:left="540" w:top="75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720"/>
          </w:cols>
          <w:pgMar w:left="540" w:top="750" w:right="620" w:bottom="0" w:gutter="0" w:footer="0" w:header="0"/>
          <w:type w:val="continuous"/>
        </w:sectPr>
      </w:pPr>
    </w:p>
    <w:bookmarkStart w:id="17" w:name="page18"/>
    <w:bookmarkEnd w:id="17"/>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ctDNA was assessed for 17 patients with mCRPC who had available ctDNA samples and evidence of ctDNA at baseline prior to study entry. The ctDNA data reported as of September 22, 2025 demonstrated rapid and deep responses across a breadth of AR mutations and other gene alterations, with 76% (13/17) achieving greater than 50% ctDNA reduction, and 59% (10/17) achieving ctDNA clearance, which is greater than clearance rates observed in precedent trials with standard of care agents in comparable mCRPC patient populations.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Next steps in rinzimetostat development</w:t>
      </w:r>
    </w:p>
    <w:p>
      <w:pPr>
        <w:spacing w:after="0" w:line="114"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We expect to report data from the dose optimization portion of the Phase 1b trial of rinzimetostat in the first quarter of 2026, and we expect to initiate our first global Phase 3 registrational trial for rinzimetostat in mCRPC in the first half of 2026.</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Brain-penetrant EGFR program: Enozertinib</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Background</w:t>
      </w:r>
    </w:p>
    <w:p>
      <w:pPr>
        <w:spacing w:after="0" w:line="120"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231F20"/>
        </w:rPr>
        <w:t>The ErbB receptor tyrosine kinase family is involved in key cellular functions, including cell growth and survival. EGFR exon 20 mutations are observed in approximately 2.1% of all patients with NSCLC and these patients have a worse prognosis than patients with NSCLC driven by other EGFR mutations. EGFR atypical mutations are a heterogeneous group of non-classical mutations, with PACC mutations comprising the largest subset. EGFR PACC mutations are observed in approximately 2.5% of all patients with NSCLC.</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Rationale for brain-penetrant inhibitor of EGFR with high potency towards exon 20 mutations</w:t>
      </w:r>
    </w:p>
    <w:p>
      <w:pPr>
        <w:spacing w:after="0" w:line="120"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231F20"/>
        </w:rPr>
        <w:t>Currently, the medicines approved by the FDA specifically to treat NSCLC with EGFR exon 20 mutations provide limited benefit for patients with active brain metastases. Approximately 30% of patients with EGFR-mutant NSCLC present with de novo CNS disease and approximately 50% will develop brain metastases over the course of their disease, which contributes to poor prognosis. Several companies are developing EGFR exon 20 inhibitors; however, to our knowledge none have demonstrated significant CNS activity in patients suitable for addressing brain metastases, an area of significant unmet medical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1744345</wp:posOffset>
            </wp:positionH>
            <wp:positionV relativeFrom="paragraph">
              <wp:posOffset>62865</wp:posOffset>
            </wp:positionV>
            <wp:extent cx="3362325" cy="2247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extLst>
                    </a:blip>
                    <a:srcRect/>
                    <a:stretch>
                      <a:fillRect/>
                    </a:stretch>
                  </pic:blipFill>
                  <pic:spPr bwMode="auto">
                    <a:xfrm>
                      <a:off x="0" y="0"/>
                      <a:ext cx="3362325" cy="224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(1) Robichaux et al Nat Med (2018). EGFR exon 20 insertion (n=9) and classical EGFR mutation (n=129)</w:t>
      </w:r>
    </w:p>
    <w:p>
      <w:pPr>
        <w:spacing w:after="0" w:line="235" w:lineRule="exact"/>
        <w:rPr>
          <w:sz w:val="20"/>
          <w:szCs w:val="20"/>
          <w:color w:val="auto"/>
        </w:rPr>
      </w:pPr>
    </w:p>
    <w:p>
      <w:pPr>
        <w:ind w:right="400" w:firstLine="720"/>
        <w:spacing w:after="0" w:line="277" w:lineRule="auto"/>
        <w:rPr>
          <w:sz w:val="20"/>
          <w:szCs w:val="20"/>
          <w:color w:val="auto"/>
        </w:rPr>
      </w:pPr>
      <w:r>
        <w:rPr>
          <w:rFonts w:ascii="Times New Roman" w:cs="Times New Roman" w:eastAsia="Times New Roman" w:hAnsi="Times New Roman"/>
          <w:sz w:val="20"/>
          <w:szCs w:val="20"/>
          <w:color w:val="231F20"/>
        </w:rPr>
        <w:t>EGFR exon 20 insertions are associated with lower PFS with first and second generation EGFR TKIs, such as erlotinib, gefitinib and afatinib, compared to other EGFR mutations.</w:t>
      </w:r>
    </w:p>
    <w:p>
      <w:pPr>
        <w:sectPr>
          <w:pgSz w:w="11880" w:h="15480" w:orient="portrait"/>
          <w:cols w:equalWidth="0" w:num="1">
            <w:col w:w="10700"/>
          </w:cols>
          <w:pgMar w:left="540" w:top="750"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700"/>
          </w:cols>
          <w:pgMar w:left="540" w:top="750" w:right="64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231F20"/>
        </w:rPr>
        <w:t>Preclinical data</w:t>
      </w:r>
    </w:p>
    <w:p>
      <w:pPr>
        <w:spacing w:after="0" w:line="120"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19"/>
          <w:szCs w:val="19"/>
          <w:color w:val="231F20"/>
        </w:rPr>
        <w:t>Enozertinib was designed as a brain-penetrant, orally bioavailable, irreversible inhibitor targeting EGFR with nanomolar potency towards exon 20 and EGFR atypical mutations. As shown in the figure below, in a kinase selectivity panel, the ErbB receptor tyrosine kinases were strong hits and there were no off-targets identified for enozertinib, unlike the comparator clinical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47625</wp:posOffset>
            </wp:positionV>
            <wp:extent cx="6343650" cy="3200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extLst>
                    </a:blip>
                    <a:srcRect/>
                    <a:stretch>
                      <a:fillRect/>
                    </a:stretch>
                  </pic:blipFill>
                  <pic:spPr bwMode="auto">
                    <a:xfrm>
                      <a:off x="0" y="0"/>
                      <a:ext cx="6343650" cy="320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firstLine="720"/>
        <w:spacing w:after="0" w:line="278" w:lineRule="auto"/>
        <w:rPr>
          <w:sz w:val="20"/>
          <w:szCs w:val="20"/>
          <w:color w:val="auto"/>
        </w:rPr>
      </w:pPr>
      <w:r>
        <w:rPr>
          <w:rFonts w:ascii="Times New Roman" w:cs="Times New Roman" w:eastAsia="Times New Roman" w:hAnsi="Times New Roman"/>
          <w:sz w:val="19"/>
          <w:szCs w:val="19"/>
          <w:color w:val="231F20"/>
        </w:rPr>
        <w:t>Kinome selectivity screens were conducted on a 468 kinase panel with 1 uM of either enozertinib, zipalertinib, firmonertinib or silevertinib in a head-to-head assessment. The number of off-target kinase hits with inhibition of 80-100% are shown in the table. Notably, enozertinib did not hit any of the 3F family of kinases with the potential for covalent Cysteine interaction in the active site.</w:t>
      </w:r>
    </w:p>
    <w:p>
      <w:pPr>
        <w:spacing w:after="0" w:line="171" w:lineRule="exact"/>
        <w:rPr>
          <w:sz w:val="20"/>
          <w:szCs w:val="20"/>
          <w:color w:val="auto"/>
        </w:rPr>
      </w:pPr>
    </w:p>
    <w:p>
      <w:pPr>
        <w:jc w:val="both"/>
        <w:ind w:right="200" w:firstLine="720"/>
        <w:spacing w:after="0" w:line="258" w:lineRule="auto"/>
        <w:rPr>
          <w:sz w:val="20"/>
          <w:szCs w:val="20"/>
          <w:color w:val="auto"/>
        </w:rPr>
      </w:pPr>
      <w:r>
        <w:rPr>
          <w:rFonts w:ascii="Times New Roman" w:cs="Times New Roman" w:eastAsia="Times New Roman" w:hAnsi="Times New Roman"/>
          <w:sz w:val="20"/>
          <w:szCs w:val="20"/>
          <w:color w:val="231F20"/>
        </w:rPr>
        <w:t>Enozertinib demonstrated potent anti-tumor activity in various NSCLC EGFR exon 20 mutation models. In the examples below, in models carrying the variants NPH, ASV and insG, enozertinib demonstrated potent anti-tumor activity when dosed orally once daily at 4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858000" cy="2562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extLst>
                    </a:blip>
                    <a:srcRect/>
                    <a:stretch>
                      <a:fillRect/>
                    </a:stretch>
                  </pic:blipFill>
                  <pic:spPr bwMode="auto">
                    <a:xfrm>
                      <a:off x="0" y="0"/>
                      <a:ext cx="6858000" cy="256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 w:firstLine="720"/>
        <w:spacing w:after="0" w:line="277" w:lineRule="auto"/>
        <w:rPr>
          <w:sz w:val="20"/>
          <w:szCs w:val="20"/>
          <w:color w:val="auto"/>
        </w:rPr>
      </w:pPr>
      <w:r>
        <w:rPr>
          <w:rFonts w:ascii="Times New Roman" w:cs="Times New Roman" w:eastAsia="Times New Roman" w:hAnsi="Times New Roman"/>
          <w:sz w:val="20"/>
          <w:szCs w:val="20"/>
          <w:color w:val="231F20"/>
        </w:rPr>
        <w:t>Enozertinib was designed for brain penetrance and demonstrated potent anti-tumor activity in an intracranial NSCLC EGFR exon 19 deletion mutation in vivo model, when dosed orally at 2.5 mg/kg QD, superior to TAK-788 which was dosed orally at 30</w:t>
      </w:r>
    </w:p>
    <w:p>
      <w:pPr>
        <w:sectPr>
          <w:pgSz w:w="11880" w:h="15480" w:orient="portrait"/>
          <w:cols w:equalWidth="0" w:num="1">
            <w:col w:w="10720"/>
          </w:cols>
          <w:pgMar w:left="540" w:top="75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720"/>
          </w:cols>
          <w:pgMar w:left="540" w:top="750" w:right="620" w:bottom="0" w:gutter="0" w:footer="0" w:header="0"/>
          <w:type w:val="continuous"/>
        </w:sectPr>
      </w:pPr>
    </w:p>
    <w:bookmarkStart w:id="19" w:name="page20"/>
    <w:bookmarkEnd w:id="19"/>
    <w:p>
      <w:pPr>
        <w:ind w:right="300"/>
        <w:spacing w:after="0" w:line="277" w:lineRule="auto"/>
        <w:rPr>
          <w:sz w:val="20"/>
          <w:szCs w:val="20"/>
          <w:color w:val="auto"/>
        </w:rPr>
      </w:pPr>
      <w:r>
        <w:rPr>
          <w:rFonts w:ascii="Times New Roman" w:cs="Times New Roman" w:eastAsia="Times New Roman" w:hAnsi="Times New Roman"/>
          <w:sz w:val="20"/>
          <w:szCs w:val="20"/>
          <w:color w:val="231F20"/>
        </w:rPr>
        <w:t>mg/kg QD and osimertinib at 10 mg/kg QD. Efficacy was measured by quantification of the bioluminescence photon flux in mice carrying intracranial PC9-Luc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1281430</wp:posOffset>
            </wp:positionH>
            <wp:positionV relativeFrom="paragraph">
              <wp:posOffset>50165</wp:posOffset>
            </wp:positionV>
            <wp:extent cx="4572000" cy="2667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extLst>
                    </a:blip>
                    <a:srcRect/>
                    <a:stretch>
                      <a:fillRect/>
                    </a:stretch>
                  </pic:blipFill>
                  <pic:spPr bwMode="auto">
                    <a:xfrm>
                      <a:off x="0" y="0"/>
                      <a:ext cx="457200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A key feature of enozertinib differentiation is that it was designed to optimize brain exposure across multiple parameters, including pump engagement, physicochemical properties, and free unbound fraction in the brain. Together, these compound characteristics translate in vivo into a high brain to plasma ratio in mice of nearly 1, as shown in the graph below, which depicts the free unbound fraction. Importantly, enozertinib's high brain to plasma ratio was maintained at both 1 and 4 hours. In comparison with other clinical compounds, enozertinib's free brain to plasma ratios are on par with osimertinib, which is deemed a CNS clinically active compound. In contrast, the free brain to plasma ratio of enozertinib is superior to other exon 20 directed agents such as TAK-788 and CLN-081. In summary, the limitations of current therapies to address brain metastases in the exon 20 mutant population present an opportunity for enozertinib.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67310</wp:posOffset>
            </wp:positionV>
            <wp:extent cx="3829050" cy="2886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extLst>
                    </a:blip>
                    <a:srcRect/>
                    <a:stretch>
                      <a:fillRect/>
                    </a:stretch>
                  </pic:blipFill>
                  <pic:spPr bwMode="auto">
                    <a:xfrm>
                      <a:off x="0" y="0"/>
                      <a:ext cx="3829050" cy="288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In October 2023 we also presented a poster highlighting preclinical activity of enozertinib against atypical mutations in EGFR at the ESMO Congress. We assessed a variety of atypical driver mutations in EGFR and found that enozertinib showed strong cellular potency against both classes of atypical mutations – primary and acquired resistance mutations and a superior profile compared to competitors. On the right side of the figure below, enozertinib produced strong in vivo efficacy in a model bearing the EGFR G719S mutation, which is the most commonly mutated site amongst atypical mutations of EGFR.</w:t>
      </w:r>
    </w:p>
    <w:p>
      <w:pPr>
        <w:sectPr>
          <w:pgSz w:w="11880" w:h="15480" w:orient="portrait"/>
          <w:cols w:equalWidth="0" w:num="1">
            <w:col w:w="10680"/>
          </w:cols>
          <w:pgMar w:left="540" w:top="750"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680"/>
          </w:cols>
          <w:pgMar w:left="540" w:top="750" w:right="660" w:bottom="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342900</wp:posOffset>
            </wp:positionH>
            <wp:positionV relativeFrom="page">
              <wp:posOffset>488950</wp:posOffset>
            </wp:positionV>
            <wp:extent cx="6858000" cy="2638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2638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720"/>
        <w:spacing w:after="0" w:line="231" w:lineRule="auto"/>
        <w:rPr>
          <w:sz w:val="20"/>
          <w:szCs w:val="20"/>
          <w:color w:val="auto"/>
        </w:rPr>
      </w:pPr>
      <w:r>
        <w:rPr>
          <w:rFonts w:ascii="Times New Roman" w:cs="Times New Roman" w:eastAsia="Times New Roman" w:hAnsi="Times New Roman"/>
          <w:sz w:val="20"/>
          <w:szCs w:val="20"/>
          <w:color w:val="231F20"/>
        </w:rPr>
        <w:t>In the fourth quarter of 2021, we filed a CTA in South Korea for enozertinib, which was cleared in the first quarter of 2022. We also filed and cleared an IND with the FDA for enozertinib in the third quarter of 2022. Enozertinib is being evaluated in Phase 1b trials in EGFR exon 20 and PACC mutated NSCLC, which allow enrollment of patients with CNS metastases that are either treated or untreated but asymptomatic.</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Initial Phase 1 dose escalation data of enozertinib</w:t>
      </w:r>
    </w:p>
    <w:p>
      <w:pPr>
        <w:spacing w:after="0" w:line="120"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231F20"/>
        </w:rPr>
        <w:t>We reported initial Phase 1b data for enozertinib at the ESMO Congress in October 2023, which demonstrated both systemic and intracranial activity across multiple doses in a heavily pre-treated patient population. As summarized in the table below, a total of 50 patients were treated with increasing doses of enozertinib. Of the 21 patients with EGFR exon 20 mutated lung cancer, 81% had received one or more EGFR exon 20 targeted agent and 86% of the patients had CNS involvement at baseline. This is a marked contrast to the patient populations that have been enrolled by the current approved and late-stage investigational programs, which are largely exon 20 inhibitor naïve and typically have approximately 35% of patients with CNS involvement at baseline.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Patient disposition and baseline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40640</wp:posOffset>
            </wp:positionV>
            <wp:extent cx="6610350" cy="3543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extLst>
                    </a:blip>
                    <a:srcRect/>
                    <a:stretch>
                      <a:fillRect/>
                    </a:stretch>
                  </pic:blipFill>
                  <pic:spPr bwMode="auto">
                    <a:xfrm>
                      <a:off x="0" y="0"/>
                      <a:ext cx="6610350" cy="354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Note: All data as of the data cutoff on September 26, 2023</w:t>
      </w:r>
    </w:p>
    <w:p>
      <w:pPr>
        <w:sectPr>
          <w:pgSz w:w="11880" w:h="15480" w:orient="portrait"/>
          <w:cols w:equalWidth="0" w:num="1">
            <w:col w:w="10780"/>
          </w:cols>
          <w:pgMar w:left="540" w:top="1440" w:right="560" w:bottom="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780"/>
          </w:cols>
          <w:pgMar w:left="540" w:top="1440" w:right="560" w:bottom="0" w:gutter="0" w:footer="0" w:header="0"/>
          <w:type w:val="continuous"/>
        </w:sectPr>
      </w:pPr>
    </w:p>
    <w:bookmarkStart w:id="21" w:name="page22"/>
    <w:bookmarkEnd w:id="21"/>
    <w:p>
      <w:pPr>
        <w:ind w:firstLine="720"/>
        <w:spacing w:after="0" w:line="252" w:lineRule="auto"/>
        <w:rPr>
          <w:sz w:val="20"/>
          <w:szCs w:val="20"/>
          <w:color w:val="auto"/>
        </w:rPr>
      </w:pPr>
      <w:r>
        <w:rPr>
          <w:rFonts w:ascii="Times New Roman" w:cs="Times New Roman" w:eastAsia="Times New Roman" w:hAnsi="Times New Roman"/>
          <w:sz w:val="20"/>
          <w:szCs w:val="20"/>
          <w:color w:val="231F20"/>
        </w:rPr>
        <w:t>Enozertinib was well tolerated with minimal EGFR wild type related adverse events and little evidence of off-target toxicities. The vast majority of TRAEs were Grade 1 or 2 in severity, with a low 6% rate of Grade 3 diarrhea and no events of Grade 3 or higher rash. There was a low rate of dose reductions and only 4% dose discontinuations due to safety. The most common TRAEs observed are summarized below.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Treatment related adverse events occurring in ≥ 10%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39370</wp:posOffset>
            </wp:positionV>
            <wp:extent cx="6638925" cy="3562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extLst>
                    </a:blip>
                    <a:srcRect/>
                    <a:stretch>
                      <a:fillRect/>
                    </a:stretch>
                  </pic:blipFill>
                  <pic:spPr bwMode="auto">
                    <a:xfrm>
                      <a:off x="0" y="0"/>
                      <a:ext cx="6638925" cy="356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Note: All data as of the data cutoff on September 26, 2023</w:t>
      </w:r>
    </w:p>
    <w:p>
      <w:pPr>
        <w:spacing w:after="0" w:line="235"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231F20"/>
        </w:rPr>
        <w:t>The waterfall plot below depicts efficacy-evaluable patients with EGFR exon 20 mutated lung cancer who received a total daily dose of 45 mg or higher and had at least one post-baseline tumor assessment performed. Across the four different total daily doses, 11 of the 15 patients received prior amivantamab and the majority experienced tumor shrinkage, with RECIST responses consisting of multiple partial responses, including one patient treated at 45 mg once daily who had two of three CNS lesions resolve on therapy, and most notably, one confirmed complete response with a complete response in the brain, in a post-amivantamab patient treated at 75 mg once daily.</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780"/>
          </w:cols>
          <w:pgMar w:left="540" w:top="750" w:right="56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231F20"/>
        </w:rPr>
        <w:t>Preliminary activity (NSCLC patients with EGFR exon 20 and treated at ≥ 45 mg QD)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41910</wp:posOffset>
            </wp:positionV>
            <wp:extent cx="6810375" cy="3724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extLst>
                    </a:blip>
                    <a:srcRect/>
                    <a:stretch>
                      <a:fillRect/>
                    </a:stretch>
                  </pic:blipFill>
                  <pic:spPr bwMode="auto">
                    <a:xfrm>
                      <a:off x="0" y="0"/>
                      <a:ext cx="6810375" cy="372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Note: All data as of the data cutoff on September 26, 2023</w:t>
      </w:r>
    </w:p>
    <w:p>
      <w:pPr>
        <w:spacing w:after="0" w:line="235"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231F20"/>
        </w:rPr>
        <w:t>In April 2024, we announced the selection of two provisional RP2Ds of enozertinib at 80 mg and 120 mg QD. In January 2025, we announced that we entered into a clinical trial and supply agreement with Johnson &amp; Johnson to evaluate enozertinib in combination with SC amivantamab for the first line treatment of patients with advanced NSCLC with EGFR exon 20 mutations, and we initiated a Phase 1b trial in the first quarter of 2025.</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Additional Phase 1b data of enozertinib</w:t>
      </w:r>
    </w:p>
    <w:p>
      <w:pPr>
        <w:spacing w:after="0" w:line="120" w:lineRule="exact"/>
        <w:rPr>
          <w:sz w:val="20"/>
          <w:szCs w:val="20"/>
          <w:color w:val="auto"/>
        </w:rPr>
      </w:pPr>
    </w:p>
    <w:p>
      <w:pPr>
        <w:ind w:right="700" w:firstLine="720"/>
        <w:spacing w:after="0" w:line="277" w:lineRule="auto"/>
        <w:rPr>
          <w:sz w:val="20"/>
          <w:szCs w:val="20"/>
          <w:color w:val="auto"/>
        </w:rPr>
      </w:pPr>
      <w:r>
        <w:rPr>
          <w:rFonts w:ascii="Times New Roman" w:cs="Times New Roman" w:eastAsia="Times New Roman" w:hAnsi="Times New Roman"/>
          <w:sz w:val="20"/>
          <w:szCs w:val="20"/>
          <w:color w:val="231F20"/>
        </w:rPr>
        <w:t>In December 2025, we reported additional Phase 1b data at the 2025 ESMO Asia Congress in treatment-naïve and in previously treated NSCLC patients with EGFR exon 20 and EGFR atypical mutations.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First-line treatment-naïve NSCLC patients with EGFR exon 20 mutations</w:t>
      </w:r>
    </w:p>
    <w:p>
      <w:pPr>
        <w:spacing w:after="0" w:line="11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In treatment-naïve NSCLC patients with EGFR exon 20 mutations, as of the August 29, 2025 cutoff date, enozertinib was well tolerated with no significant off-target toxicities and a low 6% rate of discontinuations. Dose reductions occurred in 80% of the 120 mg cohort and 17% of the 80 mg cohort, with 58% of the reductions at the 120 mg dose occurring by approximately 8 weeks. The most common TRAEs observed are summarized below.</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760"/>
          </w:cols>
          <w:pgMar w:left="540" w:top="750" w:right="580" w:bottom="0" w:gutter="0" w:footer="0" w:header="0"/>
          <w:type w:val="continuous"/>
        </w:sectPr>
      </w:pPr>
    </w:p>
    <w:bookmarkStart w:id="23" w:name="page24"/>
    <w:bookmarkEnd w:id="23"/>
    <w:p>
      <w:pPr>
        <w:ind w:left="720"/>
        <w:spacing w:after="0"/>
        <w:rPr>
          <w:sz w:val="20"/>
          <w:szCs w:val="20"/>
          <w:color w:val="auto"/>
        </w:rPr>
      </w:pPr>
      <w:r>
        <w:rPr>
          <w:rFonts w:ascii="Times New Roman" w:cs="Times New Roman" w:eastAsia="Times New Roman" w:hAnsi="Times New Roman"/>
          <w:sz w:val="20"/>
          <w:szCs w:val="20"/>
          <w:color w:val="231F20"/>
        </w:rPr>
        <w:t>Treatment related adverse events occurring in ≥ 20%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37465</wp:posOffset>
            </wp:positionV>
            <wp:extent cx="4629150" cy="2800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extLst>
                    </a:blip>
                    <a:srcRect/>
                    <a:stretch>
                      <a:fillRect/>
                    </a:stretch>
                  </pic:blipFill>
                  <pic:spPr bwMode="auto">
                    <a:xfrm>
                      <a:off x="0" y="0"/>
                      <a:ext cx="4629150" cy="280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231F20"/>
        </w:rPr>
        <w:t>Note: All data as of the data cutoff on August 29, 2025</w:t>
      </w:r>
    </w:p>
    <w:p>
      <w:pPr>
        <w:spacing w:after="0" w:line="235"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The waterfall plot below depicts efficacy-evaluable treatment-naïve NSCLC patients with EGFR exon 20 mutations who received a total daily dose of 120 mg and who received at least three post-baseline tumor assessments, as of the August 29, 2025 cutoff date. Of these patients, 80% underwent a dose reduction whereby most patients effectively received 80 mg daily. The best observed ORR was 67%, with a confirmed ORR of 60%. The disease control rate (DCR) was 93%. Multiple responses were observed in patients with brain metastases at baseline.</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Best percentage change in lesions in patients receiving 120 mg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44450</wp:posOffset>
            </wp:positionV>
            <wp:extent cx="4686300" cy="2114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a:extLst>
                        <a:ext uri="{28A0092B-C50C-407E-A947-70E740481C1C}"/>
                      </a:extLst>
                    </a:blip>
                    <a:srcRect/>
                    <a:stretch>
                      <a:fillRect/>
                    </a:stretch>
                  </pic:blipFill>
                  <pic:spPr bwMode="auto">
                    <a:xfrm>
                      <a:off x="0" y="0"/>
                      <a:ext cx="4686300" cy="211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231F20"/>
        </w:rPr>
        <w:t>Note: All data as of the data cutoff on August 29, 2025</w:t>
      </w:r>
    </w:p>
    <w:p>
      <w:pPr>
        <w:sectPr>
          <w:pgSz w:w="11880" w:h="15480" w:orient="portrait"/>
          <w:cols w:equalWidth="0" w:num="1">
            <w:col w:w="10720"/>
          </w:cols>
          <w:pgMar w:left="540" w:top="75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720"/>
          </w:cols>
          <w:pgMar w:left="540" w:top="750" w:right="620" w:bottom="0" w:gutter="0" w:footer="0" w:header="0"/>
          <w:type w:val="continuous"/>
        </w:sectPr>
      </w:pPr>
    </w:p>
    <w:bookmarkStart w:id="24" w:name="page25"/>
    <w:bookmarkEnd w:id="24"/>
    <w:p>
      <w:pPr>
        <w:ind w:right="380" w:firstLine="720"/>
        <w:spacing w:after="0" w:line="277" w:lineRule="auto"/>
        <w:rPr>
          <w:sz w:val="20"/>
          <w:szCs w:val="20"/>
          <w:color w:val="auto"/>
        </w:rPr>
      </w:pPr>
      <w:r>
        <w:rPr>
          <w:rFonts w:ascii="Times New Roman" w:cs="Times New Roman" w:eastAsia="Times New Roman" w:hAnsi="Times New Roman"/>
          <w:sz w:val="20"/>
          <w:szCs w:val="20"/>
          <w:color w:val="231F20"/>
        </w:rPr>
        <w:t>The waterfall plot below illustrates the CNS-specific intracranial responses by BICR-RANO, including 100% confirmed intracranial ORR in patients with measurable CNS disease, as of the August 29, 2025 cutoff date.</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Best percentage change in CNS lesions in patients receiving 120mg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37465</wp:posOffset>
            </wp:positionV>
            <wp:extent cx="4533900" cy="2667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a:extLst>
                        <a:ext uri="{28A0092B-C50C-407E-A947-70E740481C1C}"/>
                      </a:extLst>
                    </a:blip>
                    <a:srcRect/>
                    <a:stretch>
                      <a:fillRect/>
                    </a:stretch>
                  </pic:blipFill>
                  <pic:spPr bwMode="auto">
                    <a:xfrm>
                      <a:off x="0" y="0"/>
                      <a:ext cx="453390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231F20"/>
        </w:rPr>
        <w:t>Note: All data as of the data cutoff on August 29, 2025. CR – complete response Measurable disease includes patients with target lesions ≥1 cm in diameter.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First-line treatment-naïve advanced NSCLC patients with EGFR PACC mutations</w:t>
      </w:r>
    </w:p>
    <w:p>
      <w:pPr>
        <w:spacing w:after="0" w:line="11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EGFR atypical mutations are a heterogeneous group of non-classical mutations, with PACC mutations comprising the largest subset. The waterfall below depicts treatment-naïve NSCLC patients with EGFR PACC mutations who received a total daily dose of 80 mg and who received at least one post-baseline tumor assessment, as of the November 18, 2025 cutoff date. The best observed ORR was 80%, with 3 patient responses confirmed and 5 patient responses remaining unconfirmed as of the data cutoff date.</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Best percentage change in lesions in patients receiving 80 mg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63500</wp:posOffset>
            </wp:positionV>
            <wp:extent cx="4533900" cy="2724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extLst>
                    </a:blip>
                    <a:srcRect/>
                    <a:stretch>
                      <a:fillRect/>
                    </a:stretch>
                  </pic:blipFill>
                  <pic:spPr bwMode="auto">
                    <a:xfrm>
                      <a:off x="0" y="0"/>
                      <a:ext cx="4533900" cy="272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231F20"/>
        </w:rPr>
        <w:t>Note: All data as of the data cutoff on November 18, 2025</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760"/>
          </w:cols>
          <w:pgMar w:left="540" w:top="750" w:right="580" w:bottom="0" w:gutter="0" w:footer="0" w:header="0"/>
          <w:type w:val="continuous"/>
        </w:sectPr>
      </w:pPr>
    </w:p>
    <w:bookmarkStart w:id="25" w:name="page26"/>
    <w:bookmarkEnd w:id="25"/>
    <w:p>
      <w:pPr>
        <w:ind w:firstLine="720"/>
        <w:spacing w:after="0" w:line="258" w:lineRule="auto"/>
        <w:rPr>
          <w:sz w:val="20"/>
          <w:szCs w:val="20"/>
          <w:color w:val="auto"/>
        </w:rPr>
      </w:pPr>
      <w:r>
        <w:rPr>
          <w:rFonts w:ascii="Times New Roman" w:cs="Times New Roman" w:eastAsia="Times New Roman" w:hAnsi="Times New Roman"/>
          <w:sz w:val="20"/>
          <w:szCs w:val="20"/>
          <w:color w:val="231F20"/>
        </w:rPr>
        <w:t>The waterfall plot below depicts the best percentage change in CNS lesions from baseline based upon investigator assessment using RECIST criteria, as of the November 18, 2025 cutoff date. The best observed ORR was 80%, with 100% ORR in measurable CNS disease.</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Best percentage change in CNS lesions in patients receiving 80 mg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1381125</wp:posOffset>
            </wp:positionH>
            <wp:positionV relativeFrom="paragraph">
              <wp:posOffset>43815</wp:posOffset>
            </wp:positionV>
            <wp:extent cx="4095750" cy="3086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1">
                      <a:extLst>
                        <a:ext uri="{28A0092B-C50C-407E-A947-70E740481C1C}"/>
                      </a:extLst>
                    </a:blip>
                    <a:srcRect/>
                    <a:stretch>
                      <a:fillRect/>
                    </a:stretch>
                  </pic:blipFill>
                  <pic:spPr bwMode="auto">
                    <a:xfrm>
                      <a:off x="0" y="0"/>
                      <a:ext cx="409575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231F20"/>
        </w:rPr>
        <w:t>Note: All data as of the data cutoff on November 18,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Second-line NSCLC patients with EGFR exon 20 mutations and previously treated patients with EGFR atypical mutations</w:t>
      </w:r>
    </w:p>
    <w:p>
      <w:pPr>
        <w:spacing w:after="0" w:line="238"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231F20"/>
        </w:rPr>
        <w:t>As of the August 29, 2025 cutoff date, 45 second-line NSCLC patients with EGFR exon 20 mutations were dosed — 24 patients received 80 mg QD oral enozertinib and 21 patients received 120 mg QD. In previously treated patients with EGFR atypical mutations, as of the August 29, 2025 cutoff date, 47 patients were dosed — 25 patients received 80 mg QD oral enozertinib and 22 patients received 120 mg QD. Enozertinib was well tolerated with mostly Grade 1 or 2 TRAEs and no significant off-target toxicities. Most frequent TRAEs included diarrhea, paronychia, and stomatitis. Preliminary activity in second-line NSCLC patients with EGFR exon 20 mutations as of the cutoff date demonstrated a 45% confirmed ORR and 100% DCR, with comparable rates in patients with brain metastases at baseline. Preliminary activity in previously treated NSCLC patients with EGFR PACC mutations as of the cutoff date demonstrated a 36% confirmed ORR and 91% DCR, with comparable rates in patients with brain metastases at</w:t>
      </w:r>
    </w:p>
    <w:p>
      <w:pPr>
        <w:spacing w:after="0" w:line="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231F20"/>
        </w:rPr>
        <w:t>baseline. Responses were observed across a wide range of EGFR PACC mutations including in the most prevalent mutations, and in a broad spectrum of PACC complex mutations.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Next steps in enozertinib development</w:t>
      </w:r>
    </w:p>
    <w:p>
      <w:pPr>
        <w:spacing w:after="0" w:line="120" w:lineRule="exact"/>
        <w:rPr>
          <w:sz w:val="20"/>
          <w:szCs w:val="20"/>
          <w:color w:val="auto"/>
        </w:rPr>
      </w:pPr>
    </w:p>
    <w:p>
      <w:pPr>
        <w:ind w:right="220" w:firstLine="720"/>
        <w:spacing w:after="0" w:line="246" w:lineRule="auto"/>
        <w:rPr>
          <w:sz w:val="20"/>
          <w:szCs w:val="20"/>
          <w:color w:val="auto"/>
        </w:rPr>
      </w:pPr>
      <w:r>
        <w:rPr>
          <w:rFonts w:ascii="Times New Roman" w:cs="Times New Roman" w:eastAsia="Times New Roman" w:hAnsi="Times New Roman"/>
          <w:sz w:val="20"/>
          <w:szCs w:val="20"/>
          <w:color w:val="231F20"/>
        </w:rPr>
        <w:t>Based on these data, 80 mg QD oral enozertinib has been selected as the monotherapy dose for potential Phase 3 development. Dosing and follow-up continues in NSCLC patients with exon 20 mutations, including as a monotherapy, in combination with SC amivantamab and in combination with chemotherapy, as well as in NSCLC patients with EGFR PACC mutations as a monotherapy. In December 2025, we announced that enrollment in our HER2 exon 20 cohort was completed with no further development planned in this patient population. Initial data from the SC amivantamab combination trial, in addition to enozertinib data as a monotherapy in first-line EGFR exon 20 mutations and first-line EGFR PACC mutations, are expected in the second half of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Out-licensing candidates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We are also looking for strategic partnerships to help us develop our out-licensing candidates.</w:t>
      </w:r>
    </w:p>
    <w:p>
      <w:pPr>
        <w:spacing w:after="0" w:line="254" w:lineRule="exact"/>
        <w:rPr>
          <w:sz w:val="20"/>
          <w:szCs w:val="20"/>
          <w:color w:val="auto"/>
        </w:rPr>
      </w:pPr>
    </w:p>
    <w:p>
      <w:pPr>
        <w:ind w:left="980" w:right="420" w:hanging="490"/>
        <w:spacing w:after="0" w:line="278" w:lineRule="auto"/>
        <w:tabs>
          <w:tab w:leader="none" w:pos="980" w:val="left"/>
        </w:tabs>
        <w:numPr>
          <w:ilvl w:val="0"/>
          <w:numId w:val="12"/>
        </w:numPr>
        <w:rPr>
          <w:rFonts w:ascii="Arial" w:cs="Arial" w:eastAsia="Arial" w:hAnsi="Arial"/>
          <w:sz w:val="19"/>
          <w:szCs w:val="19"/>
          <w:color w:val="231F20"/>
        </w:rPr>
      </w:pPr>
      <w:r>
        <w:rPr>
          <w:rFonts w:ascii="Times New Roman" w:cs="Times New Roman" w:eastAsia="Times New Roman" w:hAnsi="Times New Roman"/>
          <w:sz w:val="19"/>
          <w:szCs w:val="19"/>
          <w:color w:val="231F20"/>
        </w:rPr>
        <w:t>CD73 inhibitor program: ORIC-533 is an orally bioavailable small molecule inhibitor of CD73 that has demonstrated more potent adenosine inhibition in vitro compared to an antibody-based approach and other small molecule CD73 inhibitors. Many cancers usurp the anti-inflammatory adenosine pathway to avoid detection by the immune system,</w:t>
      </w:r>
    </w:p>
    <w:p>
      <w:pPr>
        <w:sectPr>
          <w:pgSz w:w="11880" w:h="15480" w:orient="portrait"/>
          <w:cols w:equalWidth="0" w:num="1">
            <w:col w:w="10800"/>
          </w:cols>
          <w:pgMar w:left="540" w:top="750" w:right="540" w:bottom="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800"/>
          </w:cols>
          <w:pgMar w:left="540" w:top="750" w:right="540" w:bottom="0" w:gutter="0" w:footer="0" w:header="0"/>
          <w:type w:val="continuous"/>
        </w:sectPr>
      </w:pPr>
    </w:p>
    <w:bookmarkStart w:id="26" w:name="page27"/>
    <w:bookmarkEnd w:id="26"/>
    <w:p>
      <w:pPr>
        <w:ind w:left="980" w:right="20"/>
        <w:spacing w:after="0" w:line="244" w:lineRule="auto"/>
        <w:rPr>
          <w:sz w:val="20"/>
          <w:szCs w:val="20"/>
          <w:color w:val="auto"/>
        </w:rPr>
      </w:pPr>
      <w:r>
        <w:rPr>
          <w:rFonts w:ascii="Times New Roman" w:cs="Times New Roman" w:eastAsia="Times New Roman" w:hAnsi="Times New Roman"/>
          <w:sz w:val="20"/>
          <w:szCs w:val="20"/>
          <w:color w:val="231F20"/>
        </w:rPr>
        <w:t>thereby reducing the effectiveness of certain chemotherapy- and immunotherapy-based treatments. Accumulation of adenosine in the tumor microenvironment is implicated in local immune suppression that leads to tumor growth. CD73 is an enzyme that controls the rate at which extracellular adenosine is produced and its overexpression is associated with poor prognosis in several cancers, including TNBC, NSCLC, multiple myeloma, melanoma and prostate, among others. Several global pharmaceutical companies are developing anti-CD73 antibodies, but due to significant medicinal chemistry challenges, to our knowledge, only one other orally bioavailable inhibitor of CD73 is in clinical development. With our resistance platform capabilities, our medicinal chemistry team created a differentiated compound that is both potent and orally bioavailable. We completed a Phase 1b trial of ORIC-533 as a single-agent, in patients with relapsed/refractory multiple myeloma and reported initial Phase 1b data from this trial at the American Society of Hematology (ASH) annual meeting in December 2023.</w:t>
      </w:r>
    </w:p>
    <w:p>
      <w:pPr>
        <w:spacing w:after="0" w:line="216" w:lineRule="exact"/>
        <w:rPr>
          <w:sz w:val="20"/>
          <w:szCs w:val="20"/>
          <w:color w:val="auto"/>
        </w:rPr>
      </w:pPr>
    </w:p>
    <w:p>
      <w:pPr>
        <w:ind w:left="980" w:right="120" w:hanging="490"/>
        <w:spacing w:after="0" w:line="247"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PLK4 program: ORIC-613 is a small molecule therapeutic intended to address a mechanism of innate resistance found in a subset of breast cancers, specifically a synthetic lethal interaction of PLK4 inhibition in tumors bearing TRIM37 DNA amplification/elevation. Breast cancer models as well as other tumor models with this TRIM37 amplification have a key tumor dependency on PLK4 and our therapeutic approach is to inhibit this enzyme. ORIC-613, is an orally bioavailable inhibitor of PLK4 with best-in-class selectivity, and in preclinical studies shows synthetic lethality in tumor models with high levels of TRIM37. IND enabling studies were completed for ORIC-613.</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license agreements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Voronoi license agreement</w:t>
      </w:r>
    </w:p>
    <w:p>
      <w:pPr>
        <w:spacing w:after="0" w:line="115"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On October 19, 2020, we entered into the Voronoi License Agreement, a license and collaboration agreement, with Voronoi. The Voronoi License Agreement gives us access to Voronoi’s preclinical stage EGFR exon 20 mutation program, including a lead product candidate now designated as enozertinib. Under the Voronoi License Agreement, Voronoi granted us an exclusive, sublicensable license under Voronoi’s rights to certain patent applications directed to certain small molecule compounds that bind to EGFR with one or more exon 20 mutations and certain related know-how, in each case, to develop and commercialize certain licensed compounds and licensed products incorporating any such compound in the ORIC Territory, defined as worldwide other than in the People’s Republic of China, Hong Kong, Macau and Taiwan. Pursuant to an amendment to the Voronoi License Agreement that we entered into with Voronoi on March 20, 2024, we also obtained the right to conduct and control certain clinical trials for the licensed products at specified clinical sites within Voronoi’s territory to support the development and commercialization of licensed products in the ORIC Territory. Under the Voronoi License Agreement, Voronoi had the right to perform certain mutually agreed upon development activities. Except for Voronoi’s right to participate in such development activities, we are wholly responsible for development and commercialization of licensed products in the ORIC Territory. In addition, we are obligated to use commercially reasonable efforts to develop and commercialize at least one licensed product in certain major markets in the ORIC Territory.</w:t>
      </w:r>
    </w:p>
    <w:p>
      <w:pPr>
        <w:spacing w:after="0" w:line="203"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Our financial obligations under the Voronoi License Agreement included an upfront payment of $ 5.0 million in cash and the issuance to Voronoi of 283,259 shares of our common stock issued pursuant to a stock issuance agreement entered into between the parties on October 19, 2020. The number of shares issued pursuant to the stock issuance agreement was based on a price of $28.24 per share, representing a premium of 25% to the 30-day trailing volume weighted average trading price of our common stock. The shares were issued in a private placement in reliance on Section 4(a)(2) of the Securities Act of 1933, as amended (Securities Act), for transactions by an issuer not involving any public offering.</w:t>
      </w:r>
    </w:p>
    <w:p>
      <w:pPr>
        <w:spacing w:after="0" w:line="20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Under the Voronoi License Agreement, Voronoi was responsible for certain research and development costs up to a predetermined threshold. Upon achievement of the predetermined threshold in the second quarter of 2022, Voronoi chose to opt out of participation in and funding of future development activities. We are also obligated to make milestone payments to Voronoi upon the achievement of certain events. Upon the achievement of certain development and regulatory milestones with respect to the first licensed product, we are obligated to pay Voronoi up to a maximum of $111.0 million. Upon the achievement of certain commercial milestones with respect to the first licensed product, we are obligated to pay Voronoi up to a maximum of $225.0 million. If we pursue a second licensed product, we could pay Voronoi up to an additional $272.0 million in success-based milestones. In addition, we are obligated to pay royalties on net sales of licensed products in the ORIC Territory. In the third quarter of 2022, we made a development milestone payment to Voronoi in the amount of $5.0 million, which was recorded in acquired in-process research and development expense.</w:t>
      </w:r>
    </w:p>
    <w:p>
      <w:pPr>
        <w:spacing w:after="0" w:line="202" w:lineRule="exact"/>
        <w:rPr>
          <w:sz w:val="20"/>
          <w:szCs w:val="20"/>
          <w:color w:val="auto"/>
        </w:rPr>
      </w:pPr>
    </w:p>
    <w:p>
      <w:pPr>
        <w:ind w:right="40" w:firstLine="720"/>
        <w:spacing w:after="0" w:line="265" w:lineRule="auto"/>
        <w:rPr>
          <w:sz w:val="20"/>
          <w:szCs w:val="20"/>
          <w:color w:val="auto"/>
        </w:rPr>
      </w:pPr>
      <w:r>
        <w:rPr>
          <w:rFonts w:ascii="Times New Roman" w:cs="Times New Roman" w:eastAsia="Times New Roman" w:hAnsi="Times New Roman"/>
          <w:sz w:val="19"/>
          <w:szCs w:val="19"/>
          <w:color w:val="231F20"/>
        </w:rPr>
        <w:t>Unless earlier terminated, the Voronoi License Agreement will continue in effect until the expiration of all royalty payment obligations. Following the expiration of the Voronoi License Agreement, we will retain our licenses under the intellectual property Voronoi licensed to us on a royalty-free basis. We and Voronoi may each terminate the Voronoi License Agreement if the other party materially breaches the terms of such agreement, subject to specified notice and cure provisions, or enters into bankruptcy or insolvency proceedings. Voronoi may also terminate the agreement if we discontinue development of licensed products for a specified</w:t>
      </w:r>
    </w:p>
    <w:p>
      <w:pPr>
        <w:sectPr>
          <w:pgSz w:w="11880" w:h="15480" w:orient="portrait"/>
          <w:cols w:equalWidth="0" w:num="1">
            <w:col w:w="10800"/>
          </w:cols>
          <w:pgMar w:left="540" w:top="750" w:right="540" w:bottom="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800"/>
          </w:cols>
          <w:pgMar w:left="540" w:top="750" w:right="540" w:bottom="0" w:gutter="0" w:footer="0" w:header="0"/>
          <w:type w:val="continuous"/>
        </w:sectPr>
      </w:pPr>
    </w:p>
    <w:bookmarkStart w:id="27" w:name="page28"/>
    <w:bookmarkEnd w:id="27"/>
    <w:p>
      <w:pPr>
        <w:ind w:right="700"/>
        <w:spacing w:after="0" w:line="277" w:lineRule="auto"/>
        <w:rPr>
          <w:sz w:val="20"/>
          <w:szCs w:val="20"/>
          <w:color w:val="auto"/>
        </w:rPr>
      </w:pPr>
      <w:r>
        <w:rPr>
          <w:rFonts w:ascii="Times New Roman" w:cs="Times New Roman" w:eastAsia="Times New Roman" w:hAnsi="Times New Roman"/>
          <w:sz w:val="20"/>
          <w:szCs w:val="20"/>
          <w:color w:val="231F20"/>
        </w:rPr>
        <w:t>period of time. We also have the right to terminate the Voronoi License Agreement without cause by providing prior notice to Voronoi.</w:t>
      </w:r>
    </w:p>
    <w:p>
      <w:pPr>
        <w:spacing w:after="0" w:line="169" w:lineRule="exact"/>
        <w:rPr>
          <w:sz w:val="20"/>
          <w:szCs w:val="20"/>
          <w:color w:val="auto"/>
        </w:rPr>
      </w:pPr>
    </w:p>
    <w:p>
      <w:pPr>
        <w:jc w:val="both"/>
        <w:ind w:right="280" w:firstLine="720"/>
        <w:spacing w:after="0" w:line="258" w:lineRule="auto"/>
        <w:rPr>
          <w:sz w:val="20"/>
          <w:szCs w:val="20"/>
          <w:color w:val="auto"/>
        </w:rPr>
      </w:pPr>
      <w:r>
        <w:rPr>
          <w:rFonts w:ascii="Times New Roman" w:cs="Times New Roman" w:eastAsia="Times New Roman" w:hAnsi="Times New Roman"/>
          <w:sz w:val="20"/>
          <w:szCs w:val="20"/>
          <w:color w:val="231F20"/>
        </w:rPr>
        <w:t>If Voronoi terminates the Voronoi License Agreement for cause, or we terminate the Voronoi License Agreement without cause, then we are obligated to grant a nonexclusive license to Voronoi under certain of our patents and know-how and to assign to Voronoi certain of our regulatory filings for licensed compounds and licensed products.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Mirati license agreement</w:t>
      </w:r>
    </w:p>
    <w:p>
      <w:pPr>
        <w:spacing w:after="0" w:line="118"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On August 3, 2020, we entered into the Mirati License Agreement. Under the Mirati License Agreement, Mirati granted us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 Under the Mirati License Agreement, we are wholly responsible for development and commercialization of licensed products. In addition, we are obligated to use commercially reasonable efforts to develop and commercialize at least one licensed product in certain major markets.</w:t>
      </w:r>
    </w:p>
    <w:p>
      <w:pPr>
        <w:spacing w:after="0" w:line="20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Our financial obligation under the Mirati License Agreement was an upfront payment of 588,235 shares of our common stock, issued pursuant to a stock issuance agreement entered into between the parties on August 3, 2020. The number of shares issued was based on a price of $34.00 per share, representing a premium of 10% to the 60-day trailing volume weighted average trading price of our common stock. The shares were issued in a private placement in reliance on Section 4(a)(2) of the Securities Act for transactions by an issuer not involving any public offering. During the eighteen-month period following the date of the agreement, Mirati was subject to certain transfer restrictions, and the parties agreed to negotiate and enter into a registration rights agreement, with respect to the shares. We are not obligated to pay Mirati milestones or royalties.</w:t>
      </w:r>
    </w:p>
    <w:p>
      <w:pPr>
        <w:spacing w:after="0" w:line="20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we will retain our licenses under the intellectual property Mirati licensed to us on a royalty-free basis. We and Mirati may each terminate the Mirati License Agreement if the other party materially breaches the terms of such agreement, subject to specified notice and cure provisions, or enters into bankruptcy or insolvency proceedings. Mirati may terminate the agreement if we challenge any of the patent rights licensed to us by Mirati or we discontinue development of licensed products for a specified period of time. We also have the right to terminate the Mirati License Agreement without cause by providing prior notice to Mirati.</w:t>
      </w:r>
    </w:p>
    <w:p>
      <w:pPr>
        <w:spacing w:after="0" w:line="206"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231F20"/>
        </w:rPr>
        <w:t>On October 8, 2023, Bristol Myers Squibb (BMS) and Mirati announced that they entered into a definitive merger agreement under which BMS through a subsidiary will acquire all of the outstanding shares of Mirati common stock. The Mirati License Agreement continued in effect upon consummation of the transaction, which closed on January 23, 2024.</w:t>
      </w:r>
    </w:p>
    <w:p>
      <w:pPr>
        <w:spacing w:after="0" w:line="188"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231F20"/>
        </w:rPr>
        <w:t>If BMS terminates the Mirati License Agreement, or we terminate the Mirati License Agreement without cause, then we are obligated to assign to BMS, or grant an exclusive license to BMS with respect to, certain of our patents, know-how and regulatory filings directed to licensed compounds and licensed products.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Clinical Development Collaborations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Bayer collaboration</w:t>
      </w:r>
    </w:p>
    <w:p>
      <w:pPr>
        <w:spacing w:after="0" w:line="115"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231F20"/>
        </w:rPr>
        <w:t>On May 14, 2024, we entered into a clinical trial collaboration and supply agreement with Bayer, as amended effective October 23, 2024, to evaluate rinzimetostat in combination with Nubeqa® (darolutamide), Bayer’s AR inhibitor. We will continue to conduct and sponsor the ongoing Phase 1b clinical trial, and Bayer will provide darolutamide for the trial. We maintain full economic ownership and control of rinzimetostat.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Johnson &amp; Johnson collaborations</w:t>
      </w:r>
    </w:p>
    <w:p>
      <w:pPr>
        <w:spacing w:after="0" w:line="115" w:lineRule="exact"/>
        <w:rPr>
          <w:sz w:val="20"/>
          <w:szCs w:val="20"/>
          <w:color w:val="auto"/>
        </w:rPr>
      </w:pPr>
    </w:p>
    <w:p>
      <w:pPr>
        <w:ind w:right="80" w:firstLine="770"/>
        <w:spacing w:after="0" w:line="252" w:lineRule="auto"/>
        <w:rPr>
          <w:sz w:val="20"/>
          <w:szCs w:val="20"/>
          <w:color w:val="auto"/>
        </w:rPr>
      </w:pPr>
      <w:r>
        <w:rPr>
          <w:rFonts w:ascii="Times New Roman" w:cs="Times New Roman" w:eastAsia="Times New Roman" w:hAnsi="Times New Roman"/>
          <w:sz w:val="20"/>
          <w:szCs w:val="20"/>
          <w:color w:val="231F20"/>
        </w:rPr>
        <w:t>On July 10, 2024, we entered into a clinical trial collaboration and supply agreement with Johnson &amp; Johnson, to evaluate rinzimetostat in combination with Erleada® (apalutamide), Johnson &amp; Johnson’s AR inhibitor. We will continue to conduct and sponsor the ongoing Phase 1b clinical trial, and Johnson &amp; Johnson will provide apalutamide for the trial. We maintain full economic ownership and control of rinzimetostat.</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780"/>
          </w:cols>
          <w:pgMar w:left="540" w:top="750" w:right="560" w:bottom="0" w:gutter="0" w:footer="0" w:header="0"/>
          <w:type w:val="continuous"/>
        </w:sectPr>
      </w:pPr>
    </w:p>
    <w:bookmarkStart w:id="28" w:name="page29"/>
    <w:bookmarkEnd w:id="28"/>
    <w:p>
      <w:pPr>
        <w:ind w:right="100" w:firstLine="720"/>
        <w:spacing w:after="0" w:line="252" w:lineRule="auto"/>
        <w:rPr>
          <w:sz w:val="20"/>
          <w:szCs w:val="20"/>
          <w:color w:val="auto"/>
        </w:rPr>
      </w:pPr>
      <w:r>
        <w:rPr>
          <w:rFonts w:ascii="Times New Roman" w:cs="Times New Roman" w:eastAsia="Times New Roman" w:hAnsi="Times New Roman"/>
          <w:sz w:val="20"/>
          <w:szCs w:val="20"/>
          <w:color w:val="231F20"/>
        </w:rPr>
        <w:t>On August 29, 2024, we entered into a clinical supply agreement with Johnson &amp; Johnson, to evaluate enozertinib in combination with SC amivantamab, Johnson &amp; Johnson’s fully-human EGFR-MET bispecific antibody. We will continue to conduct and sponsor the ongoing Phase 1b clinical trial, and Johnson &amp; Johnson will provide SC amivantamab for the trial. We maintain full economic ownership and control of enozertinib.</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Sales and marketing</w:t>
      </w:r>
    </w:p>
    <w:p>
      <w:pPr>
        <w:spacing w:after="0" w:line="12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We intend to retain significant development and commercial rights to our product candidates and, if marketing approval is obtained, to commercialize our product candidates on our own, or potentially with a partner, in the United States and other regions. We currently have initial commercial and medical affairs leadership on staff but do not have product sales, marketing or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required commercial infrastructure and manufacturing needs may all influence or alter our commercialization plans.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Manufacturing</w:t>
      </w:r>
    </w:p>
    <w:p>
      <w:pPr>
        <w:spacing w:after="0" w:line="244"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231F20"/>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as well as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20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To date, we have obtained active pharmaceutical ingredients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w:t>
      </w:r>
    </w:p>
    <w:p>
      <w:pPr>
        <w:spacing w:after="0" w:line="194" w:lineRule="exact"/>
        <w:rPr>
          <w:sz w:val="20"/>
          <w:szCs w:val="20"/>
          <w:color w:val="auto"/>
        </w:rPr>
      </w:pPr>
    </w:p>
    <w:p>
      <w:pPr>
        <w:ind w:right="520" w:firstLine="720"/>
        <w:spacing w:after="0" w:line="305" w:lineRule="auto"/>
        <w:rPr>
          <w:sz w:val="20"/>
          <w:szCs w:val="20"/>
          <w:color w:val="auto"/>
        </w:rPr>
      </w:pPr>
      <w:r>
        <w:rPr>
          <w:rFonts w:ascii="Times New Roman" w:cs="Times New Roman" w:eastAsia="Times New Roman" w:hAnsi="Times New Roman"/>
          <w:sz w:val="19"/>
          <w:szCs w:val="19"/>
          <w:color w:val="231F20"/>
        </w:rPr>
        <w:t>As we advance our product candidates through development, we will consider whether to change our lack of redundant supply for the API and drug product for each of our product candidates to protect against any potential supply disruptions.</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We generally expect to rely on third parties for the manufacture of any companion diagnostics we may develop.</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120"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231F20"/>
        </w:rPr>
        <w:t>We strive to protect and enhance the proprietary technology, inventions and improvements that are commercially important to our business, including obtaining, maintaining and defending our patent rights. Our policy is to seek to protect our proprietary position by, among other methods, filing patent applications and obtaining issued patents, or in-licensing issued patents and patent applications, in the United States and in markets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technology, inventions, improvements and product candidates;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209"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231F20"/>
        </w:rPr>
        <w:t>Our patent portfolio consists of issued patents and pending patent applications that we own or in-licensed related to rinzimetostat, enozertinib, ORIC-533 and various other compounds and programs described above. As of December 31, 2025, the portfolio includes 22 issued United States patents, 38 pending United States patent applications, 7 pending international patent applications filed under the Patent Cooperation Treaty (PCT application), more than 210 issued patents in various markets outside of the United States, and more than 90 pending patent applications in various markets outside of the United States.</w:t>
      </w:r>
    </w:p>
    <w:p>
      <w:pPr>
        <w:spacing w:after="0" w:line="197" w:lineRule="exact"/>
        <w:rPr>
          <w:sz w:val="20"/>
          <w:szCs w:val="20"/>
          <w:color w:val="auto"/>
        </w:rPr>
      </w:pPr>
    </w:p>
    <w:p>
      <w:pPr>
        <w:ind w:right="20" w:firstLine="720"/>
        <w:spacing w:after="0" w:line="270" w:lineRule="auto"/>
        <w:rPr>
          <w:sz w:val="20"/>
          <w:szCs w:val="20"/>
          <w:color w:val="auto"/>
        </w:rPr>
      </w:pPr>
      <w:r>
        <w:rPr>
          <w:rFonts w:ascii="Times New Roman" w:cs="Times New Roman" w:eastAsia="Times New Roman" w:hAnsi="Times New Roman"/>
          <w:sz w:val="19"/>
          <w:szCs w:val="19"/>
          <w:color w:val="231F20"/>
        </w:rPr>
        <w:t>As of December 31, 2025, our patent portfolio covering rinzimetostat that we have exclusively in-licensed from Mirati includes patents issued in Australia, Brazil, Canada, China, Europe, Eurasia, Hong Kong, India, Israel, Japan, Korea, Macao, Mexico, New Zealand, South Africa and the United States, along with a patent application pending in the United States. We also own pending PCT applications and pending patent applications in the United States, Europe and other markets outside of the United States covering</w:t>
      </w:r>
    </w:p>
    <w:p>
      <w:pPr>
        <w:sectPr>
          <w:pgSz w:w="11880" w:h="15480" w:orient="portrait"/>
          <w:cols w:equalWidth="0" w:num="1">
            <w:col w:w="10780"/>
          </w:cols>
          <w:pgMar w:left="540" w:top="750" w:right="560" w:bottom="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780"/>
          </w:cols>
          <w:pgMar w:left="540" w:top="750" w:right="560" w:bottom="0" w:gutter="0" w:footer="0" w:header="0"/>
          <w:type w:val="continuous"/>
        </w:sectPr>
      </w:pPr>
    </w:p>
    <w:bookmarkStart w:id="29" w:name="page30"/>
    <w:bookmarkEnd w:id="29"/>
    <w:p>
      <w:pPr>
        <w:ind w:right="520"/>
        <w:spacing w:after="0" w:line="252" w:lineRule="auto"/>
        <w:rPr>
          <w:sz w:val="20"/>
          <w:szCs w:val="20"/>
          <w:color w:val="auto"/>
        </w:rPr>
      </w:pPr>
      <w:r>
        <w:rPr>
          <w:rFonts w:ascii="Times New Roman" w:cs="Times New Roman" w:eastAsia="Times New Roman" w:hAnsi="Times New Roman"/>
          <w:sz w:val="20"/>
          <w:szCs w:val="20"/>
          <w:color w:val="231F20"/>
        </w:rPr>
        <w:t>certain forms and uses of rinzimetostat. The issued United States patents covering rinzimetostat as composition of matter, pharmaceutical compositions and related methods of use are expected to expire in 2039, absent any patent term extensions for regulatory delay. Any patents that may issue from the pending patent applications related to rinzimetostat are expected to expire between 2039 and 2044, absent any patent term adjustments or extensions.</w:t>
      </w:r>
    </w:p>
    <w:p>
      <w:pPr>
        <w:spacing w:after="0" w:line="19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As of December 31, 2025, our patent portfolio covering enozertinib that we have exclusively in-licensed from Voronoi in the ORIC Territory includes issued patents in Australia, Brazil, Europe, Eurasia, India, Israel, Japan, Korea, Mexico, New Zealand, Singapore, the United States and South Africa, along with patent applications pending in the United States, Europe and other markets outside of the United States. We also own a pending PCT application covering methods of using enozertinib, and pending patent applications in the United States, Europe and other markets outside of the United States covering certain forms of enozertinib and methods of using enozertinib. The issued United States patents covering enozertinib as compositions of matter and pharmaceutical compositions are expected to expire in 2040, absent any patent term adjustments or extensions. Any patents that may issue from the pending patent applications related to enozertinib are expected to expire between 2040 and 2046, absent any patent term adjustments or extensions.</w:t>
      </w:r>
    </w:p>
    <w:p>
      <w:pPr>
        <w:spacing w:after="0" w:line="206"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231F20"/>
        </w:rPr>
        <w:t>As of December 31, 2025, our patent portfolio covering ORIC-533 includes patents issued in Australia, Brazil, Canada, China, Hong Kong, Europe, Eurasia, Israel, India, Japan, Korea, Macao, Mexico, New Zealand, Taiwan, the United States and South Africa, along with pending PCT applications, and other patent applications pending in the United States, Europe, Japan and other markets outside of the United States. The issued United States patents covering ORIC-533 as composition of matter, pharmaceutical compositions and related methods of use and methods of manufacture are expected to expire in 2040, absent any patent term extensions for regulatory delay. Any patents that may issue from our pending patent applications related to ORIC-533 are expected to expire between 2040 and 2044, absent any patent term adjustments or extensions.</w:t>
      </w:r>
    </w:p>
    <w:p>
      <w:pPr>
        <w:spacing w:after="0" w:line="200" w:lineRule="exact"/>
        <w:rPr>
          <w:sz w:val="20"/>
          <w:szCs w:val="20"/>
          <w:color w:val="auto"/>
        </w:rPr>
      </w:pPr>
    </w:p>
    <w:p>
      <w:pPr>
        <w:ind w:right="240" w:firstLine="720"/>
        <w:spacing w:after="0" w:line="277" w:lineRule="auto"/>
        <w:rPr>
          <w:sz w:val="20"/>
          <w:szCs w:val="20"/>
          <w:color w:val="auto"/>
        </w:rPr>
      </w:pPr>
      <w:r>
        <w:rPr>
          <w:rFonts w:ascii="Times New Roman" w:cs="Times New Roman" w:eastAsia="Times New Roman" w:hAnsi="Times New Roman"/>
          <w:sz w:val="20"/>
          <w:szCs w:val="20"/>
          <w:color w:val="231F20"/>
        </w:rPr>
        <w:t>We also possess substantial know-how and trade secrets relating to the development and commercialization of our product candidates, including related manufacturing processes and technology.</w:t>
      </w:r>
    </w:p>
    <w:p>
      <w:pPr>
        <w:spacing w:after="0" w:line="169"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231F20"/>
        </w:rPr>
        <w:t>With respect to our product candidates and processes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w:t>
      </w:r>
    </w:p>
    <w:p>
      <w:pPr>
        <w:spacing w:after="0" w:line="18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0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w:t>
      </w:r>
    </w:p>
    <w:p>
      <w:pPr>
        <w:spacing w:after="0" w:line="202"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Moreover, even our issued patents may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w:t>
      </w:r>
    </w:p>
    <w:p>
      <w:pPr>
        <w:sectPr>
          <w:pgSz w:w="11880" w:h="15480" w:orient="portrait"/>
          <w:cols w:equalWidth="0" w:num="1">
            <w:col w:w="10780"/>
          </w:cols>
          <w:pgMar w:left="540" w:top="750" w:right="560" w:bottom="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780"/>
          </w:cols>
          <w:pgMar w:left="540" w:top="750" w:right="560" w:bottom="0" w:gutter="0" w:footer="0" w:header="0"/>
          <w:type w:val="continuous"/>
        </w:sectPr>
      </w:pPr>
    </w:p>
    <w:bookmarkStart w:id="30" w:name="page31"/>
    <w:bookmarkEnd w:id="30"/>
    <w:p>
      <w:pPr>
        <w:spacing w:after="0" w:line="247" w:lineRule="auto"/>
        <w:rPr>
          <w:sz w:val="20"/>
          <w:szCs w:val="20"/>
          <w:color w:val="auto"/>
        </w:rPr>
      </w:pPr>
      <w:r>
        <w:rPr>
          <w:rFonts w:ascii="Times New Roman" w:cs="Times New Roman" w:eastAsia="Times New Roman" w:hAnsi="Times New Roman"/>
          <w:sz w:val="20"/>
          <w:szCs w:val="20"/>
          <w:color w:val="231F20"/>
        </w:rPr>
        <w:t>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24" w:lineRule="exact"/>
        <w:rPr>
          <w:sz w:val="20"/>
          <w:szCs w:val="20"/>
          <w:color w:val="auto"/>
        </w:rPr>
      </w:pPr>
    </w:p>
    <w:p>
      <w:pPr>
        <w:ind w:right="220" w:firstLine="720"/>
        <w:spacing w:after="0" w:line="247" w:lineRule="auto"/>
        <w:rPr>
          <w:sz w:val="20"/>
          <w:szCs w:val="20"/>
          <w:color w:val="auto"/>
        </w:rPr>
      </w:pPr>
      <w:r>
        <w:rPr>
          <w:rFonts w:ascii="Times New Roman" w:cs="Times New Roman" w:eastAsia="Times New Roman" w:hAnsi="Times New Roman"/>
          <w:sz w:val="20"/>
          <w:szCs w:val="20"/>
          <w:color w:val="231F20"/>
        </w:rPr>
        <w:t>The pharmaceutical and biotechnology industries are characterized by rapidly advancing technologies, intense competition and a strong emphasis on proprietary products. While we believe that our technology, the expertise of our executive and scientific team, clinical capabilities,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200"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231F20"/>
        </w:rPr>
        <w:t>Many of our competitors, either alone or with their collaborators,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Additional mergers and acquisitions may result in even more resources being concentrated in our competitors.</w:t>
      </w:r>
    </w:p>
    <w:p>
      <w:pPr>
        <w:spacing w:after="0" w:line="20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that may make our development more complicated. The key competitive factors affecting the success of all of our programs are likely to be efficacy, safety and convenience.</w:t>
      </w:r>
    </w:p>
    <w:p>
      <w:pPr>
        <w:spacing w:after="0" w:line="200"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31F20"/>
        </w:rPr>
        <w:t>For rinzimetostat, we are aware of several companies developing inhibitors against PRC2 via EZH2 inhibition that are currently in clinical trials, including Ipsen, Novartis, Daiichi Sankyo, Pfizer, Shanghai HaiHe Pharmaceutical, Treeline Biosciences in collaboration with Jiangsu HengRui Medicine Co., Evopoint Biosciences and Hanmi Pharmaceutical. To our knowledge, Ascentage Pharma has an allosteric PRC2 inhibitor in clinical trials for patients with cancer.</w:t>
      </w:r>
    </w:p>
    <w:p>
      <w:pPr>
        <w:spacing w:after="0" w:line="194"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231F20"/>
        </w:rPr>
        <w:t>For enozertinib, we are aware that Johnson &amp; Johnson and Dizal Pharmaceuticals have FDA-approved products for patients with EGFR exon 20 mutations. We are also aware of several companies developing small molecule inhibitors against EGFR exon 20 mutations and EGFR atypical mutations that are currently in clinical trials, including Cullinan Therapeutics in collaboration with Taiho Pharmaceutical, ArriVent BioPharma in collaboration with Allist Pharmaceuticals, Black Diamond Therapeutics, Scorpion Therapeutics in collaboration with Pierre Fabre, BlossomHill Therapeutics, Avistone Biotechnology, BeBetter Med, Suzhou Puhe Pharmaceutical Technology Co. and Yuhan Corporation.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w:t>
      </w:r>
    </w:p>
    <w:p>
      <w:pPr>
        <w:spacing w:after="0" w:line="124"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231F20"/>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can be marketed, considerable data demonstrating its quality, safety and efficacy must be obtained, organized into a format specific for each regulatory authority, submitted for review and approved by the regulatory authority.</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780"/>
          </w:cols>
          <w:pgMar w:left="540" w:top="750" w:right="56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i w:val="1"/>
          <w:iCs w:val="1"/>
          <w:color w:val="231F20"/>
        </w:rPr>
        <w:t>U.S. drug development</w:t>
      </w:r>
    </w:p>
    <w:p>
      <w:pPr>
        <w:spacing w:after="0" w:line="120" w:lineRule="exact"/>
        <w:rPr>
          <w:sz w:val="20"/>
          <w:szCs w:val="20"/>
          <w:color w:val="auto"/>
        </w:rPr>
      </w:pPr>
    </w:p>
    <w:p>
      <w:pPr>
        <w:ind w:right="180" w:firstLine="720"/>
        <w:spacing w:after="0" w:line="244" w:lineRule="auto"/>
        <w:rPr>
          <w:sz w:val="20"/>
          <w:szCs w:val="20"/>
          <w:color w:val="auto"/>
        </w:rPr>
      </w:pPr>
      <w:r>
        <w:rPr>
          <w:rFonts w:ascii="Times New Roman" w:cs="Times New Roman" w:eastAsia="Times New Roman" w:hAnsi="Times New Roman"/>
          <w:sz w:val="20"/>
          <w:szCs w:val="20"/>
          <w:color w:val="231F20"/>
        </w:rPr>
        <w:t>In the United States, the FDA regulates drugs under the Food, Drug, and Cosmetic Act of 1938 (FDCA).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206" w:lineRule="exact"/>
        <w:rPr>
          <w:sz w:val="20"/>
          <w:szCs w:val="20"/>
          <w:color w:val="auto"/>
        </w:rPr>
      </w:pPr>
    </w:p>
    <w:p>
      <w:pPr>
        <w:ind w:right="260" w:firstLine="720"/>
        <w:spacing w:after="0" w:line="277" w:lineRule="auto"/>
        <w:rPr>
          <w:sz w:val="20"/>
          <w:szCs w:val="20"/>
          <w:color w:val="auto"/>
        </w:rPr>
      </w:pPr>
      <w:r>
        <w:rPr>
          <w:rFonts w:ascii="Times New Roman" w:cs="Times New Roman" w:eastAsia="Times New Roman" w:hAnsi="Times New Roman"/>
          <w:sz w:val="20"/>
          <w:szCs w:val="20"/>
          <w:color w:val="231F20"/>
        </w:rPr>
        <w:t>Our product candidates are considered small molecule drugs and must be approved by the FDA through the new drug application (NDA) process before they may be legally marketed in the United States. The process generally involves the following:</w:t>
      </w:r>
    </w:p>
    <w:p>
      <w:pPr>
        <w:spacing w:after="0" w:line="64" w:lineRule="exact"/>
        <w:rPr>
          <w:sz w:val="20"/>
          <w:szCs w:val="20"/>
          <w:color w:val="auto"/>
        </w:rPr>
      </w:pPr>
    </w:p>
    <w:p>
      <w:pPr>
        <w:ind w:left="1220" w:right="240" w:hanging="500"/>
        <w:spacing w:after="0" w:line="276" w:lineRule="auto"/>
        <w:tabs>
          <w:tab w:leader="none" w:pos="122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completion of extensive preclinical studies in accordance with applicable regulations, including studies conducted in accordance with good laboratory practices (GLPs);</w:t>
      </w:r>
    </w:p>
    <w:p>
      <w:pPr>
        <w:spacing w:after="0" w:line="82" w:lineRule="exact"/>
        <w:rPr>
          <w:rFonts w:ascii="Arial" w:cs="Arial" w:eastAsia="Arial" w:hAnsi="Arial"/>
          <w:sz w:val="20"/>
          <w:szCs w:val="20"/>
          <w:color w:val="231F20"/>
        </w:rPr>
      </w:pPr>
    </w:p>
    <w:p>
      <w:pPr>
        <w:ind w:left="1220" w:hanging="500"/>
        <w:spacing w:after="0"/>
        <w:tabs>
          <w:tab w:leader="none" w:pos="122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submission to the FDA of an IND, which must become effective before human clinical trials may begin;</w:t>
      </w:r>
    </w:p>
    <w:p>
      <w:pPr>
        <w:spacing w:after="0" w:line="151" w:lineRule="exact"/>
        <w:rPr>
          <w:rFonts w:ascii="Arial" w:cs="Arial" w:eastAsia="Arial" w:hAnsi="Arial"/>
          <w:sz w:val="20"/>
          <w:szCs w:val="20"/>
          <w:color w:val="231F20"/>
        </w:rPr>
      </w:pPr>
    </w:p>
    <w:p>
      <w:pPr>
        <w:ind w:left="1220" w:right="180" w:hanging="500"/>
        <w:spacing w:after="0" w:line="276" w:lineRule="auto"/>
        <w:tabs>
          <w:tab w:leader="none" w:pos="122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approval by an independent institutional review board (IRB) or ethics committee at each clinical trial site before each trial may be initiated;</w:t>
      </w:r>
    </w:p>
    <w:p>
      <w:pPr>
        <w:spacing w:after="0" w:line="82" w:lineRule="exact"/>
        <w:rPr>
          <w:rFonts w:ascii="Arial" w:cs="Arial" w:eastAsia="Arial" w:hAnsi="Arial"/>
          <w:sz w:val="20"/>
          <w:szCs w:val="20"/>
          <w:color w:val="231F20"/>
        </w:rPr>
      </w:pPr>
    </w:p>
    <w:p>
      <w:pPr>
        <w:ind w:left="1220" w:hanging="500"/>
        <w:spacing w:after="0" w:line="258" w:lineRule="auto"/>
        <w:tabs>
          <w:tab w:leader="none" w:pos="122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performance of adequate and well-controlled human clinical trials in accordance with applicable IND regulations, good clinical practice (GCP) requirements and other clinical trial-related regulations to establish substantial evidence of the safety and efficacy of the investigational product for each proposed indication;</w:t>
      </w:r>
    </w:p>
    <w:p>
      <w:pPr>
        <w:spacing w:after="0" w:line="99" w:lineRule="exact"/>
        <w:rPr>
          <w:rFonts w:ascii="Arial" w:cs="Arial" w:eastAsia="Arial" w:hAnsi="Arial"/>
          <w:sz w:val="20"/>
          <w:szCs w:val="20"/>
          <w:color w:val="231F20"/>
        </w:rPr>
      </w:pPr>
    </w:p>
    <w:p>
      <w:pPr>
        <w:ind w:left="1220" w:hanging="500"/>
        <w:spacing w:after="0"/>
        <w:tabs>
          <w:tab w:leader="none" w:pos="122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submission to the FDA of an NDA;</w:t>
      </w:r>
    </w:p>
    <w:p>
      <w:pPr>
        <w:spacing w:after="0" w:line="151" w:lineRule="exact"/>
        <w:rPr>
          <w:rFonts w:ascii="Arial" w:cs="Arial" w:eastAsia="Arial" w:hAnsi="Arial"/>
          <w:sz w:val="20"/>
          <w:szCs w:val="20"/>
          <w:color w:val="231F20"/>
        </w:rPr>
      </w:pPr>
    </w:p>
    <w:p>
      <w:pPr>
        <w:ind w:left="1220" w:hanging="500"/>
        <w:spacing w:after="0"/>
        <w:tabs>
          <w:tab w:leader="none" w:pos="122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a determination by the FDA within 60 days of its receipt of an NDA to accept the filing for review;</w:t>
      </w:r>
    </w:p>
    <w:p>
      <w:pPr>
        <w:spacing w:after="0" w:line="151" w:lineRule="exact"/>
        <w:rPr>
          <w:rFonts w:ascii="Arial" w:cs="Arial" w:eastAsia="Arial" w:hAnsi="Arial"/>
          <w:sz w:val="20"/>
          <w:szCs w:val="20"/>
          <w:color w:val="231F20"/>
        </w:rPr>
      </w:pPr>
    </w:p>
    <w:p>
      <w:pPr>
        <w:jc w:val="both"/>
        <w:ind w:left="1220" w:right="240" w:hanging="500"/>
        <w:spacing w:after="0" w:line="258" w:lineRule="auto"/>
        <w:tabs>
          <w:tab w:leader="none" w:pos="122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satisfactory completion of an FDA pre-approval inspection of the manufacturing facility or facilities where the drug will be produced to assess compliance with current good manufacturing practice (cGMP) requirements to assure that the facilities, methods and controls are adequate to preserve the drug’s identity, strength, quality and purity;</w:t>
      </w:r>
    </w:p>
    <w:p>
      <w:pPr>
        <w:spacing w:after="0" w:line="99" w:lineRule="exact"/>
        <w:rPr>
          <w:rFonts w:ascii="Arial" w:cs="Arial" w:eastAsia="Arial" w:hAnsi="Arial"/>
          <w:sz w:val="20"/>
          <w:szCs w:val="20"/>
          <w:color w:val="231F20"/>
        </w:rPr>
      </w:pPr>
    </w:p>
    <w:p>
      <w:pPr>
        <w:ind w:left="1220" w:right="400" w:hanging="500"/>
        <w:spacing w:after="0" w:line="276" w:lineRule="auto"/>
        <w:tabs>
          <w:tab w:leader="none" w:pos="122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FDA audit of the preclinical study and/or clinical trial sites that generated the data in support of the NDA filing;</w:t>
      </w:r>
    </w:p>
    <w:p>
      <w:pPr>
        <w:spacing w:after="0" w:line="82" w:lineRule="exact"/>
        <w:rPr>
          <w:rFonts w:ascii="Arial" w:cs="Arial" w:eastAsia="Arial" w:hAnsi="Arial"/>
          <w:sz w:val="20"/>
          <w:szCs w:val="20"/>
          <w:color w:val="231F20"/>
        </w:rPr>
      </w:pPr>
    </w:p>
    <w:p>
      <w:pPr>
        <w:ind w:left="1220" w:right="140" w:hanging="500"/>
        <w:spacing w:after="0" w:line="276" w:lineRule="auto"/>
        <w:tabs>
          <w:tab w:leader="none" w:pos="122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FDA review and approval of the NDA, including consideration of the views of any FDA advisory committee, prior to any commercial marketing or sale of the drug in the United States; and</w:t>
      </w:r>
    </w:p>
    <w:p>
      <w:pPr>
        <w:spacing w:after="0" w:line="82" w:lineRule="exact"/>
        <w:rPr>
          <w:rFonts w:ascii="Arial" w:cs="Arial" w:eastAsia="Arial" w:hAnsi="Arial"/>
          <w:sz w:val="20"/>
          <w:szCs w:val="20"/>
          <w:color w:val="231F20"/>
        </w:rPr>
      </w:pPr>
    </w:p>
    <w:p>
      <w:pPr>
        <w:ind w:left="1220" w:right="120" w:hanging="500"/>
        <w:spacing w:after="0" w:line="249" w:lineRule="auto"/>
        <w:tabs>
          <w:tab w:leader="none" w:pos="122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compliance with any post-approval requirements, including the potential requirement to implement a Risk Evaluation and Mitigation Strategy (REMS), and the potential requirement to conduct post-approval studies. The data required to support an NDA are generated in two distinct developmental stages: preclinical and clinical. The preclinical and clinical testing and approval process requires substantial time, effort and financial resources, and we cannot be certain that any approvals for any current and future product candidates will be granted on a timely basis, or at all.</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Preclinical studies and IND/CTA</w:t>
      </w:r>
    </w:p>
    <w:p>
      <w:pPr>
        <w:spacing w:after="0" w:line="12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submission is a request for authorization from the FDA to administer an investigational product to humans, and must become effective before human clinical trials may begin.</w:t>
      </w:r>
    </w:p>
    <w:p>
      <w:pPr>
        <w:spacing w:after="0" w:line="197"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231F20"/>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submission. Some long-term preclinical testing, such as animal tests of reproductive adverse events and carcinogenicity, may continue after the IND submission is complete. An IND submission automatically becomes effective 30 days after receipt by the FDA, unless before that time the FDA raises concerns or questions related to one or more proposed clinical trials and places the trial on clinical hold. In such a case, the IND</w:t>
      </w:r>
    </w:p>
    <w:p>
      <w:pPr>
        <w:sectPr>
          <w:pgSz w:w="11880" w:h="15480" w:orient="portrait"/>
          <w:cols w:equalWidth="0" w:num="1">
            <w:col w:w="10780"/>
          </w:cols>
          <w:pgMar w:left="540" w:top="750" w:right="560" w:bottom="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10780"/>
          </w:cols>
          <w:pgMar w:left="540" w:top="750" w:right="560" w:bottom="0" w:gutter="0" w:footer="0" w:header="0"/>
          <w:type w:val="continuous"/>
        </w:sectPr>
      </w:pPr>
    </w:p>
    <w:bookmarkStart w:id="32" w:name="page33"/>
    <w:bookmarkEnd w:id="32"/>
    <w:p>
      <w:pPr>
        <w:ind w:right="20"/>
        <w:spacing w:after="0" w:line="277" w:lineRule="auto"/>
        <w:rPr>
          <w:sz w:val="20"/>
          <w:szCs w:val="20"/>
          <w:color w:val="auto"/>
        </w:rPr>
      </w:pPr>
      <w:r>
        <w:rPr>
          <w:rFonts w:ascii="Times New Roman" w:cs="Times New Roman" w:eastAsia="Times New Roman" w:hAnsi="Times New Roman"/>
          <w:sz w:val="20"/>
          <w:szCs w:val="20"/>
          <w:color w:val="231F20"/>
        </w:rPr>
        <w:t>sponsor and the FDA must resolve any outstanding concerns before the clinical trial can begin. As a result, submission of an IND may not result in the FDA allowing clinical trials to commence.</w:t>
      </w:r>
    </w:p>
    <w:p>
      <w:pPr>
        <w:spacing w:after="0" w:line="169" w:lineRule="exact"/>
        <w:rPr>
          <w:sz w:val="20"/>
          <w:szCs w:val="20"/>
          <w:color w:val="auto"/>
        </w:rPr>
      </w:pPr>
    </w:p>
    <w:p>
      <w:pPr>
        <w:ind w:right="620" w:firstLine="720"/>
        <w:spacing w:after="0" w:line="277" w:lineRule="auto"/>
        <w:rPr>
          <w:sz w:val="20"/>
          <w:szCs w:val="20"/>
          <w:color w:val="auto"/>
        </w:rPr>
      </w:pPr>
      <w:r>
        <w:rPr>
          <w:rFonts w:ascii="Times New Roman" w:cs="Times New Roman" w:eastAsia="Times New Roman" w:hAnsi="Times New Roman"/>
          <w:sz w:val="20"/>
          <w:szCs w:val="20"/>
          <w:color w:val="231F20"/>
        </w:rPr>
        <w:t>IND sponsors follow a process similar to an IND submission, review and approval when filing a CTA with regulatory agencies in other countries.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Clinical trials</w:t>
      </w:r>
    </w:p>
    <w:p>
      <w:pPr>
        <w:spacing w:after="0" w:line="12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submission.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must also approve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209"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231F20"/>
        </w:rPr>
        <w:t>A sponsor who wishes to conduct a clinical trial outside of the United States may, but need not, obtain FDA authorization to conduct the clinical trial under an IND submission. If a foreign clinical trial is not conducted under an IND submission, the sponsor may submit data from the clinical trial to the FDA in support of an NDA. The FDA will generally accept a well-designed and well-conducted foreign clinical trial not conducted under an IND submission if the trial was conducted in accordance with the ethical principles contained in the Declaration of Helsinki pursuant to 21 CFR 312.120(c)(4), incorporating the 1989 version of such declaration, or with the laws and regulations of the foreign regulatory authority where the trial was conducted, such as the European Medicines Agency (EMA), whichever provides greater protection of the human subjects, and with GCP and GMP requirements, and the FDA is able to validate the data through an onsite inspection, if deemed necessary, and the practice of medicine in the foreign country is consistent with the United States.</w:t>
      </w:r>
    </w:p>
    <w:p>
      <w:pPr>
        <w:spacing w:after="0" w:line="206"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Clinical trials in the United States generally are conducted in three sequential phases, known as Phase 1, Phase 2 and Phase 3, and may overlap.</w:t>
      </w:r>
    </w:p>
    <w:p>
      <w:pPr>
        <w:spacing w:after="0" w:line="64" w:lineRule="exact"/>
        <w:rPr>
          <w:sz w:val="20"/>
          <w:szCs w:val="20"/>
          <w:color w:val="auto"/>
        </w:rPr>
      </w:pPr>
    </w:p>
    <w:p>
      <w:pPr>
        <w:ind w:left="1220" w:right="480" w:hanging="500"/>
        <w:spacing w:after="0" w:line="258" w:lineRule="auto"/>
        <w:tabs>
          <w:tab w:leader="none" w:pos="122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99" w:lineRule="exact"/>
        <w:rPr>
          <w:rFonts w:ascii="Arial" w:cs="Arial" w:eastAsia="Arial" w:hAnsi="Arial"/>
          <w:sz w:val="20"/>
          <w:szCs w:val="20"/>
          <w:color w:val="231F20"/>
        </w:rPr>
      </w:pPr>
    </w:p>
    <w:p>
      <w:pPr>
        <w:ind w:left="1220" w:right="40" w:hanging="500"/>
        <w:spacing w:after="0" w:line="252" w:lineRule="auto"/>
        <w:tabs>
          <w:tab w:leader="none" w:pos="122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2 clinical trials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105" w:lineRule="exact"/>
        <w:rPr>
          <w:rFonts w:ascii="Arial" w:cs="Arial" w:eastAsia="Arial" w:hAnsi="Arial"/>
          <w:sz w:val="20"/>
          <w:szCs w:val="20"/>
          <w:color w:val="231F20"/>
        </w:rPr>
      </w:pPr>
    </w:p>
    <w:p>
      <w:pPr>
        <w:ind w:left="1220" w:right="20" w:hanging="500"/>
        <w:spacing w:after="0" w:line="249" w:lineRule="auto"/>
        <w:tabs>
          <w:tab w:leader="none" w:pos="122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08" w:lineRule="exact"/>
        <w:rPr>
          <w:rFonts w:ascii="Arial" w:cs="Arial" w:eastAsia="Arial" w:hAnsi="Arial"/>
          <w:sz w:val="20"/>
          <w:szCs w:val="20"/>
          <w:color w:val="231F20"/>
        </w:rPr>
      </w:pPr>
    </w:p>
    <w:p>
      <w:pPr>
        <w:ind w:left="1220" w:right="60" w:hanging="500"/>
        <w:spacing w:after="0" w:line="252" w:lineRule="auto"/>
        <w:tabs>
          <w:tab w:leader="none" w:pos="122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Post-approval trials, sometimes referred to as Phase 4 clinical trials, are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05" w:lineRule="exact"/>
        <w:rPr>
          <w:rFonts w:ascii="Arial" w:cs="Arial" w:eastAsia="Arial" w:hAnsi="Arial"/>
          <w:sz w:val="20"/>
          <w:szCs w:val="20"/>
          <w:color w:val="231F20"/>
        </w:rPr>
      </w:pPr>
    </w:p>
    <w:p>
      <w:pPr>
        <w:ind w:left="1220" w:right="220" w:hanging="500"/>
        <w:spacing w:after="0" w:line="247" w:lineRule="auto"/>
        <w:tabs>
          <w:tab w:leader="none" w:pos="122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Progress reports detailing the results of the clinical trials, among other information, must be submitted to the FDA at least annually. Sponsor is also responsible for submitting written IND safety reports, including reports of serious and unexpected suspected adverse events, findings from other studies suggesting a significant risk to humans exposed to the drug, findings from animal or in vitro testing that suggest a significant risk for human subjects and any clinically significant increase in the rate of a serious suspected adverse reaction over that listed in the protocol or investigator brochure.</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780"/>
          </w:cols>
          <w:pgMar w:left="540" w:top="750" w:right="560" w:bottom="0" w:gutter="0" w:footer="0" w:header="0"/>
          <w:type w:val="continuous"/>
        </w:sectPr>
      </w:pPr>
    </w:p>
    <w:bookmarkStart w:id="33" w:name="page34"/>
    <w:bookmarkEnd w:id="33"/>
    <w:p>
      <w:pPr>
        <w:ind w:left="1220" w:hanging="500"/>
        <w:spacing w:after="0" w:line="245" w:lineRule="auto"/>
        <w:tabs>
          <w:tab w:leader="none" w:pos="12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13" w:lineRule="exact"/>
        <w:rPr>
          <w:rFonts w:ascii="Arial" w:cs="Arial" w:eastAsia="Arial" w:hAnsi="Arial"/>
          <w:sz w:val="20"/>
          <w:szCs w:val="20"/>
          <w:color w:val="231F20"/>
        </w:rPr>
      </w:pPr>
    </w:p>
    <w:p>
      <w:pPr>
        <w:ind w:left="1220" w:right="200" w:hanging="500"/>
        <w:spacing w:after="0" w:line="246" w:lineRule="auto"/>
        <w:tabs>
          <w:tab w:leader="none" w:pos="122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Concurrent with clinical trials, companies usually complete additional animal safety studies and also must develop additional information about the chemistry and physical characteristics of the drug as well as finalize a process for manufacturing the product in commercial quantities in accordance with cGMP requirements. The manufacturing process, as performed by the manufacturing facility, must be capable of consistently producing quality batches of our product candidates. Additionally, appropriate packaging must be selected and tested, and stability studies must be conducted to demonstrate that our product candidates do not undergo unacceptable deterioration over their labeled shelf life.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NDA review process</w:t>
      </w:r>
    </w:p>
    <w:p>
      <w:pPr>
        <w:spacing w:after="0" w:line="12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Following completion of the clinical trials, data is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to ensure product quality and other relevant data. In short, the NDA is a request for approval to market the drug in the United States for one or more specified indications and must contain proof of safety and efficacy for a drug.</w:t>
      </w:r>
    </w:p>
    <w:p>
      <w:pPr>
        <w:spacing w:after="0" w:line="197"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legally marketed in the United States.</w:t>
      </w:r>
    </w:p>
    <w:p>
      <w:pPr>
        <w:spacing w:after="0" w:line="197"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Under the Prescription Drug User Fee Act of 1992, as amended (PDUFA), each NDA must be accompanied by a user fee. FDA adjusts the PDUFA user fees on an annual basis. PDUFA also imposes an annual program fee for each marketed human drug.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In November 2023, the FDA issued a guidance on Real-Time Oncology Review, which allows applicants to provide the FDA with earlier access to critical efficacy and safety data, which can help streamline the review process and to potentially enable earlier FDA feedback to the applicant, including earlier feedback on data quality and potential review issues.</w:t>
      </w:r>
    </w:p>
    <w:p>
      <w:pPr>
        <w:spacing w:after="0" w:line="200"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231F20"/>
        </w:rPr>
        <w:t>The FDA reviews all submitted NDAs before it accepts them for filing, and may request additional information rather than accepting the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of a new molecular-entity NDA, and six months from the filing date of a new molecular-entity NDA designated for priority review, to complete its initial review and respond to the applicant. The FDA does not always meet its PDUFA goal dates for standard and priority NDAs, and the review process is often extended by FDA requests for additional information or clarification.</w:t>
      </w:r>
    </w:p>
    <w:p>
      <w:pPr>
        <w:spacing w:after="0" w:line="200" w:lineRule="exact"/>
        <w:rPr>
          <w:sz w:val="20"/>
          <w:szCs w:val="20"/>
          <w:color w:val="auto"/>
        </w:rPr>
      </w:pPr>
    </w:p>
    <w:p>
      <w:pPr>
        <w:ind w:right="40" w:firstLine="720"/>
        <w:spacing w:after="0" w:line="257" w:lineRule="auto"/>
        <w:rPr>
          <w:sz w:val="20"/>
          <w:szCs w:val="20"/>
          <w:color w:val="auto"/>
        </w:rPr>
      </w:pPr>
      <w:r>
        <w:rPr>
          <w:rFonts w:ascii="Times New Roman" w:cs="Times New Roman" w:eastAsia="Times New Roman" w:hAnsi="Times New Roman"/>
          <w:sz w:val="19"/>
          <w:szCs w:val="19"/>
          <w:color w:val="231F20"/>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w:t>
      </w:r>
    </w:p>
    <w:p>
      <w:pPr>
        <w:sectPr>
          <w:pgSz w:w="11880" w:h="15480" w:orient="portrait"/>
          <w:cols w:equalWidth="0" w:num="1">
            <w:col w:w="10800"/>
          </w:cols>
          <w:pgMar w:left="540" w:top="764" w:right="540" w:bottom="0"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800"/>
          </w:cols>
          <w:pgMar w:left="540" w:top="764" w:right="540" w:bottom="0" w:gutter="0" w:footer="0" w:header="0"/>
          <w:type w:val="continuous"/>
        </w:sectPr>
      </w:pPr>
    </w:p>
    <w:bookmarkStart w:id="34" w:name="page35"/>
    <w:bookmarkEnd w:id="34"/>
    <w:p>
      <w:pPr>
        <w:ind w:right="180"/>
        <w:spacing w:after="0" w:line="247" w:lineRule="auto"/>
        <w:rPr>
          <w:sz w:val="20"/>
          <w:szCs w:val="20"/>
          <w:color w:val="auto"/>
        </w:rPr>
      </w:pPr>
      <w:r>
        <w:rPr>
          <w:rFonts w:ascii="Times New Roman" w:cs="Times New Roman" w:eastAsia="Times New Roman" w:hAnsi="Times New Roman"/>
          <w:sz w:val="20"/>
          <w:szCs w:val="20"/>
          <w:color w:val="231F20"/>
        </w:rPr>
        <w:t>response letter usually describes all of the specific deficiencies in the NDA identified by the FDA. The complete response letter may require additional clinical data, additional pivotal Phase 3 clinical trial(s) and/or other significant and time-consuming requirements related to clinical trials, preclinical studies and/or manufacturing.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Orphan drugs</w:t>
      </w:r>
    </w:p>
    <w:p>
      <w:pPr>
        <w:spacing w:after="0" w:line="120"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231F20"/>
        </w:rPr>
        <w:t>Under the Orphan Drug Act of 1983, as amended (ODA),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97"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231F20"/>
        </w:rPr>
        <w:t>Orphan drug designation must be requested before submitting an NDA. After the FDA grants orphan drug designation, it discloses the identity of the therapeutic agent and its potential orphan use. Orphan drug designation does not convey any advantage in or shorten the duration of the regulatory review and approval process.</w:t>
      </w:r>
    </w:p>
    <w:p>
      <w:pPr>
        <w:spacing w:after="0" w:line="188"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 xml:space="preserve">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the latter of which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In response to the court decision in </w:t>
      </w:r>
      <w:r>
        <w:rPr>
          <w:rFonts w:ascii="Times New Roman" w:cs="Times New Roman" w:eastAsia="Times New Roman" w:hAnsi="Times New Roman"/>
          <w:sz w:val="20"/>
          <w:szCs w:val="20"/>
          <w:i w:val="1"/>
          <w:iCs w:val="1"/>
          <w:color w:val="231F20"/>
        </w:rPr>
        <w:t>Catalyst Pharms., Inc. v. Becerra</w:t>
      </w:r>
      <w:r>
        <w:rPr>
          <w:rFonts w:ascii="Times New Roman" w:cs="Times New Roman" w:eastAsia="Times New Roman" w:hAnsi="Times New Roman"/>
          <w:sz w:val="20"/>
          <w:szCs w:val="20"/>
          <w:color w:val="231F20"/>
        </w:rPr>
        <w:t xml:space="preserve">, 14 F.4th 1299 (11th Cir. 2021), in January 2023, the FDA published a notice in the Federal Register to clarify that while the agency complies with the court’s order in </w:t>
      </w:r>
      <w:r>
        <w:rPr>
          <w:rFonts w:ascii="Times New Roman" w:cs="Times New Roman" w:eastAsia="Times New Roman" w:hAnsi="Times New Roman"/>
          <w:sz w:val="20"/>
          <w:szCs w:val="20"/>
          <w:i w:val="1"/>
          <w:iCs w:val="1"/>
          <w:color w:val="231F20"/>
        </w:rPr>
        <w:t>Catalyst</w:t>
      </w:r>
      <w:r>
        <w:rPr>
          <w:rFonts w:ascii="Times New Roman" w:cs="Times New Roman" w:eastAsia="Times New Roman" w:hAnsi="Times New Roman"/>
          <w:sz w:val="20"/>
          <w:szCs w:val="20"/>
          <w:color w:val="231F20"/>
        </w:rPr>
        <w:t xml:space="preserve">, the FDA intends to continue to apply its longstanding interpretation of the regulations to matters outside of the scope of the </w:t>
      </w:r>
      <w:r>
        <w:rPr>
          <w:rFonts w:ascii="Times New Roman" w:cs="Times New Roman" w:eastAsia="Times New Roman" w:hAnsi="Times New Roman"/>
          <w:sz w:val="20"/>
          <w:szCs w:val="20"/>
          <w:i w:val="1"/>
          <w:iCs w:val="1"/>
          <w:color w:val="231F20"/>
        </w:rPr>
        <w:t>Catalyst</w:t>
      </w:r>
      <w:r>
        <w:rPr>
          <w:rFonts w:ascii="Times New Roman" w:cs="Times New Roman" w:eastAsia="Times New Roman" w:hAnsi="Times New Roman"/>
          <w:sz w:val="20"/>
          <w:szCs w:val="20"/>
          <w:color w:val="231F20"/>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If one of our products designated as an orphan drug receives marketing approval for an indication broader than that which is designated, it may not be entitled to orphan drug exclusivity. Orphan drug status in the European Union (EU) has similar, but not identical, requirements and benefits.</w:t>
      </w:r>
    </w:p>
    <w:p>
      <w:pPr>
        <w:spacing w:after="0" w:line="206"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231F20"/>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of the FDA, including the FDA’s statutory interpretations of market exclusivities and the “substantial evidence” requirements for drug approvals, which could undermine the FDA’s authority, lead to uncertainty in the industry, and disrupt the FDA’s normal operations. Changes in the leadership of the FDA and other federal agencies under the new Trump administration can result in changes in the funding, operations, and policies of the FDA and other federal agencies, which may impact our clinical development plans and timelines.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Expedited development and review programs</w:t>
      </w:r>
    </w:p>
    <w:p>
      <w:pPr>
        <w:spacing w:after="0" w:line="120"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231F20"/>
        </w:rPr>
        <w:t>The FDA has a fast-track program that is intended to expedite or facilitate the process of reviewing new drugs that meet certain criteria. Specifically, new drugs are eligible for fast-track designation if they are intended to treat a serious or life-threatening condition and preclinical or clinical data demonstrate the potential to address unmet medical needs for the condition. Fast-track designation applies to both the product and the specific indication for which it is being studied. The sponsor can request the FDA to designate the product for fast-track status any time before receiving NDA approval, but ideally no later than the pre-NDA meeting with the FDA.</w:t>
      </w:r>
    </w:p>
    <w:p>
      <w:pPr>
        <w:spacing w:after="0" w:line="200"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Any product submitted to the FDA for marketing, including under a fast-track program, may be eligible for other types of FDA programs intended to expedite development and review, such as priority review and accelerated approval. Any product is eligible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800"/>
          </w:cols>
          <w:pgMar w:left="540" w:top="750" w:right="540" w:bottom="0" w:gutter="0" w:footer="0" w:header="0"/>
          <w:type w:val="continuous"/>
        </w:sectPr>
      </w:pPr>
    </w:p>
    <w:bookmarkStart w:id="35" w:name="page36"/>
    <w:bookmarkEnd w:id="35"/>
    <w:p>
      <w:pPr>
        <w:ind w:right="440"/>
        <w:spacing w:after="0" w:line="277" w:lineRule="auto"/>
        <w:rPr>
          <w:sz w:val="20"/>
          <w:szCs w:val="20"/>
          <w:color w:val="auto"/>
        </w:rPr>
      </w:pPr>
      <w:r>
        <w:rPr>
          <w:rFonts w:ascii="Times New Roman" w:cs="Times New Roman" w:eastAsia="Times New Roman" w:hAnsi="Times New Roman"/>
          <w:sz w:val="20"/>
          <w:szCs w:val="20"/>
          <w:color w:val="231F20"/>
        </w:rPr>
        <w:t>for priority review if it treats a serious or life-threatening condition and, if approved, would provide a significant improvement in safety and effectiveness compared to available therapies.</w:t>
      </w:r>
    </w:p>
    <w:p>
      <w:pPr>
        <w:spacing w:after="0" w:line="169"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231F20"/>
        </w:rPr>
        <w:t>A product may also be eligible for accelerated approval if it treats a serious or life-threatening condition and generally provides a meaningful advantage over available therapies. In addition, such product must demonstrate an effect on a surrogate endpoint that is reasonably likely to predict clinical benefit or on a clinical endpoint that can be measured earlier than irreversible morbidity or mortality (IMM), which endpoint is reasonably likely to predict an effect on IMM or other clinical benefit. As a condition of approval, the FDA may require that a sponsor of a drug receiving accelerated approval perform adequate and well-controlled post-marketing clinical trials. FDA may withdraw drug approval or require changes to the labeled indication of the drug if confirmatory post-market trials fail to verify clinical benefit or do not demonstrate sufficient clinical benefit to justify the risks associated with the drug. If the FDA concludes that a drug shown to be effective can be safely used only if distribution or use is restricted, it may require such post-marketing restrictions as it deems necessary to assure safe use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203"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231F20"/>
        </w:rPr>
        <w:t>Additionally, a drug may be eligible for designation as a breakthrough therapy if (a) the product is intended, alone or in combination with one or more other drugs or biologics, to treat a serious or life-threatening condition and (b)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Fast-track designation, priority review, accelerated approval and breakthrough therapy designation do not change the standards for approval, but may expedite the development or approval process.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Post-approval requirements</w:t>
      </w:r>
    </w:p>
    <w:p>
      <w:pPr>
        <w:spacing w:after="0" w:line="120"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231F20"/>
        </w:rPr>
        <w:t>Following approval of a new product, the manufacturer and the approved product are subject to continuing regulation by the FDA, including, among other things, monitoring and record- keeping requirements, requirements to report adverse events and comply with promotion and advertising requirements, which include restrictions on promoting drugs for unapproved uses or patient populations, known as “off-label promotion,”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206"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231F20"/>
        </w:rPr>
        <w:t>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 Further, according to draft guidance issued by the FDA in August 2023, if the FDA finds that the clinical data used to support approval do not sufficiently represent the diversity of the real-world patient population, the FDA may require additional data on underrepresented populations post-approval, including as a post-marketing requirement, or the FDA may enter into a written agreement with the applicant to collect additional data as a post-marketing commitment.</w:t>
      </w:r>
    </w:p>
    <w:p>
      <w:pPr>
        <w:spacing w:after="0" w:line="206"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4" w:lineRule="exact"/>
        <w:rPr>
          <w:sz w:val="20"/>
          <w:szCs w:val="20"/>
          <w:color w:val="auto"/>
        </w:rPr>
      </w:pPr>
    </w:p>
    <w:p>
      <w:pPr>
        <w:ind w:left="1080" w:right="220" w:hanging="360"/>
        <w:spacing w:after="0" w:line="276" w:lineRule="auto"/>
        <w:tabs>
          <w:tab w:leader="none" w:pos="10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the marketing or manufacturing of the product, complete withdrawal of the product from the market, or product recalls;</w:t>
      </w:r>
    </w:p>
    <w:p>
      <w:pPr>
        <w:spacing w:after="0" w:line="82" w:lineRule="exact"/>
        <w:rPr>
          <w:rFonts w:ascii="Arial" w:cs="Arial" w:eastAsia="Arial" w:hAnsi="Arial"/>
          <w:sz w:val="20"/>
          <w:szCs w:val="20"/>
          <w:color w:val="231F20"/>
        </w:rPr>
      </w:pPr>
    </w:p>
    <w:p>
      <w:pPr>
        <w:ind w:left="1080" w:hanging="360"/>
        <w:spacing w:after="0"/>
        <w:tabs>
          <w:tab w:leader="none" w:pos="10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fines, warning letters, or holds on post-approval clinical studies;</w:t>
      </w:r>
    </w:p>
    <w:p>
      <w:pPr>
        <w:spacing w:after="0" w:line="151" w:lineRule="exact"/>
        <w:rPr>
          <w:rFonts w:ascii="Arial" w:cs="Arial" w:eastAsia="Arial" w:hAnsi="Arial"/>
          <w:sz w:val="20"/>
          <w:szCs w:val="20"/>
          <w:color w:val="231F20"/>
        </w:rPr>
      </w:pPr>
    </w:p>
    <w:p>
      <w:pPr>
        <w:ind w:left="1080" w:hanging="360"/>
        <w:spacing w:after="0"/>
        <w:tabs>
          <w:tab w:leader="none" w:pos="10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refusal of the FDA to approve pending applications or supplements to approved applications;</w:t>
      </w:r>
    </w:p>
    <w:p>
      <w:pPr>
        <w:sectPr>
          <w:pgSz w:w="11880" w:h="15480" w:orient="portrait"/>
          <w:cols w:equalWidth="0" w:num="1">
            <w:col w:w="10760"/>
          </w:cols>
          <w:pgMar w:left="540" w:top="750" w:right="580" w:bottom="0" w:gutter="0" w:footer="0" w:header="0"/>
        </w:sect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760"/>
          </w:cols>
          <w:pgMar w:left="540" w:top="750" w:right="580" w:bottom="0" w:gutter="0" w:footer="0" w:header="0"/>
          <w:type w:val="continuous"/>
        </w:sectPr>
      </w:pPr>
    </w:p>
    <w:bookmarkStart w:id="36" w:name="page37"/>
    <w:bookmarkEnd w:id="36"/>
    <w:p>
      <w:pPr>
        <w:ind w:left="1080" w:hanging="360"/>
        <w:spacing w:after="0"/>
        <w:tabs>
          <w:tab w:leader="none" w:pos="10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suspension or revocation of product approvals;</w:t>
      </w:r>
    </w:p>
    <w:p>
      <w:pPr>
        <w:spacing w:after="0" w:line="133" w:lineRule="exact"/>
        <w:rPr>
          <w:rFonts w:ascii="Arial" w:cs="Arial" w:eastAsia="Arial" w:hAnsi="Arial"/>
          <w:sz w:val="20"/>
          <w:szCs w:val="20"/>
          <w:color w:val="231F20"/>
        </w:rPr>
      </w:pPr>
    </w:p>
    <w:p>
      <w:pPr>
        <w:ind w:left="1080" w:hanging="360"/>
        <w:spacing w:after="0"/>
        <w:tabs>
          <w:tab w:leader="none" w:pos="10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seizure or detention;</w:t>
      </w:r>
    </w:p>
    <w:p>
      <w:pPr>
        <w:spacing w:after="0" w:line="151" w:lineRule="exact"/>
        <w:rPr>
          <w:rFonts w:ascii="Arial" w:cs="Arial" w:eastAsia="Arial" w:hAnsi="Arial"/>
          <w:sz w:val="20"/>
          <w:szCs w:val="20"/>
          <w:color w:val="231F20"/>
        </w:rPr>
      </w:pPr>
    </w:p>
    <w:p>
      <w:pPr>
        <w:ind w:left="1080" w:hanging="360"/>
        <w:spacing w:after="0"/>
        <w:tabs>
          <w:tab w:leader="none" w:pos="10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refusal to permit the import or export of products; or</w:t>
      </w:r>
    </w:p>
    <w:p>
      <w:pPr>
        <w:spacing w:after="0" w:line="151" w:lineRule="exact"/>
        <w:rPr>
          <w:rFonts w:ascii="Arial" w:cs="Arial" w:eastAsia="Arial" w:hAnsi="Arial"/>
          <w:sz w:val="20"/>
          <w:szCs w:val="20"/>
          <w:color w:val="231F20"/>
        </w:rPr>
      </w:pPr>
    </w:p>
    <w:p>
      <w:pPr>
        <w:ind w:left="1080" w:hanging="360"/>
        <w:spacing w:after="0"/>
        <w:tabs>
          <w:tab w:leader="none" w:pos="10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injunctions or the imposition of civil or criminal penalties.</w:t>
      </w:r>
    </w:p>
    <w:p>
      <w:pPr>
        <w:spacing w:after="0" w:line="239"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231F20"/>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FDA regulation of companion diagnostics</w:t>
      </w:r>
    </w:p>
    <w:p>
      <w:pPr>
        <w:spacing w:after="0" w:line="12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A therapeutic product may rely upon an in vitro companion diagnostic for use in selecting the patients that will be more likely to respond to that therapy. If an in vitro diagnostic is essential to the safe and effective use of the therapeutic product and if the manufacturer wishes to market or distribute such diagnostic for use as a companion diagnostic, then the FDA will require separate approval or clearance of the diagnostic as a companion diagnostic to the therapeutic product. According to FDA guidance, an unapproved or uncleared companion diagnostic device used to make treatment decisions in clinical trials of a drug generally will be considered an investigational medical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The sponsor of the diagnostic device will be required to comply with the IDE regulations for clinical studies involving the investigational diagnostic device. According to the guidance, if a diagnostic device and a drug are to be studied together to support their respective approvals, both products can be studied in the same clinical trial, if the trial meets both the requirements of the IDE regulations and the IND regulations. The guidance provides that depending on the details of the clinical trial protocol, the investigational product(s), and subjects involved, a sponsor may seek to submit an IDE alone (e.g., if the drug has already been approved by FDA and is used consistent with its approved labeling), or both an IND and an IDE.</w:t>
      </w:r>
    </w:p>
    <w:p>
      <w:pPr>
        <w:spacing w:after="0" w:line="213"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231F20"/>
        </w:rPr>
        <w:t>Pursuing FDA approval/clearance of an in vitro companion diagnostic would require either a pre-market notification, also called 510(k) clearance, or a pre-market approval (PMA) or a de novo classification for that diagnostic. The review of companion diagnostics involves coordination of review with the FDA’s Center for Devices and Radiological Health. In May 2024, the FDA issued guidance on a voluntary pilot program on oncology drug products used with certain in vitro diagnostic tests, which is intended to provide greater transparency regarding the minimum performance characteristics necessary for certain oncology diagnostic tests. In October 2023, the FDA issued a final rule that phases out its enforcement discretion for most laboratory-developed tests (LDTs) and to amend the FDA’s regulations to make explicit that in vitro diagnostics are medical devices under the Federal Food, Drug, and Cosmetic Act, including when the manufacturer of the diagnostic product is a laboratory. On March 31, 2025, the U.S. District Court for the Eastern District of Texas vacated and set aside the FDA LDT Final Rule in its entirety.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510(k) clearance process</w:t>
      </w:r>
    </w:p>
    <w:p>
      <w:pPr>
        <w:spacing w:after="0" w:line="118"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200" w:lineRule="exact"/>
        <w:rPr>
          <w:sz w:val="20"/>
          <w:szCs w:val="20"/>
          <w:color w:val="auto"/>
        </w:rPr>
      </w:pPr>
    </w:p>
    <w:p>
      <w:pPr>
        <w:jc w:val="both"/>
        <w:ind w:right="120" w:firstLine="720"/>
        <w:spacing w:after="0" w:line="252" w:lineRule="auto"/>
        <w:rPr>
          <w:sz w:val="20"/>
          <w:szCs w:val="20"/>
          <w:color w:val="auto"/>
        </w:rPr>
      </w:pPr>
      <w:r>
        <w:rPr>
          <w:rFonts w:ascii="Times New Roman" w:cs="Times New Roman" w:eastAsia="Times New Roman" w:hAnsi="Times New Roman"/>
          <w:sz w:val="20"/>
          <w:szCs w:val="20"/>
          <w:color w:val="231F20"/>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 novo classification process</w:t>
      </w:r>
    </w:p>
    <w:p>
      <w:pPr>
        <w:spacing w:after="0" w:line="118"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color w:val="231F20"/>
        </w:rPr>
        <w:t>If a new medical device does not qualify for the 510(k) pre-market notification process because no predicate device to which it is substantially equivalent can be identified, the device is automatically classified into Class III. The Food and Drug Administration</w:t>
      </w:r>
    </w:p>
    <w:p>
      <w:pPr>
        <w:sectPr>
          <w:pgSz w:w="11880" w:h="15480" w:orient="portrait"/>
          <w:cols w:equalWidth="0" w:num="1">
            <w:col w:w="10800"/>
          </w:cols>
          <w:pgMar w:left="540" w:top="902" w:right="540" w:bottom="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800"/>
          </w:cols>
          <w:pgMar w:left="540" w:top="902" w:right="540" w:bottom="0" w:gutter="0" w:footer="0" w:header="0"/>
          <w:type w:val="continuous"/>
        </w:sectPr>
      </w:pPr>
    </w:p>
    <w:bookmarkStart w:id="37" w:name="page38"/>
    <w:bookmarkEnd w:id="37"/>
    <w:p>
      <w:pPr>
        <w:ind w:right="60"/>
        <w:spacing w:after="0" w:line="244" w:lineRule="auto"/>
        <w:rPr>
          <w:sz w:val="20"/>
          <w:szCs w:val="20"/>
          <w:color w:val="auto"/>
        </w:rPr>
      </w:pPr>
      <w:r>
        <w:rPr>
          <w:rFonts w:ascii="Times New Roman" w:cs="Times New Roman" w:eastAsia="Times New Roman" w:hAnsi="Times New Roman"/>
          <w:sz w:val="20"/>
          <w:szCs w:val="20"/>
          <w:color w:val="231F20"/>
        </w:rPr>
        <w:t>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206" w:lineRule="exact"/>
        <w:rPr>
          <w:sz w:val="20"/>
          <w:szCs w:val="20"/>
          <w:color w:val="auto"/>
        </w:rPr>
      </w:pPr>
    </w:p>
    <w:p>
      <w:pPr>
        <w:ind w:right="460" w:firstLine="720"/>
        <w:spacing w:after="0" w:line="277" w:lineRule="auto"/>
        <w:rPr>
          <w:sz w:val="20"/>
          <w:szCs w:val="20"/>
          <w:color w:val="auto"/>
        </w:rPr>
      </w:pPr>
      <w:r>
        <w:rPr>
          <w:rFonts w:ascii="Times New Roman" w:cs="Times New Roman" w:eastAsia="Times New Roman" w:hAnsi="Times New Roman"/>
          <w:sz w:val="20"/>
          <w:szCs w:val="20"/>
          <w:color w:val="231F20"/>
        </w:rPr>
        <w:t>Obtaining FDA marketing authorization, de novo down-classification, or approval for medical devices is expensive and uncertain, and may take several years, and generally requires significant scientific and clinical data.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PMA process</w:t>
      </w:r>
    </w:p>
    <w:p>
      <w:pPr>
        <w:spacing w:after="0" w:line="110" w:lineRule="exact"/>
        <w:rPr>
          <w:sz w:val="20"/>
          <w:szCs w:val="20"/>
          <w:color w:val="auto"/>
        </w:rPr>
      </w:pPr>
    </w:p>
    <w:p>
      <w:pPr>
        <w:ind w:firstLine="720"/>
        <w:spacing w:after="0" w:line="233" w:lineRule="auto"/>
        <w:rPr>
          <w:sz w:val="20"/>
          <w:szCs w:val="20"/>
          <w:color w:val="auto"/>
        </w:rPr>
      </w:pPr>
      <w:r>
        <w:rPr>
          <w:rFonts w:ascii="Times New Roman" w:cs="Times New Roman" w:eastAsia="Times New Roman" w:hAnsi="Times New Roman"/>
          <w:sz w:val="20"/>
          <w:szCs w:val="20"/>
          <w:color w:val="231F20"/>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As part of the PMA review, the FDA will typically inspect the manufacturer’s facilities for compliance with the Quality System Regulation (QSR) which imposes extensive testing, control, documentation, and other quality assurance and GMP requirements.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The FDA will begin to enforce the QMSR requirements upon the effective date, February 2, 2026.</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U.S. regulatory matters</w:t>
      </w:r>
    </w:p>
    <w:p>
      <w:pPr>
        <w:spacing w:after="0" w:line="111" w:lineRule="exact"/>
        <w:rPr>
          <w:sz w:val="20"/>
          <w:szCs w:val="20"/>
          <w:color w:val="auto"/>
        </w:rPr>
      </w:pPr>
    </w:p>
    <w:p>
      <w:pPr>
        <w:ind w:right="220" w:firstLine="720"/>
        <w:spacing w:after="0" w:line="239" w:lineRule="auto"/>
        <w:rPr>
          <w:sz w:val="20"/>
          <w:szCs w:val="20"/>
          <w:color w:val="auto"/>
        </w:rPr>
      </w:pPr>
      <w:r>
        <w:rPr>
          <w:rFonts w:ascii="Times New Roman" w:cs="Times New Roman" w:eastAsia="Times New Roman" w:hAnsi="Times New Roman"/>
          <w:sz w:val="20"/>
          <w:szCs w:val="20"/>
          <w:color w:val="231F20"/>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state and foreign healthcare and healthcare-related laws and regulations, including information-sharing rules that may affect our ability to operate include, but are not limited to:</w:t>
      </w:r>
    </w:p>
    <w:p>
      <w:pPr>
        <w:spacing w:after="0" w:line="92" w:lineRule="exact"/>
        <w:rPr>
          <w:sz w:val="20"/>
          <w:szCs w:val="20"/>
          <w:color w:val="auto"/>
        </w:rPr>
      </w:pPr>
    </w:p>
    <w:p>
      <w:pPr>
        <w:ind w:left="1080" w:right="20" w:hanging="360"/>
        <w:spacing w:after="0" w:line="235" w:lineRule="auto"/>
        <w:tabs>
          <w:tab w:leader="none" w:pos="10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Anti-Kickback Statute (AKS),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of 2010, as amended by the Health Care and Education Reconciliation Act of 2010 (collectively, ACA), provides that the government may assert that a claim including items or services resulting from a violation of the federal AKS constitutes a false or fraudulent claim for purposes of the civil False Claims Act of 1863 (FCA);</w:t>
      </w:r>
    </w:p>
    <w:p>
      <w:pPr>
        <w:spacing w:after="0" w:line="121" w:lineRule="exact"/>
        <w:rPr>
          <w:rFonts w:ascii="Arial" w:cs="Arial" w:eastAsia="Arial" w:hAnsi="Arial"/>
          <w:sz w:val="20"/>
          <w:szCs w:val="20"/>
          <w:color w:val="231F20"/>
        </w:rPr>
      </w:pPr>
    </w:p>
    <w:p>
      <w:pPr>
        <w:ind w:left="1080" w:hanging="360"/>
        <w:spacing w:after="0" w:line="249" w:lineRule="auto"/>
        <w:tabs>
          <w:tab w:leader="none" w:pos="10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false claims, including the civil FCA that can be enforced by private citizens through civil whistleblower or qui tam actions, and civil monetary penalties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108" w:lineRule="exact"/>
        <w:rPr>
          <w:rFonts w:ascii="Arial" w:cs="Arial" w:eastAsia="Arial" w:hAnsi="Arial"/>
          <w:sz w:val="20"/>
          <w:szCs w:val="20"/>
          <w:color w:val="231F20"/>
        </w:rPr>
      </w:pPr>
    </w:p>
    <w:p>
      <w:pPr>
        <w:ind w:left="1080" w:right="520" w:hanging="360"/>
        <w:spacing w:after="0" w:line="258" w:lineRule="auto"/>
        <w:tabs>
          <w:tab w:leader="none" w:pos="10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99" w:lineRule="exact"/>
        <w:rPr>
          <w:rFonts w:ascii="Arial" w:cs="Arial" w:eastAsia="Arial" w:hAnsi="Arial"/>
          <w:sz w:val="20"/>
          <w:szCs w:val="20"/>
          <w:color w:val="231F20"/>
        </w:rPr>
      </w:pPr>
    </w:p>
    <w:p>
      <w:pPr>
        <w:ind w:left="1080" w:right="320" w:hanging="360"/>
        <w:spacing w:after="0" w:line="249" w:lineRule="auto"/>
        <w:tabs>
          <w:tab w:leader="none" w:pos="10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HIPAA, as amended by the Health Information Technology for Economic and Clinical Health Act of 2009,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760"/>
          </w:cols>
          <w:pgMar w:left="540" w:top="750" w:right="580" w:bottom="0" w:gutter="0" w:footer="0" w:header="0"/>
          <w:type w:val="continuous"/>
        </w:sectPr>
      </w:pPr>
    </w:p>
    <w:bookmarkStart w:id="38" w:name="page39"/>
    <w:bookmarkEnd w:id="38"/>
    <w:p>
      <w:pPr>
        <w:ind w:left="1080" w:right="60" w:hanging="360"/>
        <w:spacing w:after="0" w:line="246" w:lineRule="auto"/>
        <w:tabs>
          <w:tab w:leader="none" w:pos="10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certain payments and other transfers of value to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111" w:lineRule="exact"/>
        <w:rPr>
          <w:rFonts w:ascii="Arial" w:cs="Arial" w:eastAsia="Arial" w:hAnsi="Arial"/>
          <w:sz w:val="20"/>
          <w:szCs w:val="20"/>
          <w:color w:val="231F20"/>
        </w:rPr>
      </w:pPr>
    </w:p>
    <w:p>
      <w:pPr>
        <w:ind w:left="1080" w:right="200" w:hanging="360"/>
        <w:spacing w:after="0" w:line="245" w:lineRule="auto"/>
        <w:tabs>
          <w:tab w:leader="none" w:pos="10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and require the registration of their sales representatives, state laws that require biotechnology companies to report information on the pricing of certain drug products; and</w:t>
      </w:r>
    </w:p>
    <w:p>
      <w:pPr>
        <w:spacing w:after="0" w:line="95" w:lineRule="exact"/>
        <w:rPr>
          <w:rFonts w:ascii="Arial" w:cs="Arial" w:eastAsia="Arial" w:hAnsi="Arial"/>
          <w:sz w:val="20"/>
          <w:szCs w:val="20"/>
          <w:color w:val="231F20"/>
        </w:rPr>
      </w:pPr>
    </w:p>
    <w:p>
      <w:pPr>
        <w:ind w:left="1080" w:hanging="360"/>
        <w:spacing w:after="0" w:line="245" w:lineRule="auto"/>
        <w:tabs>
          <w:tab w:leader="none" w:pos="10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state and foreign laws and regulations that govern the privacy and security of health-related information in some circumstances (such as Washington's My Health, My Data Act, which, among other things, provides for a private right of action, and other state laws governing privacy and security of health-related information), many of which differ from each other in significant ways and often are not preempted by HIPAA, thus complicating compliance efforts, and other legal and regulatory obligations applicable to the use, disclosure, and other processing of health-related information relating to individuals (such as a final rule issued by the U.S. Department of Justice that took effect in April 2025 and places limitations, and in some cases prohibitions, on certain transfers of sensitive personal data to business partners located in China or with other specified links to China and other designated countries).</w:t>
      </w:r>
    </w:p>
    <w:p>
      <w:pPr>
        <w:spacing w:after="0" w:line="201"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231F20"/>
        </w:rPr>
        <w:t>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In addition, the distribution of pharmaceutical and/or medical device products is subject to additional requirements and regulations, including extensive record-keeping, licensing, storage and security requirements intended to prevent the unauthorized sale of pharmaceutical and/or medical device products. Products must meet applicable child-resistant packaging requirements under the U.S. Poison Prevention Packaging Act of 1970 as well as other applicable consumer safety requirements.</w:t>
      </w:r>
    </w:p>
    <w:p>
      <w:pPr>
        <w:spacing w:after="0" w:line="202"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231F20"/>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U.S. patent-term restoration and marketing exclusivity</w:t>
      </w:r>
    </w:p>
    <w:p>
      <w:pPr>
        <w:spacing w:after="0" w:line="120"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231F20"/>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spacing w:after="0" w:line="206" w:lineRule="exact"/>
        <w:rPr>
          <w:sz w:val="20"/>
          <w:szCs w:val="20"/>
          <w:color w:val="auto"/>
        </w:rPr>
      </w:pPr>
    </w:p>
    <w:p>
      <w:pPr>
        <w:ind w:right="160" w:firstLine="720"/>
        <w:spacing w:after="0" w:line="277" w:lineRule="auto"/>
        <w:rPr>
          <w:sz w:val="20"/>
          <w:szCs w:val="20"/>
          <w:color w:val="auto"/>
        </w:rPr>
      </w:pPr>
      <w:r>
        <w:rPr>
          <w:rFonts w:ascii="Times New Roman" w:cs="Times New Roman" w:eastAsia="Times New Roman" w:hAnsi="Times New Roman"/>
          <w:sz w:val="20"/>
          <w:szCs w:val="20"/>
          <w:color w:val="231F20"/>
        </w:rPr>
        <w:t>Market exclusivity provisions under the FDCA also can delay the submission or the approval of certain applications. The FDCA provides a five-year period of non-patent marketing exclusivity within the United States to the first applicant to gain approval</w:t>
      </w:r>
    </w:p>
    <w:p>
      <w:pPr>
        <w:sectPr>
          <w:pgSz w:w="11880" w:h="15480" w:orient="portrait"/>
          <w:cols w:equalWidth="0" w:num="1">
            <w:col w:w="10800"/>
          </w:cols>
          <w:pgMar w:left="540" w:top="764" w:right="540" w:bottom="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800"/>
          </w:cols>
          <w:pgMar w:left="540" w:top="764" w:right="540" w:bottom="0" w:gutter="0" w:footer="0" w:header="0"/>
          <w:type w:val="continuous"/>
        </w:sectPr>
      </w:pPr>
    </w:p>
    <w:bookmarkStart w:id="39" w:name="page40"/>
    <w:bookmarkEnd w:id="39"/>
    <w:p>
      <w:pPr>
        <w:ind w:right="120"/>
        <w:spacing w:after="0" w:line="242" w:lineRule="auto"/>
        <w:rPr>
          <w:sz w:val="20"/>
          <w:szCs w:val="20"/>
          <w:color w:val="auto"/>
        </w:rPr>
      </w:pPr>
      <w:r>
        <w:rPr>
          <w:rFonts w:ascii="Times New Roman" w:cs="Times New Roman" w:eastAsia="Times New Roman" w:hAnsi="Times New Roman"/>
          <w:sz w:val="20"/>
          <w:szCs w:val="20"/>
          <w:color w:val="231F20"/>
        </w:rPr>
        <w:t>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 -year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European Union and UK drug development</w:t>
      </w:r>
    </w:p>
    <w:p>
      <w:pPr>
        <w:spacing w:after="0" w:line="120" w:lineRule="exact"/>
        <w:rPr>
          <w:sz w:val="20"/>
          <w:szCs w:val="20"/>
          <w:color w:val="auto"/>
        </w:rPr>
      </w:pPr>
    </w:p>
    <w:p>
      <w:pPr>
        <w:ind w:right="100" w:firstLine="720"/>
        <w:spacing w:after="0" w:line="263" w:lineRule="auto"/>
        <w:rPr>
          <w:sz w:val="20"/>
          <w:szCs w:val="20"/>
          <w:color w:val="auto"/>
        </w:rPr>
      </w:pPr>
      <w:r>
        <w:rPr>
          <w:rFonts w:ascii="Times New Roman" w:cs="Times New Roman" w:eastAsia="Times New Roman" w:hAnsi="Times New Roman"/>
          <w:sz w:val="19"/>
          <w:szCs w:val="19"/>
          <w:color w:val="231F20"/>
        </w:rPr>
        <w:t>In addition to regulations in the United States, we must obtain the requisite approvals from regulatory authorities in foreign countries prior to the commencement of clinical studies or marketing of the product in those countries. Certain countries outside the U.S. have a similar process that requires the submission of a clinical study application much like the IND prior to the commencement of human clinical studies. The approval process varies from country to country and the time may be longer or shorter than that required to obtain FDA approval. The requirements governing the conduct of clinical trials, product licensing, pricing and reimbursement vary greatly from country to country and may require us to perform additional pre-clinical or clinical testing.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European Union drug review and approval</w:t>
      </w:r>
    </w:p>
    <w:p>
      <w:pPr>
        <w:spacing w:after="0" w:line="120"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231F20"/>
        </w:rPr>
        <w:t>Pharmaceutical products in the EU are subject to regulation under comprehensive legislation enacted by the European Commission in the European Medicinal Products Directive (Directive 2001/83/EC), as amended. Centrally authorized products are also regulated by Regulation (EC) No. 726/2004. This legislation is binding on all Member States together with ancillary legislation governing research. In the UK, the main legislative texts relating to human medicines is the Medicines Act 1968 and the Human Medicines Regulation 2012.</w:t>
      </w:r>
    </w:p>
    <w:p>
      <w:pPr>
        <w:spacing w:after="0" w:line="19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The EU system for authorization of medicinal products for human use offers several routes: the centralized procedure, the decentralized procedure, and the mutual recognition procedure, as well as domestic national routes. The centralized procedure provides for the grant of a single marketing authorization that is valid for all 27 EU Member States as well as the European Economic Area (EEA) countries of Iceland, Liechtenstein and Norway. The centralized procedure is mandatory for certain categories of investigational products, including human products containing a new active substance indicated for the treatment of certain diseases, including cancer, AIDS, diabetes and neurodegenerative illness; orphan medicinal products; and medicinal products manufactured using biotechnological processes. Applications for marketing authorization for such medicines must be submitted to the EMA, in which the Committee for Medicinal Products for Human Use (CHMP) is generally responsible for conducting the initial assessment of a product.</w:t>
      </w:r>
    </w:p>
    <w:p>
      <w:pPr>
        <w:spacing w:after="0" w:line="20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The decentralized and mutual recognition procedures are applicable to the majority of conventional medicinal products and are both based on the principle of recognition of a marketing authorization by one or more Member States. The decentralized procedure is available for applicants who wish to market a product in various EU Member States where such product has not received marketing approval in any EU Member State before. In this procedure, an application for marketing authorization is submitted simultaneously in several Member States, one of them being chosen as the “Reference Member State.” At the end of the procedure, national marketing authorizations are granted in the Reference and in the concerned Member States. The mutual recognition procedure is compulsory when a medicinal product has already received a marketing authorization in one Member State and is to be marketed in a Member State other than that in which it was first authorized. Any national marketing authorization granted by an EU Member State's national authority can be used to support an application for its mutual recognition by other Member States. Marketing authorization applications can also be submitted directly to the Member State's national competent authority under the national route (if the centralized route is not compulsory).</w:t>
      </w:r>
    </w:p>
    <w:p>
      <w:pPr>
        <w:spacing w:after="0" w:line="209"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The UK is no longer a member of the EU, but EU law remains applicable in Northern Ireland. There are a number of new marketing authorization routes available in the UK, Great Britain (England, Scotland and Wales) or Northern Ireland, in addition to the national procedure, which are broadly categorized as either (1) national routes (i.e. the innovative licensing and access procedure (ILAP), the national procedure, rolling review, EC Decision Procedure (ECDP), the MR/DC reliance procedure and unfettered access from Northern Ireland); or (2) international routes (i.e. Access Consortium to market a medicine in the UK, Australia, Canada,</w:t>
      </w:r>
    </w:p>
    <w:p>
      <w:pPr>
        <w:sectPr>
          <w:pgSz w:w="11880" w:h="15480" w:orient="portrait"/>
          <w:cols w:equalWidth="0" w:num="1">
            <w:col w:w="10780"/>
          </w:cols>
          <w:pgMar w:left="540" w:top="750" w:right="560" w:bottom="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780"/>
          </w:cols>
          <w:pgMar w:left="540" w:top="750" w:right="560" w:bottom="0" w:gutter="0" w:footer="0" w:header="0"/>
          <w:type w:val="continuous"/>
        </w:sectPr>
      </w:pPr>
    </w:p>
    <w:bookmarkStart w:id="40" w:name="page41"/>
    <w:bookmarkEnd w:id="40"/>
    <w:p>
      <w:pPr>
        <w:ind w:right="480"/>
        <w:spacing w:after="0" w:line="277" w:lineRule="auto"/>
        <w:rPr>
          <w:sz w:val="20"/>
          <w:szCs w:val="20"/>
          <w:color w:val="auto"/>
        </w:rPr>
      </w:pPr>
      <w:r>
        <w:rPr>
          <w:rFonts w:ascii="Times New Roman" w:cs="Times New Roman" w:eastAsia="Times New Roman" w:hAnsi="Times New Roman"/>
          <w:sz w:val="20"/>
          <w:szCs w:val="20"/>
          <w:color w:val="231F20"/>
        </w:rPr>
        <w:t>Singapore and/or Switzerland; or the Project Orbis program for cancer treatments). The application procedure will depend on the relevant procedure chosen.</w:t>
      </w:r>
    </w:p>
    <w:p>
      <w:pPr>
        <w:spacing w:after="0" w:line="169"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All granted centrally authorized marketing authorizations automatically became Great Britain (GB) marketing authorizations on January 1, 2021. Though there are several ways to obtain a marketing authorization for GB (and Northern Ireland) discussed above, the EDRCP is available for marketing authorizations approved under the centralized procedure. Under this procedure the UK’s regulator, the MHRA, can rely on the decision of the European Commission on the approval of a new marketing authorization under centralized procedure for a period of two years from January 1, 2021, when determining an application for a GB marketing authorization. Applicants submit a letter of intent to submit an EDRCP to the MHRA at least 4 weeks before the submission of the application for the EDRCP marketing authorization application. The marketing authorization application is submitted after receipt of the positive opinion from the CHMP.</w:t>
      </w:r>
    </w:p>
    <w:p>
      <w:pPr>
        <w:spacing w:after="0" w:line="20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The objective of the EMA is the comprehensive evaluation of benefit/risk profile of a new medicinal product going through the centralized procedure. This evaluation involves showing that the product has significant efficacy and safety, together with a satisfactory plan for risk management post-marketing. The CHMP is the EMA’s expert committee responsible for human medicinal products. The CHMP is responsible for conducting the initial review of centrally authorized marketing authorization applications and for assessing modifications or extensions (variations) to an existing marketing authorization. It also considers the recommendations of the Pharmacovigilance Risk Assessment Committee on the safety of medicines on the market and when necessary, recommends to the European Commission changes to a medicine’s marketing authorization, or its suspension or withdrawal from the market. The marketing authorization application is similar to the NDA in the United States. All application procedures require an application in the common technical document (CTD), which includes the submission of detailed information about the manufacturing and quality of the product, and non-clinical and clinical trial information. The main scientific principle used by the CHMP in the evaluation of medicinal products is the benefit/risk ratio based on quality, efficacy, safety, and risk management considerations. The CHMP assesses whether the data it reviews comply with the ICH-harmonized Good Practices published for GCP, GMP and good laboratory practice (GLP). The CHMP also considers whether studies concluding efficacy and safety of products have sufficient statistical power.</w:t>
      </w:r>
    </w:p>
    <w:p>
      <w:pPr>
        <w:spacing w:after="0" w:line="203"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Marketing authorizations for the UK are submitted to the Medicines &amp; Healthcare products Regulatory Agency (MHRA). As the Medicinal Products Directive is transposed into domestic law, the standards of clinical efficacy, safety, chemical control and manufacture as at December 31, 2020 (the end of the transition period for the UK’s exit from the EU) are retained. As Northern Ireland continues to apply EU law, medicines regulation for Great Britain is likely to be closely aligned with the EU for some time.</w:t>
      </w:r>
    </w:p>
    <w:p>
      <w:pPr>
        <w:spacing w:after="0" w:line="194"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Two recent developments have been introduced which further expand the European regulatory framework: the Falsified Medicines Directive and the Pharmacovigilance Directive. The Falsified Medicines Directive obliges manufacturers of medicinal products to audit their suppliers of active substances to ensure compliance with GMP. It also introduces a new obligation on product manufacturers to inform the competent authority (e.g., ANSM) and the marketing authorization holder if they become aware that these products may be falsified, whether they are being distributed through the legitimate supply chain or by illegal means. The Pharmacovigilance Directive obliges marketing authorization holders to monitor the safety of authorized products and detect any change in their risk-benefit profile. A new pan-European clinical trial data information database has been created that will be complementary to the database established for pharmacovigilance (Regulation (EC) No 726/2004 with respect to centrally authorized medicinal products). In addition, Commission Implementing Regulation (EU) No 520/2012 outlines the practical implications for marketing authorization holders, national competent authorities, and the EMA. Also, Commission Delegated Regulation (EU) No 357/2014 on post-authorization efficacy studies specifies the situations in which such studies may be required. Post-authorization efficacy studies may be required where concerns relating to some aspects of efficacy of the medicinal product are identified and can be resolved only after the medicinal product has been marketed, or where the understanding of the disease, the clinical methodology or the use of the medicinal product under real-life conditions indicate that previous efficacy evaluations might have to be revised significantly. Brexit will disrupt the operation of pre- and post-authorization clinical trial infrastructure. The rules around GMP and pharmacovigilance in the UK currently remain similar to the EU requirements. However, the Falsified Medicines Directive will not apply in Great Britain though it is likely that the UK will implement a procedure to minimize the risk of falsified medicines.</w:t>
      </w:r>
    </w:p>
    <w:p>
      <w:pPr>
        <w:spacing w:after="0" w:line="20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Clinical trials in the EU are regulated under European Council Directive 2001/20/EC (Clinical Trials Directive) on the implementation of GCP in the conduct of clinical trials of medicinal products for human use. The Clinical Trials Directive requires the sponsor of an investigational medicinal product to obtain a CTA, much like an IND in the United States, from the national competent authority of an EU Member State in which the clinical trial is to be conducted. The application for CTA must satisfy detailed requirements for the protection of trial subjects including requirements relating to consent and specific rules for minors and adults unable to consent by reason of incapacity. The CTA application must be accompanied by an investigational medicinal product dossier with supporting information prescribed by the Council Directive and corresponding national laws of the Member States and further detailed in applicable guidance, including the European Commission Communication 2010/C 82/01. A clinical trial may only be commenced after an Ethics Committee has given its approval.</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800"/>
          </w:cols>
          <w:pgMar w:left="540" w:top="750" w:right="540" w:bottom="0" w:gutter="0" w:footer="0" w:header="0"/>
          <w:type w:val="continuous"/>
        </w:sectPr>
      </w:pPr>
    </w:p>
    <w:bookmarkStart w:id="41" w:name="page42"/>
    <w:bookmarkEnd w:id="41"/>
    <w:p>
      <w:pPr>
        <w:ind w:right="40" w:firstLine="720"/>
        <w:spacing w:after="0" w:line="239" w:lineRule="auto"/>
        <w:rPr>
          <w:sz w:val="20"/>
          <w:szCs w:val="20"/>
          <w:color w:val="auto"/>
        </w:rPr>
      </w:pPr>
      <w:r>
        <w:rPr>
          <w:rFonts w:ascii="Times New Roman" w:cs="Times New Roman" w:eastAsia="Times New Roman" w:hAnsi="Times New Roman"/>
          <w:sz w:val="20"/>
          <w:szCs w:val="20"/>
          <w:color w:val="231F20"/>
        </w:rPr>
        <w:t>A sponsor of a clinical trial must also follow certain procedures, including obtaining a unique EudraCT number by entering specified relevant information in the EudraCT Community Clinical Trial System. In addition, Member States require that the manufacture and/or importation of investigational medicinal products be authorized. Sponsors of investigational medicinal products must ensure compliance with, among other things, GCP and good manufacturing practice (GMP) as well as requirements pertaining to safety reporting.</w:t>
      </w:r>
    </w:p>
    <w:p>
      <w:pPr>
        <w:spacing w:after="0" w:line="197" w:lineRule="exact"/>
        <w:rPr>
          <w:sz w:val="20"/>
          <w:szCs w:val="20"/>
          <w:color w:val="auto"/>
        </w:rPr>
      </w:pPr>
    </w:p>
    <w:p>
      <w:pPr>
        <w:ind w:firstLine="720"/>
        <w:spacing w:after="0" w:line="235" w:lineRule="auto"/>
        <w:rPr>
          <w:sz w:val="20"/>
          <w:szCs w:val="20"/>
          <w:color w:val="auto"/>
        </w:rPr>
      </w:pPr>
      <w:r>
        <w:rPr>
          <w:rFonts w:ascii="Times New Roman" w:cs="Times New Roman" w:eastAsia="Times New Roman" w:hAnsi="Times New Roman"/>
          <w:sz w:val="20"/>
          <w:szCs w:val="20"/>
          <w:color w:val="231F20"/>
        </w:rPr>
        <w:t>In April 2014, Regulation EU No 536/2014 (Clinical Trials Regulation) was adopted, which came into application on January 31, 2022 and repeals the existing EU Clinical Trials Directive. The Clinical Trials Regulation is intended to simplify the current rules for clinical trial authorization and standards of performance and provides for a more streamlined application procedure via a single-entry point, a European Union portal and database. The Clinical Trials Information System (CTIS) is maintained by the EMA in collaboration with the European Commission and the European Union Member States. The objectives of the new Regulation include consistent rules for conducting trials throughout the European Union, consistent data standards and adverse events listing, and consistent information on the authorization status. Additionally, information on the conduct and results of each clinical trial carried out in the European Union will be made publicly available.</w:t>
      </w:r>
    </w:p>
    <w:p>
      <w:pPr>
        <w:spacing w:after="0" w:line="202" w:lineRule="exact"/>
        <w:rPr>
          <w:sz w:val="20"/>
          <w:szCs w:val="20"/>
          <w:color w:val="auto"/>
        </w:rPr>
      </w:pPr>
    </w:p>
    <w:p>
      <w:pPr>
        <w:ind w:right="20" w:firstLine="720"/>
        <w:spacing w:after="0" w:line="235" w:lineRule="auto"/>
        <w:rPr>
          <w:sz w:val="20"/>
          <w:szCs w:val="20"/>
          <w:color w:val="auto"/>
        </w:rPr>
      </w:pPr>
      <w:r>
        <w:rPr>
          <w:rFonts w:ascii="Times New Roman" w:cs="Times New Roman" w:eastAsia="Times New Roman" w:hAnsi="Times New Roman"/>
          <w:sz w:val="20"/>
          <w:szCs w:val="20"/>
          <w:color w:val="231F20"/>
        </w:rPr>
        <w:t>The main legislation that applies to clinical trials in the UK is the UK Medicines for Human Use (Clinical Trials) Regulations 2004, which transposes the Clinical Trials Directive into domestic law. Consequently, the requirements and obligations that relate to the conduct of clinical trials in the UK currently remain largely aligned with the EU position. A CTA will be required to conduct a clinical trial in the UK, together with Ethics Committee approval. However, the sponsor of a clinical trial in the UK must be established in the UK or a country on an approved list currently limited to the EU Member States plus Iceland, Liechtenstein and Norway) or appoint a legal representative who is established on one of the aforementioned countries. Clinical trials should also be registered on an established international register such as ISRCTN registry or ClinicalTrials.gov. The UK also requires the manufacture and/or importation of investigational medicinal products to be authorized. There is no mutual recognition agreement between the UK and EU on GMP, so medicines manufactured in the UK would be subject to GMP release in the EU.</w:t>
      </w:r>
    </w:p>
    <w:p>
      <w:pPr>
        <w:spacing w:after="0" w:line="197" w:lineRule="exact"/>
        <w:rPr>
          <w:sz w:val="20"/>
          <w:szCs w:val="20"/>
          <w:color w:val="auto"/>
        </w:rPr>
      </w:pPr>
    </w:p>
    <w:p>
      <w:pPr>
        <w:jc w:val="both"/>
        <w:ind w:right="280" w:firstLine="720"/>
        <w:spacing w:after="0" w:line="248" w:lineRule="auto"/>
        <w:rPr>
          <w:sz w:val="20"/>
          <w:szCs w:val="20"/>
          <w:color w:val="auto"/>
        </w:rPr>
      </w:pPr>
      <w:r>
        <w:rPr>
          <w:rFonts w:ascii="Times New Roman" w:cs="Times New Roman" w:eastAsia="Times New Roman" w:hAnsi="Times New Roman"/>
          <w:sz w:val="20"/>
          <w:szCs w:val="20"/>
          <w:color w:val="231F20"/>
        </w:rPr>
        <w:t>Similar to the U.S. patent term-restoration, Supplementary Protection Certificates (SPCs) serve as an extension to a patent right in Europe for up to five years. SPCs apply to specific pharmaceutical products to offset the loss of patent protection due to the lengthy testing and clinical trials these products require prior to obtaining regulatory marketing approval.</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Coverage and reimbursement</w:t>
      </w:r>
    </w:p>
    <w:p>
      <w:pPr>
        <w:spacing w:after="0" w:line="118"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20"/>
          <w:szCs w:val="20"/>
          <w:color w:val="231F20"/>
        </w:rPr>
        <w:t>Sales of our products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United States, for example, principal decisions about reimbursement for new products are typically made by CMS. CMS decides whether and to what extent a new product will be covered and reimbursed under Medicare, and private third-party payors often follow CMS’s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20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206" w:lineRule="exact"/>
        <w:rPr>
          <w:sz w:val="20"/>
          <w:szCs w:val="20"/>
          <w:color w:val="auto"/>
        </w:rPr>
      </w:pPr>
    </w:p>
    <w:p>
      <w:pPr>
        <w:ind w:right="620" w:firstLine="720"/>
        <w:spacing w:after="0" w:line="258" w:lineRule="auto"/>
        <w:rPr>
          <w:sz w:val="20"/>
          <w:szCs w:val="20"/>
          <w:color w:val="auto"/>
        </w:rPr>
      </w:pPr>
      <w:r>
        <w:rPr>
          <w:rFonts w:ascii="Times New Roman" w:cs="Times New Roman" w:eastAsia="Times New Roman" w:hAnsi="Times New Roman"/>
          <w:sz w:val="20"/>
          <w:szCs w:val="20"/>
          <w:color w:val="231F20"/>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88"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231F20"/>
        </w:rPr>
        <w:t>In addition, in most foreign countries,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w:t>
      </w:r>
    </w:p>
    <w:p>
      <w:pPr>
        <w:sectPr>
          <w:pgSz w:w="11880" w:h="15480" w:orient="portrait"/>
          <w:cols w:equalWidth="0" w:num="1">
            <w:col w:w="10800"/>
          </w:cols>
          <w:pgMar w:left="540" w:top="742" w:right="540" w:bottom="0" w:gutter="0" w:footer="0" w:header="0"/>
        </w:sect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800"/>
          </w:cols>
          <w:pgMar w:left="540" w:top="742" w:right="540" w:bottom="0" w:gutter="0" w:footer="0" w:header="0"/>
          <w:type w:val="continuous"/>
        </w:sectPr>
      </w:pPr>
    </w:p>
    <w:bookmarkStart w:id="42" w:name="page43"/>
    <w:bookmarkEnd w:id="42"/>
    <w:p>
      <w:pPr>
        <w:ind w:right="120"/>
        <w:spacing w:after="0" w:line="277" w:lineRule="auto"/>
        <w:rPr>
          <w:sz w:val="20"/>
          <w:szCs w:val="20"/>
          <w:color w:val="auto"/>
        </w:rPr>
      </w:pPr>
      <w:r>
        <w:rPr>
          <w:rFonts w:ascii="Times New Roman" w:cs="Times New Roman" w:eastAsia="Times New Roman" w:hAnsi="Times New Roman"/>
          <w:sz w:val="20"/>
          <w:szCs w:val="20"/>
          <w:color w:val="231F20"/>
        </w:rPr>
        <w:t>pharmaceutical products will allow favorable reimbursement and pricing arrangements for any of our products. Historically, products launched in the EU do not follow price structures of the United States and generally prices tend to be significantly lower.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Healthcare reform</w:t>
      </w:r>
    </w:p>
    <w:p>
      <w:pPr>
        <w:spacing w:after="0" w:line="120"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231F20"/>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203"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substantially changed the way healthcare is financed by both the government and private insurers, and continues to significantly impact the U.S. pharmaceutical industry.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HHS Secretary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The ACA also expanded the universe of Medicaid utilization subject to drug rebates by requiring pharmaceutical manufacturers to pay rebates on Medicaid managed care utilization and by enlarging the population potentially eligible for Medicaid drug benefits. Additionally, 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206"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Since its enactment, there have been legislative and judicial efforts to repeal, replace, or change some or all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this Supreme Court decision, future litigation, and healthcare measures promulgated by the new Trump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20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Other legislative changes have been proposed and adopted in the United States since the ACA was enacted.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Other changes included aggregate reductions to Medicare payments to providers of up to 2% per fiscal year, effective April 1, 2013, which will stay in effect through 2032, unless additional congressional action is taken. These laws and future legislation may result in additional reductions in Medicare and other healthcare funding, which could have a material adverse effect on our customers for our drugs, if approved, and accordingly, our financial operations.</w:t>
      </w:r>
    </w:p>
    <w:p>
      <w:pPr>
        <w:spacing w:after="0" w:line="200" w:lineRule="exact"/>
        <w:rPr>
          <w:sz w:val="20"/>
          <w:szCs w:val="20"/>
          <w:color w:val="auto"/>
        </w:rPr>
      </w:pPr>
    </w:p>
    <w:p>
      <w:pPr>
        <w:ind w:right="220" w:firstLine="720"/>
        <w:spacing w:after="0" w:line="265" w:lineRule="auto"/>
        <w:rPr>
          <w:sz w:val="20"/>
          <w:szCs w:val="20"/>
          <w:color w:val="auto"/>
        </w:rPr>
      </w:pPr>
      <w:r>
        <w:rPr>
          <w:rFonts w:ascii="Times New Roman" w:cs="Times New Roman" w:eastAsia="Times New Roman" w:hAnsi="Times New Roman"/>
          <w:sz w:val="19"/>
          <w:szCs w:val="19"/>
          <w:color w:val="231F20"/>
        </w:rPr>
        <w:t>Additionally,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American Rescue Plan Act of 2021, eliminated the statutory cap on Medicaid Drug Rebate Programs rebates that manufacturers pay to state</w:t>
      </w:r>
    </w:p>
    <w:p>
      <w:pPr>
        <w:sectPr>
          <w:pgSz w:w="11880" w:h="15480" w:orient="portrait"/>
          <w:cols w:equalWidth="0" w:num="1">
            <w:col w:w="10800"/>
          </w:cols>
          <w:pgMar w:left="540" w:top="750" w:right="540" w:bottom="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800"/>
          </w:cols>
          <w:pgMar w:left="540" w:top="750" w:right="540" w:bottom="0" w:gutter="0" w:footer="0" w:header="0"/>
          <w:type w:val="continuous"/>
        </w:sectPr>
      </w:pPr>
    </w:p>
    <w:bookmarkStart w:id="43" w:name="page44"/>
    <w:bookmarkEnd w:id="43"/>
    <w:p>
      <w:pPr>
        <w:spacing w:after="0" w:line="241" w:lineRule="auto"/>
        <w:rPr>
          <w:sz w:val="20"/>
          <w:szCs w:val="20"/>
          <w:color w:val="auto"/>
        </w:rPr>
      </w:pPr>
      <w:r>
        <w:rPr>
          <w:rFonts w:ascii="Times New Roman" w:cs="Times New Roman" w:eastAsia="Times New Roman" w:hAnsi="Times New Roman"/>
          <w:sz w:val="20"/>
          <w:szCs w:val="20"/>
          <w:color w:val="231F20"/>
        </w:rPr>
        <w:t>Medicaid programs. Elimination of this cap may require pharmaceutical manufacturers to pay more in rebates than it receives on the sale of products, which could have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in October 2022, directing the HHS to submit a report on how the Center for Medicare and Medicaid Innovation can be further leveraged to test new models for lowering drug costs for Medicare and Medicaid beneficiaries. In March 2023, the Centers for Medicare and Medicaid Services (CMS) published its first guidance on how negotiations will be conducted, starting in 2026 for high expenditure drugs as determined and selected by HHS. In June 2023, CMS issued a revised guidance for the Medicare Drug Price Negotiation Program under the Inflation Reduction Act.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pharmaceutical companies and the Pharmaceutical Research and Manufacturers of America,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(MFN) price and directing the U.S. Trade Representative and Secretary of Commerce to take action to ensure foreign countries are not engaged in practices that purposefully and unfairly undercut market prices and drive price hikes in the United States. The One Big Beautiful Bill Act (OBBBA), which was signed into law in July 2025, includes provisions that will impact the U.S.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The impact of these judicial challenges,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208"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These and other health reform measures that are implemented may have a material adverse effect on our operations.</w:t>
      </w:r>
    </w:p>
    <w:p>
      <w:pPr>
        <w:spacing w:after="0" w:line="200"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have a material and adverse effect on our business, financial condition and results of operations. The continuing efforts of the government, insurance companies, managed care organizations, and other payors of healthcare services and medical products to contain or reduce costs of healthcare and/or impose price controls may adversely affect the demand for our product candidates, if approved, and our ability to achieve or maintain profitability.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Environmental, Social and Governance</w:t>
      </w:r>
    </w:p>
    <w:p>
      <w:pPr>
        <w:spacing w:after="0" w:line="124"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231F20"/>
        </w:rPr>
        <w:t>We believe that sustainable operations are both financially and operationally beneficial to our business, and critical to the health of the communities in which we operate. Our operations are subject to federal, state, local and foreign laws, rules and regulations relating to environmental concerns, including air emissions, wastewater discharges, solid and hazardous waste management activities, and the safety of our employees. We endeavor to take the actions necessary to comply with such regulations. We seek to minimize our resource footprint at our locations with a focus on managing waste, water and energy consumption.</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760"/>
          </w:cols>
          <w:pgMar w:left="540" w:top="750" w:right="5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231F20"/>
        </w:rPr>
        <w:t>Employees and Human Capital</w:t>
      </w:r>
    </w:p>
    <w:p>
      <w:pPr>
        <w:spacing w:after="0" w:line="124" w:lineRule="exact"/>
        <w:rPr>
          <w:sz w:val="20"/>
          <w:szCs w:val="20"/>
          <w:color w:val="auto"/>
        </w:rPr>
      </w:pPr>
    </w:p>
    <w:p>
      <w:pPr>
        <w:ind w:right="280" w:firstLine="720"/>
        <w:spacing w:after="0" w:line="252" w:lineRule="auto"/>
        <w:rPr>
          <w:sz w:val="20"/>
          <w:szCs w:val="20"/>
          <w:color w:val="auto"/>
        </w:rPr>
      </w:pPr>
      <w:r>
        <w:rPr>
          <w:rFonts w:ascii="Times New Roman" w:cs="Times New Roman" w:eastAsia="Times New Roman" w:hAnsi="Times New Roman"/>
          <w:sz w:val="20"/>
          <w:szCs w:val="20"/>
          <w:color w:val="231F20"/>
        </w:rPr>
        <w:t>As of December 31, 2025, we had 104 full-time employees, of which 76 were engaged in research and development activities. Substantially all of our employees are located in South San Francisco, California and San Diego, California. None of our employees are represented by labor unions or covered by collective bargaining agreements. We consider our relationship with our employees to be good.</w:t>
      </w:r>
    </w:p>
    <w:p>
      <w:pPr>
        <w:spacing w:after="0" w:line="194"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to increase stockholder value and the success of our company by motivating such individuals to perform to the best of their abilities and achieve our objectives. In addition, we are committed to offering a comprehensive suite of benefits ranging from medical, dental, and vision coverage, disability, remote work flexibility, employee stock purchase, and life insurance programs. All employees are also eligible to participate in a Company sponsored defined contribution plan created under Section 401(k) of the Internal Revenue Code that provides for the Company to match a portion of contributions by participating employees.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Information</w:t>
      </w:r>
    </w:p>
    <w:p>
      <w:pPr>
        <w:spacing w:after="0" w:line="124"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231F20"/>
        </w:rPr>
        <w:t>We were incorporated in Delaware in August 2014. Our principal executive offices are located at 240 E. Grand Avenue, 2nd Floor, South San Francisco, California 94080. Our telephone number is (650) 388-5600. Our website address is www.oricpharma.com. Information contained on the website is not incorporated by reference into this Annual Report on Form 10-K or any other filings we make with the Securities and Exchange Commission (SEC).</w:t>
      </w:r>
    </w:p>
    <w:p>
      <w:pPr>
        <w:spacing w:after="0" w:line="194"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We may use our website (</w:t>
      </w:r>
      <w:r>
        <w:rPr>
          <w:rFonts w:ascii="Times New Roman" w:cs="Times New Roman" w:eastAsia="Times New Roman" w:hAnsi="Times New Roman"/>
          <w:sz w:val="20"/>
          <w:szCs w:val="20"/>
          <w:color w:val="818385"/>
        </w:rPr>
        <w:t>www.oricpharma.com</w:t>
      </w:r>
      <w:r>
        <w:rPr>
          <w:rFonts w:ascii="Times New Roman" w:cs="Times New Roman" w:eastAsia="Times New Roman" w:hAnsi="Times New Roman"/>
          <w:sz w:val="20"/>
          <w:szCs w:val="20"/>
          <w:color w:val="231F20"/>
        </w:rPr>
        <w:t>), press releases, public conference calls, public webcasts, X and LinkedIn as means of disclosing material non-public information and for complying with our disclosure obligations under Regulation FD. We also make available on or through our website certain reports and amendments to those reports that we file with or furnish to the SEC in accordance with the Securities Exchange Act of 1934, as amended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The SEC also maintains a website that contains our SEC filings. The address for the SEC website is https://www.sec.gov.</w:t>
      </w:r>
    </w:p>
    <w:p>
      <w:pPr>
        <w:spacing w:after="0" w:line="202"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We use the ORIC Pharmaceuticals logo and other marks as trademarks in the United States and other countries. This periodic report contains references to our trademarks and service marks and to those belonging to other entities. Solely for convenience, trademarks and trade names referred to in this periodic report, including logos, artwork and other visual displays, may appear without the ® or TM symbol,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10780"/>
          </w:cols>
          <w:pgMar w:left="540" w:top="746" w:right="56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2"/>
          <w:szCs w:val="22"/>
          <w:b w:val="1"/>
          <w:bCs w:val="1"/>
          <w:color w:val="231F20"/>
        </w:rPr>
        <w:t>Item 1A. Risk Factors.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factors</w:t>
      </w:r>
    </w:p>
    <w:p>
      <w:pPr>
        <w:spacing w:after="0" w:line="12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i w:val="1"/>
          <w:iCs w:val="1"/>
          <w:color w:val="231F20"/>
        </w:rPr>
        <w:t>You should carefully consider the risks described below, as well as the other information in this Annual Report on Form 10-K,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factor summary</w:t>
      </w:r>
    </w:p>
    <w:p>
      <w:pPr>
        <w:spacing w:after="0" w:line="144"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i w:val="1"/>
          <w:iCs w:val="1"/>
          <w:color w:val="231F20"/>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financial position and need for additional capital</w:t>
      </w:r>
    </w:p>
    <w:p>
      <w:pPr>
        <w:spacing w:after="0" w:line="24" w:lineRule="exact"/>
        <w:rPr>
          <w:sz w:val="20"/>
          <w:szCs w:val="20"/>
          <w:color w:val="auto"/>
        </w:rPr>
      </w:pPr>
    </w:p>
    <w:p>
      <w:pPr>
        <w:ind w:left="1200" w:hanging="480"/>
        <w:spacing w:after="0"/>
        <w:tabs>
          <w:tab w:leader="none" w:pos="12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our limited operating history;</w:t>
      </w:r>
    </w:p>
    <w:p>
      <w:pPr>
        <w:spacing w:after="0" w:line="30" w:lineRule="exact"/>
        <w:rPr>
          <w:rFonts w:ascii="Arial" w:cs="Arial" w:eastAsia="Arial" w:hAnsi="Arial"/>
          <w:sz w:val="20"/>
          <w:szCs w:val="20"/>
          <w:color w:val="231F20"/>
        </w:rPr>
      </w:pPr>
    </w:p>
    <w:p>
      <w:pPr>
        <w:ind w:left="1200" w:hanging="480"/>
        <w:spacing w:after="0"/>
        <w:tabs>
          <w:tab w:leader="none" w:pos="12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our past and anticipated future net losses;</w:t>
      </w:r>
    </w:p>
    <w:p>
      <w:pPr>
        <w:spacing w:after="0" w:line="33" w:lineRule="exact"/>
        <w:rPr>
          <w:rFonts w:ascii="Arial" w:cs="Arial" w:eastAsia="Arial" w:hAnsi="Arial"/>
          <w:sz w:val="20"/>
          <w:szCs w:val="20"/>
          <w:color w:val="231F20"/>
        </w:rPr>
      </w:pPr>
    </w:p>
    <w:p>
      <w:pPr>
        <w:ind w:left="1200" w:hanging="480"/>
        <w:spacing w:after="0"/>
        <w:tabs>
          <w:tab w:leader="none" w:pos="12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uncertainty related to our ability to generate revenue and achieve profitability; and</w:t>
      </w:r>
    </w:p>
    <w:p>
      <w:pPr>
        <w:spacing w:after="0" w:line="33" w:lineRule="exact"/>
        <w:rPr>
          <w:rFonts w:ascii="Arial" w:cs="Arial" w:eastAsia="Arial" w:hAnsi="Arial"/>
          <w:sz w:val="20"/>
          <w:szCs w:val="20"/>
          <w:color w:val="231F20"/>
        </w:rPr>
      </w:pPr>
    </w:p>
    <w:p>
      <w:pPr>
        <w:ind w:left="1200" w:hanging="480"/>
        <w:spacing w:after="0"/>
        <w:tabs>
          <w:tab w:leader="none" w:pos="120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our need for substantial additional capital to finance our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development and commercialization of our product candidates</w:t>
      </w:r>
    </w:p>
    <w:p>
      <w:pPr>
        <w:spacing w:after="0" w:line="24" w:lineRule="exact"/>
        <w:rPr>
          <w:sz w:val="20"/>
          <w:szCs w:val="20"/>
          <w:color w:val="auto"/>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our substantial dependence on our product candidates;</w:t>
      </w:r>
    </w:p>
    <w:p>
      <w:pPr>
        <w:spacing w:after="0" w:line="30"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our challenges in developing and commercializing additional product candidates;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limitations in regulatory approval processes and product candidate approvals;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our clinical trials that may fail to satisfactorily demonstrate safety and efficacy;</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our product candidates that may cause significant adverse events, toxicities or other undesirable side effects;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potentially negative clinical trial results and challenges related to FDA, EMA and other regulatory requirements;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deficiencies in audits and verification procedures of our clinical trial data;</w:t>
      </w:r>
    </w:p>
    <w:p>
      <w:pPr>
        <w:spacing w:after="0" w:line="13" w:lineRule="exact"/>
        <w:rPr>
          <w:rFonts w:ascii="Arial" w:cs="Arial" w:eastAsia="Arial" w:hAnsi="Arial"/>
          <w:sz w:val="20"/>
          <w:szCs w:val="20"/>
          <w:color w:val="231F20"/>
        </w:rPr>
      </w:pPr>
    </w:p>
    <w:p>
      <w:pPr>
        <w:ind w:left="1200" w:right="40" w:hanging="480"/>
        <w:spacing w:after="0" w:line="247" w:lineRule="auto"/>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adverse effects due to third parties investigating the same product candidates as us in the same or different territories or indications;</w:t>
      </w: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delays or difficulties in enrollment and/or maintenance of patients in clinical trials;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global pandemics or other public health emergencies on our operations;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develop effective companion diagnostic tests for our product candidates, if necessary;</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unexpected difficulties in developing our potential programs;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profitability challenges related to our focus on developing our product candidates for particular indications;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significant competition in the markets in which we operate;</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production difficulties encountered by our third-party manufacturers;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methods of product candidate manufacturing or formulation;</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market unacceptance of our product candidates in the medical community;</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limited market opportunities for our product candidates;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augment our product pipeline through acquisitions and in-licenses;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for unfavorable third-party coverage and reimbursement practices of our product candidates; and</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limitations of our product liability and insurance coverage.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regulatory, legal and other compliance matters</w:t>
      </w:r>
    </w:p>
    <w:p>
      <w:pPr>
        <w:spacing w:after="0" w:line="24" w:lineRule="exact"/>
        <w:rPr>
          <w:sz w:val="20"/>
          <w:szCs w:val="20"/>
          <w:color w:val="auto"/>
        </w:rPr>
      </w:pPr>
    </w:p>
    <w:p>
      <w:pPr>
        <w:ind w:left="1200" w:hanging="480"/>
        <w:spacing w:after="0"/>
        <w:tabs>
          <w:tab w:leader="none" w:pos="12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in our ability to obtain regulatory approval of our product candidates;</w:t>
      </w:r>
    </w:p>
    <w:p>
      <w:pPr>
        <w:spacing w:after="0" w:line="30" w:lineRule="exact"/>
        <w:rPr>
          <w:rFonts w:ascii="Arial" w:cs="Arial" w:eastAsia="Arial" w:hAnsi="Arial"/>
          <w:sz w:val="20"/>
          <w:szCs w:val="20"/>
          <w:color w:val="231F20"/>
        </w:rPr>
      </w:pPr>
    </w:p>
    <w:p>
      <w:pPr>
        <w:ind w:left="1200" w:hanging="480"/>
        <w:spacing w:after="0"/>
        <w:tabs>
          <w:tab w:leader="none" w:pos="12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FDA, EMA and other regulatory authorities’ unacceptance of data from trials conducted outside their jurisdiction;</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obtain and maintain regulatory approval of our product candidates in various jurisdictions;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burdens related to post-marketing regulatory requirements and oversight of our product candidates;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impacts of regulatory authorities’ enforcement of laws and regulations prohibiting promotion of off-label uses;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challenges related to FDA approval of required companion diagnostic tests;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challenges related to our ability to obtain Fast Track designation from the FDA for our product candidates;</w:t>
      </w:r>
    </w:p>
    <w:p>
      <w:pPr>
        <w:spacing w:after="0" w:line="13" w:lineRule="exact"/>
        <w:rPr>
          <w:rFonts w:ascii="Arial" w:cs="Arial" w:eastAsia="Arial" w:hAnsi="Arial"/>
          <w:sz w:val="20"/>
          <w:szCs w:val="20"/>
          <w:color w:val="231F20"/>
        </w:rPr>
      </w:pPr>
    </w:p>
    <w:p>
      <w:pPr>
        <w:ind w:left="1200" w:right="720" w:hanging="480"/>
        <w:spacing w:after="0" w:line="247" w:lineRule="auto"/>
        <w:tabs>
          <w:tab w:leader="none" w:pos="12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limitations to our ability to obtain orphan drug designation or maintain orphan drug exclusivity for our product candidates;</w:t>
      </w:r>
    </w:p>
    <w:p>
      <w:pPr>
        <w:ind w:left="1200" w:hanging="480"/>
        <w:spacing w:after="0"/>
        <w:tabs>
          <w:tab w:leader="none" w:pos="120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any delays or barriers to secure approval for accelerated registration pathways;</w:t>
      </w:r>
    </w:p>
    <w:p>
      <w:pPr>
        <w:sectPr>
          <w:pgSz w:w="11880" w:h="15480" w:orient="portrait"/>
          <w:cols w:equalWidth="0" w:num="1">
            <w:col w:w="10800"/>
          </w:cols>
          <w:pgMar w:left="540" w:top="973" w:right="540" w:bottom="0"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800"/>
          </w:cols>
          <w:pgMar w:left="540" w:top="973" w:right="540" w:bottom="0" w:gutter="0" w:footer="0" w:header="0"/>
          <w:type w:val="continuous"/>
        </w:sectPr>
      </w:pPr>
    </w:p>
    <w:bookmarkStart w:id="46" w:name="page47"/>
    <w:bookmarkEnd w:id="46"/>
    <w:p>
      <w:pPr>
        <w:ind w:left="1200" w:hanging="480"/>
        <w:spacing w:after="0"/>
        <w:tabs>
          <w:tab w:leader="none" w:pos="12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to current regulations and future legislation that impact us adversely;</w:t>
      </w:r>
    </w:p>
    <w:p>
      <w:pPr>
        <w:spacing w:after="0" w:line="35" w:lineRule="exact"/>
        <w:rPr>
          <w:rFonts w:ascii="Arial" w:cs="Arial" w:eastAsia="Arial" w:hAnsi="Arial"/>
          <w:sz w:val="20"/>
          <w:szCs w:val="20"/>
          <w:color w:val="231F20"/>
        </w:rPr>
      </w:pPr>
    </w:p>
    <w:p>
      <w:pPr>
        <w:ind w:left="1200" w:hanging="480"/>
        <w:spacing w:after="0"/>
        <w:tabs>
          <w:tab w:leader="none" w:pos="12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inadequate funding of regulatory agencies that may hinder timely product development or commercialization;</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misconduct or noncompliance with regulatory standards by our employees and certain third parties;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limitations on our ability to use overseas vendors and service providers;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any potential incompliance with U.S. healthcare laws and requirements;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any potential incompliance with environmental, health and safety laws and regulations;</w:t>
      </w:r>
    </w:p>
    <w:p>
      <w:pPr>
        <w:spacing w:after="0" w:line="13" w:lineRule="exact"/>
        <w:rPr>
          <w:rFonts w:ascii="Arial" w:cs="Arial" w:eastAsia="Arial" w:hAnsi="Arial"/>
          <w:sz w:val="20"/>
          <w:szCs w:val="20"/>
          <w:color w:val="231F20"/>
        </w:rPr>
      </w:pPr>
    </w:p>
    <w:p>
      <w:pPr>
        <w:ind w:left="1200" w:hanging="480"/>
        <w:spacing w:after="0" w:line="247" w:lineRule="auto"/>
        <w:tabs>
          <w:tab w:leader="none" w:pos="12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any potential incompliance with anti-bribery, anti-corruption, export (including data export), trade sanctions and import laws or regulations; and</w:t>
      </w:r>
    </w:p>
    <w:p>
      <w:pPr>
        <w:ind w:left="1200" w:right="200" w:hanging="480"/>
        <w:spacing w:after="0" w:line="254" w:lineRule="auto"/>
        <w:tabs>
          <w:tab w:leader="none" w:pos="120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any potential incompliance with enhanced trade tariffs, import restrictions, export restrictions, Chinese regulations or other trade barriers.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employee matters and management of our growth</w:t>
      </w:r>
    </w:p>
    <w:p>
      <w:pPr>
        <w:spacing w:after="0" w:line="24" w:lineRule="exact"/>
        <w:rPr>
          <w:sz w:val="20"/>
          <w:szCs w:val="20"/>
          <w:color w:val="auto"/>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challenges to our ability to attract and retain highly skilled executive officers and employees;</w:t>
      </w:r>
    </w:p>
    <w:p>
      <w:pPr>
        <w:spacing w:after="0" w:line="30"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in our ability to sell or market our product candidates;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our potential inability to grow and manage growth of our organization;</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security or data privacy breaches or incidents impacting our internal systems or those of commercial third parties;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natural disasters and other catastrophic events that may cause damage or disruption;</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the SEC civil enforcement action against one of our officers;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our potential inability to use our net operating losses and tax credits to offset future taxable income;</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tax laws and additional effort and expenses incurred as a result;</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complexities related to contracting with foreign third parties or international marketing of our product candidates;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international military conflicts, and any resulting trade war, could result in increased manufacturing costs; and</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inflation may adversely affect us by increasing our costs.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intellectual property</w:t>
      </w:r>
    </w:p>
    <w:p>
      <w:pPr>
        <w:spacing w:after="0" w:line="24" w:lineRule="exact"/>
        <w:rPr>
          <w:sz w:val="20"/>
          <w:szCs w:val="20"/>
          <w:color w:val="auto"/>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challenges to our ability to protect our intellectual property and proprietary technologies;</w:t>
      </w:r>
    </w:p>
    <w:p>
      <w:pPr>
        <w:spacing w:after="0" w:line="30"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potentially narrow scope of patent protection we receive;</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threats to our competitive advantage;</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operate without infringing intellectual property rights and claims of infringement by third parties;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our potential inability to obtain or maintain rights to our product candidates through acquisitions and in-licenses;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associated with protecting or enforcing our patents and our licensors’ patents;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intellectual property litigation that may lead to unfavorable publicity;</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unfavorable outcomes from necessary derivation proceedings;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patent reform legislation and related uncertainties and costs;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U.S. and international intellectual property laws and related challenges;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claims challenging ownership of our intellectual property, including internationally;</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patent terms and access to extensions that may not adequately protect our competitive position;</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our patent protection and dependence on compliance with various regulations;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potentially limited name recognition in our markets that depend on protection of our trademarks and trade names;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in protecting confidentiality of our trade secrets;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claims of wrongful disclosure of our confidential information or trade secrets;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claims of wrongful hiring or disclosure or use of competitors’ confidential information or trade secrets;</w:t>
      </w:r>
    </w:p>
    <w:p>
      <w:pPr>
        <w:spacing w:after="0" w:line="13" w:lineRule="exact"/>
        <w:rPr>
          <w:rFonts w:ascii="Arial" w:cs="Arial" w:eastAsia="Arial" w:hAnsi="Arial"/>
          <w:sz w:val="20"/>
          <w:szCs w:val="20"/>
          <w:color w:val="231F20"/>
        </w:rPr>
      </w:pPr>
    </w:p>
    <w:p>
      <w:pPr>
        <w:ind w:left="1220" w:right="760" w:hanging="500"/>
        <w:spacing w:after="0" w:line="247" w:lineRule="auto"/>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our product development and commercialization rights that are subject to unfavorable terms and conditions of licensors;</w:t>
      </w: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business relationship disruptions due to failure to comply with license agreement obligations;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our patent protection and prosecution that may be dependent on third parties; and</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intellectual property discovered through government funding and potential limits on our exclusive rights.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dependence on third parties</w:t>
      </w:r>
    </w:p>
    <w:p>
      <w:pPr>
        <w:spacing w:after="0" w:line="24" w:lineRule="exact"/>
        <w:rPr>
          <w:sz w:val="20"/>
          <w:szCs w:val="20"/>
          <w:color w:val="auto"/>
        </w:rPr>
      </w:pPr>
    </w:p>
    <w:p>
      <w:pPr>
        <w:ind w:left="1200" w:right="160" w:hanging="480"/>
        <w:spacing w:after="0" w:line="255" w:lineRule="auto"/>
        <w:tabs>
          <w:tab w:leader="none" w:pos="120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our dependence on third-party suppliers and the loss of these third-party suppliers or their inability to supply us could harm our business;</w:t>
      </w:r>
    </w:p>
    <w:p>
      <w:pPr>
        <w:spacing w:after="0" w:line="1" w:lineRule="exact"/>
        <w:rPr>
          <w:rFonts w:ascii="Arial" w:cs="Arial" w:eastAsia="Arial" w:hAnsi="Arial"/>
          <w:sz w:val="20"/>
          <w:szCs w:val="20"/>
          <w:color w:val="231F20"/>
        </w:rPr>
      </w:pPr>
    </w:p>
    <w:p>
      <w:pPr>
        <w:ind w:left="1200" w:hanging="480"/>
        <w:spacing w:after="0"/>
        <w:tabs>
          <w:tab w:leader="none" w:pos="120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our dependence on third parties for production, preclinical studies and clinical trials of our product candidates;</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acquisitions or strategic partnerships that may increase capital requirements, dilution and debt;</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establish commercially reasonable collaborations; and</w:t>
      </w:r>
    </w:p>
    <w:p>
      <w:pPr>
        <w:spacing w:after="0" w:line="13" w:lineRule="exact"/>
        <w:rPr>
          <w:rFonts w:ascii="Arial" w:cs="Arial" w:eastAsia="Arial" w:hAnsi="Arial"/>
          <w:sz w:val="20"/>
          <w:szCs w:val="20"/>
          <w:color w:val="231F20"/>
        </w:rPr>
      </w:pPr>
    </w:p>
    <w:p>
      <w:pPr>
        <w:ind w:left="1200" w:hanging="480"/>
        <w:spacing w:after="0"/>
        <w:tabs>
          <w:tab w:leader="none" w:pos="120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related to collaborations for development and commercialization of product candidates.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securities markets and ownership of our common stock</w:t>
      </w:r>
    </w:p>
    <w:p>
      <w:pPr>
        <w:spacing w:after="0" w:line="24" w:lineRule="exact"/>
        <w:rPr>
          <w:sz w:val="20"/>
          <w:szCs w:val="20"/>
          <w:color w:val="auto"/>
        </w:rPr>
      </w:pPr>
    </w:p>
    <w:p>
      <w:pPr>
        <w:ind w:left="1220" w:hanging="500"/>
        <w:spacing w:after="0"/>
        <w:tabs>
          <w:tab w:leader="none" w:pos="122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market conditions and price that may limit your ability to sell our common stock;</w:t>
      </w:r>
    </w:p>
    <w:p>
      <w:pPr>
        <w:sectPr>
          <w:pgSz w:w="11880" w:h="15480" w:orient="portrait"/>
          <w:cols w:equalWidth="0" w:num="1">
            <w:col w:w="10780"/>
          </w:cols>
          <w:pgMar w:left="540" w:top="764" w:right="560" w:bottom="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780"/>
          </w:cols>
          <w:pgMar w:left="540" w:top="764" w:right="560" w:bottom="0" w:gutter="0" w:footer="0" w:header="0"/>
          <w:type w:val="continuous"/>
        </w:sectPr>
      </w:pPr>
    </w:p>
    <w:bookmarkStart w:id="47" w:name="page48"/>
    <w:bookmarkEnd w:id="47"/>
    <w:p>
      <w:pPr>
        <w:ind w:left="1220" w:hanging="500"/>
        <w:spacing w:after="0"/>
        <w:tabs>
          <w:tab w:leader="none" w:pos="12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the volatility of our stock price;</w:t>
      </w:r>
    </w:p>
    <w:p>
      <w:pPr>
        <w:spacing w:after="0" w:line="35" w:lineRule="exact"/>
        <w:rPr>
          <w:rFonts w:ascii="Arial" w:cs="Arial" w:eastAsia="Arial" w:hAnsi="Arial"/>
          <w:sz w:val="20"/>
          <w:szCs w:val="20"/>
          <w:color w:val="231F20"/>
        </w:rPr>
      </w:pPr>
    </w:p>
    <w:p>
      <w:pPr>
        <w:ind w:left="1220" w:hanging="500"/>
        <w:spacing w:after="0"/>
        <w:tabs>
          <w:tab w:leader="none" w:pos="12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adverse or misleading industry analyst publications regarding our business or market;</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significant fluctuations in our operating results;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principal stockholders and management that may exert significant control over stockholder approval matters;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large sales of our stock that could cause our stock price to fall;</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of our internal controls that could impair our ability to produce accurate financial statements;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limitations of our disclosure controls and procedures;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liabilities related to securities litigation;</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intention not to pay dividends;</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provisions of our certificate of incorporation and bylaws that may prevent or delay a change in control; and</w:t>
      </w:r>
    </w:p>
    <w:p>
      <w:pPr>
        <w:spacing w:after="0" w:line="13" w:lineRule="exact"/>
        <w:rPr>
          <w:rFonts w:ascii="Arial" w:cs="Arial" w:eastAsia="Arial" w:hAnsi="Arial"/>
          <w:sz w:val="20"/>
          <w:szCs w:val="20"/>
          <w:color w:val="231F20"/>
        </w:rPr>
      </w:pPr>
    </w:p>
    <w:p>
      <w:pPr>
        <w:ind w:left="1220" w:hanging="500"/>
        <w:spacing w:after="0"/>
        <w:tabs>
          <w:tab w:leader="none" w:pos="122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exclusive forum provisions in our bylaws that may limit stockholder ability to obtain a favorable judicial forum.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financial position and need for additional capital</w:t>
      </w:r>
    </w:p>
    <w:p>
      <w:pPr>
        <w:spacing w:after="0" w:line="12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spacing w:after="0" w:line="68"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231F20"/>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We have initiated clinical trials for a limited number of our product candidates. To date, we have devoted substantially all of our resources to research and development activities, including with respect to the preclinical and clinical development of rinzimetostat (formerly ORIC-944), enozertinib (formerly ORIC-114) and our other product candidates, in-licensing of external programs, business planning, establishing and maintaining our intellectual property portfolio, hiring personnel, raising capital and providing general and administrative support for these operations.</w:t>
      </w:r>
    </w:p>
    <w:p>
      <w:pPr>
        <w:spacing w:after="0" w:line="82"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31F20"/>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4"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77"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incurred significant net losses since our inception, and we expect to continue to incur significant net losses for the foreseeable future.</w:t>
      </w:r>
    </w:p>
    <w:p>
      <w:pPr>
        <w:spacing w:after="0" w:line="4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We have incurred significant net losses since our inception, have not generated any revenue from product sales to date and have financed our operations principally through public offerings and private placements of our common stock, convertible preferred stock and other derivative securities. Our net loss was $ 129.5 million for the year ended December 31, 2025, and as of December 31, 2025, we had an accumulated deficit of $692.2 million.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develop and market additional potential products.</w:t>
      </w:r>
    </w:p>
    <w:p>
      <w:pPr>
        <w:spacing w:after="0" w:line="80"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8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ability to generate revenue and achieve profitability depends significantly on our ability to achieve several objectives relating to the development and commercialization of our product candidates.</w:t>
      </w:r>
    </w:p>
    <w:p>
      <w:pPr>
        <w:spacing w:after="0" w:line="49" w:lineRule="exact"/>
        <w:rPr>
          <w:sz w:val="20"/>
          <w:szCs w:val="20"/>
          <w:color w:val="auto"/>
        </w:rPr>
      </w:pPr>
    </w:p>
    <w:p>
      <w:pPr>
        <w:ind w:right="220" w:firstLine="720"/>
        <w:spacing w:after="0" w:line="305" w:lineRule="auto"/>
        <w:rPr>
          <w:sz w:val="20"/>
          <w:szCs w:val="20"/>
          <w:color w:val="auto"/>
        </w:rPr>
      </w:pPr>
      <w:r>
        <w:rPr>
          <w:rFonts w:ascii="Times New Roman" w:cs="Times New Roman" w:eastAsia="Times New Roman" w:hAnsi="Times New Roman"/>
          <w:sz w:val="19"/>
          <w:szCs w:val="19"/>
          <w:color w:val="231F20"/>
        </w:rPr>
        <w:t>Our business depends entirely on the successful development and commercialization of product candidates. We have no products approved for commercial sale and do not anticipate generating any revenue from product sales for the next several years, if</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800"/>
          </w:cols>
          <w:pgMar w:left="540" w:top="764" w:right="540" w:bottom="0" w:gutter="0" w:footer="0" w:header="0"/>
          <w:type w:val="continuous"/>
        </w:sectPr>
      </w:pPr>
    </w:p>
    <w:bookmarkStart w:id="48" w:name="page49"/>
    <w:bookmarkEnd w:id="48"/>
    <w:p>
      <w:pPr>
        <w:ind w:right="1020"/>
        <w:spacing w:after="0" w:line="277" w:lineRule="auto"/>
        <w:rPr>
          <w:sz w:val="20"/>
          <w:szCs w:val="20"/>
          <w:color w:val="auto"/>
        </w:rPr>
      </w:pPr>
      <w:r>
        <w:rPr>
          <w:rFonts w:ascii="Times New Roman" w:cs="Times New Roman" w:eastAsia="Times New Roman" w:hAnsi="Times New Roman"/>
          <w:sz w:val="20"/>
          <w:szCs w:val="20"/>
          <w:color w:val="231F20"/>
        </w:rPr>
        <w:t>ever. Our ability to generate revenue and achieve profitability depends significantly on our ability, or any current or future collaborator’s ability, to achieve several objectives, including:</w:t>
      </w:r>
    </w:p>
    <w:p>
      <w:pPr>
        <w:spacing w:after="0" w:line="55" w:lineRule="exact"/>
        <w:rPr>
          <w:sz w:val="20"/>
          <w:szCs w:val="20"/>
          <w:color w:val="auto"/>
        </w:rPr>
      </w:pPr>
    </w:p>
    <w:p>
      <w:pPr>
        <w:ind w:left="1220" w:right="320" w:hanging="500"/>
        <w:spacing w:after="0" w:line="267" w:lineRule="auto"/>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successful and timely completion of preclinical and clinical development of rinzimetostat, enozertinib and our other future product candidates;</w:t>
      </w:r>
    </w:p>
    <w:p>
      <w:pPr>
        <w:spacing w:after="0" w:line="62" w:lineRule="exact"/>
        <w:rPr>
          <w:rFonts w:ascii="Arial" w:cs="Arial" w:eastAsia="Arial" w:hAnsi="Arial"/>
          <w:sz w:val="20"/>
          <w:szCs w:val="20"/>
          <w:color w:val="231F20"/>
        </w:rPr>
      </w:pPr>
    </w:p>
    <w:p>
      <w:pPr>
        <w:ind w:left="1220" w:hanging="500"/>
        <w:spacing w:after="0" w:line="267" w:lineRule="auto"/>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establishing and maintaining relationships with contract research organizations (CROs) and clinical sites for the clinical development of rinzimetostat, enozertinib and our other future product candidates;</w:t>
      </w:r>
    </w:p>
    <w:p>
      <w:pPr>
        <w:spacing w:after="0" w:line="62" w:lineRule="exact"/>
        <w:rPr>
          <w:rFonts w:ascii="Arial" w:cs="Arial" w:eastAsia="Arial" w:hAnsi="Arial"/>
          <w:sz w:val="20"/>
          <w:szCs w:val="20"/>
          <w:color w:val="231F20"/>
        </w:rPr>
      </w:pPr>
    </w:p>
    <w:p>
      <w:pPr>
        <w:ind w:left="1220" w:right="220" w:hanging="500"/>
        <w:spacing w:after="0" w:line="267" w:lineRule="auto"/>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20"/>
          <w:szCs w:val="20"/>
          <w:color w:val="231F20"/>
        </w:rPr>
      </w:pPr>
    </w:p>
    <w:p>
      <w:pPr>
        <w:ind w:left="1220" w:right="340" w:hanging="500"/>
        <w:spacing w:after="0" w:line="267" w:lineRule="auto"/>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developing an efficient and scalable manufacturing process for our product candidates, including obtaining finished products that are appropriately packaged for sale;</w:t>
      </w:r>
    </w:p>
    <w:p>
      <w:pPr>
        <w:spacing w:after="0" w:line="62" w:lineRule="exact"/>
        <w:rPr>
          <w:rFonts w:ascii="Arial" w:cs="Arial" w:eastAsia="Arial" w:hAnsi="Arial"/>
          <w:sz w:val="20"/>
          <w:szCs w:val="20"/>
          <w:color w:val="231F20"/>
        </w:rPr>
      </w:pPr>
    </w:p>
    <w:p>
      <w:pPr>
        <w:ind w:left="1220" w:right="300" w:hanging="500"/>
        <w:spacing w:after="0" w:line="248" w:lineRule="auto"/>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81" w:lineRule="exact"/>
        <w:rPr>
          <w:rFonts w:ascii="Arial" w:cs="Arial" w:eastAsia="Arial" w:hAnsi="Arial"/>
          <w:sz w:val="20"/>
          <w:szCs w:val="20"/>
          <w:color w:val="231F20"/>
        </w:rPr>
      </w:pPr>
    </w:p>
    <w:p>
      <w:pPr>
        <w:ind w:left="1220" w:right="820" w:hanging="500"/>
        <w:spacing w:after="0" w:line="267" w:lineRule="auto"/>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20"/>
          <w:szCs w:val="20"/>
          <w:color w:val="231F20"/>
        </w:rPr>
      </w:pPr>
    </w:p>
    <w:p>
      <w:pPr>
        <w:ind w:left="1220" w:hanging="500"/>
        <w:spacing w:after="0"/>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a continued acceptable safety profile following any marketing approval of our product candidates;</w:t>
      </w:r>
    </w:p>
    <w:p>
      <w:pPr>
        <w:spacing w:after="0" w:line="123" w:lineRule="exact"/>
        <w:rPr>
          <w:rFonts w:ascii="Arial" w:cs="Arial" w:eastAsia="Arial" w:hAnsi="Arial"/>
          <w:sz w:val="20"/>
          <w:szCs w:val="20"/>
          <w:color w:val="231F20"/>
        </w:rPr>
      </w:pPr>
    </w:p>
    <w:p>
      <w:pPr>
        <w:ind w:left="1220" w:hanging="500"/>
        <w:spacing w:after="0"/>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commercial acceptance of our product candidates by patients, the medical community and third-party payors;</w:t>
      </w:r>
    </w:p>
    <w:p>
      <w:pPr>
        <w:spacing w:after="0" w:line="123" w:lineRule="exact"/>
        <w:rPr>
          <w:rFonts w:ascii="Arial" w:cs="Arial" w:eastAsia="Arial" w:hAnsi="Arial"/>
          <w:sz w:val="20"/>
          <w:szCs w:val="20"/>
          <w:color w:val="231F20"/>
        </w:rPr>
      </w:pPr>
    </w:p>
    <w:p>
      <w:pPr>
        <w:ind w:left="1220" w:hanging="500"/>
        <w:spacing w:after="0"/>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satisfying any required post-marketing approval commitments to applicable regulatory authorities;</w:t>
      </w:r>
    </w:p>
    <w:p>
      <w:pPr>
        <w:spacing w:after="0" w:line="123" w:lineRule="exact"/>
        <w:rPr>
          <w:rFonts w:ascii="Arial" w:cs="Arial" w:eastAsia="Arial" w:hAnsi="Arial"/>
          <w:sz w:val="20"/>
          <w:szCs w:val="20"/>
          <w:color w:val="231F20"/>
        </w:rPr>
      </w:pPr>
    </w:p>
    <w:p>
      <w:pPr>
        <w:ind w:left="1220" w:hanging="500"/>
        <w:spacing w:after="0"/>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identifying, assessing and developing new product candidates;</w:t>
      </w:r>
    </w:p>
    <w:p>
      <w:pPr>
        <w:spacing w:after="0" w:line="123" w:lineRule="exact"/>
        <w:rPr>
          <w:rFonts w:ascii="Arial" w:cs="Arial" w:eastAsia="Arial" w:hAnsi="Arial"/>
          <w:sz w:val="20"/>
          <w:szCs w:val="20"/>
          <w:color w:val="231F20"/>
        </w:rPr>
      </w:pPr>
    </w:p>
    <w:p>
      <w:pPr>
        <w:ind w:left="1220" w:right="180" w:hanging="500"/>
        <w:spacing w:after="0" w:line="267" w:lineRule="auto"/>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20"/>
          <w:szCs w:val="20"/>
          <w:color w:val="231F20"/>
        </w:rPr>
      </w:pPr>
    </w:p>
    <w:p>
      <w:pPr>
        <w:ind w:left="1220" w:hanging="500"/>
        <w:spacing w:after="0"/>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protecting our rights in our intellectual property portfolio;</w:t>
      </w:r>
    </w:p>
    <w:p>
      <w:pPr>
        <w:spacing w:after="0" w:line="123" w:lineRule="exact"/>
        <w:rPr>
          <w:rFonts w:ascii="Arial" w:cs="Arial" w:eastAsia="Arial" w:hAnsi="Arial"/>
          <w:sz w:val="20"/>
          <w:szCs w:val="20"/>
          <w:color w:val="231F20"/>
        </w:rPr>
      </w:pPr>
    </w:p>
    <w:p>
      <w:pPr>
        <w:ind w:left="1220" w:hanging="500"/>
        <w:spacing w:after="0"/>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defending against third-party interference or infringement claims, if any;</w:t>
      </w:r>
    </w:p>
    <w:p>
      <w:pPr>
        <w:spacing w:after="0" w:line="123" w:lineRule="exact"/>
        <w:rPr>
          <w:rFonts w:ascii="Arial" w:cs="Arial" w:eastAsia="Arial" w:hAnsi="Arial"/>
          <w:sz w:val="20"/>
          <w:szCs w:val="20"/>
          <w:color w:val="231F20"/>
        </w:rPr>
      </w:pPr>
    </w:p>
    <w:p>
      <w:pPr>
        <w:ind w:left="1220" w:right="60" w:hanging="500"/>
        <w:spacing w:after="0" w:line="267" w:lineRule="auto"/>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20"/>
          <w:szCs w:val="20"/>
          <w:color w:val="231F20"/>
        </w:rPr>
      </w:pPr>
    </w:p>
    <w:p>
      <w:pPr>
        <w:ind w:left="1220" w:hanging="500"/>
        <w:spacing w:after="0"/>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obtaining coverage and adequate reimbursement by third-party payors for our product candidates;</w:t>
      </w:r>
    </w:p>
    <w:p>
      <w:pPr>
        <w:spacing w:after="0" w:line="123" w:lineRule="exact"/>
        <w:rPr>
          <w:rFonts w:ascii="Arial" w:cs="Arial" w:eastAsia="Arial" w:hAnsi="Arial"/>
          <w:sz w:val="20"/>
          <w:szCs w:val="20"/>
          <w:color w:val="231F20"/>
        </w:rPr>
      </w:pPr>
    </w:p>
    <w:p>
      <w:pPr>
        <w:ind w:left="1220" w:hanging="500"/>
        <w:spacing w:after="0"/>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addressing any competing therapies and technological and market developments; and</w:t>
      </w:r>
    </w:p>
    <w:p>
      <w:pPr>
        <w:spacing w:after="0" w:line="123" w:lineRule="exact"/>
        <w:rPr>
          <w:rFonts w:ascii="Arial" w:cs="Arial" w:eastAsia="Arial" w:hAnsi="Arial"/>
          <w:sz w:val="20"/>
          <w:szCs w:val="20"/>
          <w:color w:val="231F20"/>
        </w:rPr>
      </w:pPr>
    </w:p>
    <w:p>
      <w:pPr>
        <w:ind w:left="1220" w:hanging="500"/>
        <w:spacing w:after="0"/>
        <w:tabs>
          <w:tab w:leader="none" w:pos="12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attracting, hiring and retaining qualified personnel.</w:t>
      </w:r>
    </w:p>
    <w:p>
      <w:pPr>
        <w:spacing w:after="0" w:line="110" w:lineRule="exact"/>
        <w:rPr>
          <w:sz w:val="20"/>
          <w:szCs w:val="20"/>
          <w:color w:val="auto"/>
        </w:rPr>
      </w:pPr>
    </w:p>
    <w:p>
      <w:pPr>
        <w:ind w:right="80" w:firstLine="720"/>
        <w:spacing w:after="0" w:line="239" w:lineRule="auto"/>
        <w:rPr>
          <w:sz w:val="20"/>
          <w:szCs w:val="20"/>
          <w:color w:val="auto"/>
        </w:rPr>
      </w:pPr>
      <w:r>
        <w:rPr>
          <w:rFonts w:ascii="Times New Roman" w:cs="Times New Roman" w:eastAsia="Times New Roman" w:hAnsi="Times New Roman"/>
          <w:sz w:val="20"/>
          <w:szCs w:val="20"/>
          <w:color w:val="231F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8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8"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our product candidates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are not permitted to market or promote our product candidates before we receive marketing approval from the FDA. Accordingly, we will need to obtain substantial additional funding in order to continue our operations.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800"/>
          </w:cols>
          <w:pgMar w:left="540" w:top="750" w:right="540" w:bottom="0" w:gutter="0" w:footer="0" w:header="0"/>
          <w:type w:val="continuous"/>
        </w:sectPr>
      </w:pPr>
    </w:p>
    <w:bookmarkStart w:id="49" w:name="page50"/>
    <w:bookmarkEnd w:id="49"/>
    <w:p>
      <w:pPr>
        <w:ind w:firstLine="720"/>
        <w:spacing w:after="0" w:line="247" w:lineRule="auto"/>
        <w:rPr>
          <w:sz w:val="20"/>
          <w:szCs w:val="20"/>
          <w:color w:val="auto"/>
        </w:rPr>
      </w:pPr>
      <w:r>
        <w:rPr>
          <w:rFonts w:ascii="Times New Roman" w:cs="Times New Roman" w:eastAsia="Times New Roman" w:hAnsi="Times New Roman"/>
          <w:sz w:val="20"/>
          <w:szCs w:val="20"/>
          <w:color w:val="231F20"/>
        </w:rPr>
        <w:t>As of December 31, 2025, we had $392.3 million in cash, cash equivalents and investments. Based on our current operating plan, we believe that our existing cash, cash equivalents and investments will be sufficient to fund our operations into the second half of 2028. Our estimate as to how long we expect our existing cash, cash equivalents, and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8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the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82"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231F20"/>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68"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Market conditions and changing circumstances, some of which may be beyond our control, could impair our ability to access our existing cash, cash equivalents and investments and to timely pay key vendors and others.</w:t>
      </w:r>
    </w:p>
    <w:p>
      <w:pPr>
        <w:spacing w:after="0" w:line="4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Market conditions and changing circumstances, some of which may be beyond our control, could impair our ability to access our existing cash, cash equivalents and investments and to timely pay key vendors and others. For example, on March 10, 2023, Silicon Valley Bank (SVB), where we maintained certain accounts, was placed into receivership with the Federal Deposit Insurance Corporation (FDIC), which resulted in all funds held at SVB being temporarily inaccessible by SVB’s customers. If other banks and financial institutions with whom we have banking relationships enter receivership or become insolvent in the future, we may be unable to access, and we may lose, some or all of our existing cash, cash equivalents and investments to the extent those funds are not insured or otherwise protected by the FDIC. In addition, in such circumstances we might not be able to timely pay key vendors and others. We regularly maintain cash balances that are not insured or are in excess of the FDIC’s insurance limit. Any delay in our ability to access our cash, cash equivalents and investments (or the loss of some or all of such funds) or to timely pay key vendors and others could have a material adverse effect on our operations and cause us to need to seek additional capital sooner than planned.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development and commercialization of our product candidates</w:t>
      </w:r>
    </w:p>
    <w:p>
      <w:pPr>
        <w:spacing w:after="0" w:line="12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substantially dependent on the success of our product candidates, rinzimetostat and enozertinib. If we are unable to complete development of, obtain approval for and commercialize our product candidates for one or more indications in a timely manner, our business will be harmed.</w:t>
      </w:r>
    </w:p>
    <w:p>
      <w:pPr>
        <w:spacing w:after="0" w:line="68" w:lineRule="exact"/>
        <w:rPr>
          <w:sz w:val="20"/>
          <w:szCs w:val="20"/>
          <w:color w:val="auto"/>
        </w:rPr>
      </w:pPr>
    </w:p>
    <w:p>
      <w:pPr>
        <w:ind w:right="520" w:firstLine="720"/>
        <w:spacing w:after="0" w:line="258" w:lineRule="auto"/>
        <w:rPr>
          <w:sz w:val="20"/>
          <w:szCs w:val="20"/>
          <w:color w:val="auto"/>
        </w:rPr>
      </w:pPr>
      <w:r>
        <w:rPr>
          <w:rFonts w:ascii="Times New Roman" w:cs="Times New Roman" w:eastAsia="Times New Roman" w:hAnsi="Times New Roman"/>
          <w:sz w:val="20"/>
          <w:szCs w:val="20"/>
          <w:color w:val="231F20"/>
        </w:rPr>
        <w:t>We allocate the majority of our efforts and financial resources to the development of rinzimetostat and enozertinib. Our future success is dependent on our ability to timely and successfully complete clinical trials, obtain marketing approval for and successfully commercialize rinzimetostat and enozertinib.</w:t>
      </w:r>
    </w:p>
    <w:p>
      <w:pPr>
        <w:spacing w:after="0" w:line="68" w:lineRule="exact"/>
        <w:rPr>
          <w:sz w:val="20"/>
          <w:szCs w:val="20"/>
          <w:color w:val="auto"/>
        </w:rPr>
      </w:pPr>
    </w:p>
    <w:p>
      <w:pPr>
        <w:jc w:val="both"/>
        <w:ind w:right="240" w:firstLine="720"/>
        <w:spacing w:after="0" w:line="249" w:lineRule="auto"/>
        <w:rPr>
          <w:sz w:val="20"/>
          <w:szCs w:val="20"/>
          <w:color w:val="auto"/>
        </w:rPr>
      </w:pPr>
      <w:r>
        <w:rPr>
          <w:rFonts w:ascii="Times New Roman" w:cs="Times New Roman" w:eastAsia="Times New Roman" w:hAnsi="Times New Roman"/>
          <w:sz w:val="20"/>
          <w:szCs w:val="20"/>
          <w:color w:val="231F20"/>
        </w:rPr>
        <w:t>These product candidates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rinzimetostat, enozertinib or any other product candidate, before we receive marketing approval from the FDA and comparable foreign regulatory authorities, and we may never receive such marketing approvals.</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success of our product candidates will depend on several factors, including the following:</w:t>
      </w:r>
    </w:p>
    <w:p>
      <w:pPr>
        <w:spacing w:after="0" w:line="134" w:lineRule="exact"/>
        <w:rPr>
          <w:sz w:val="20"/>
          <w:szCs w:val="20"/>
          <w:color w:val="auto"/>
        </w:rPr>
      </w:pPr>
    </w:p>
    <w:p>
      <w:pPr>
        <w:ind w:left="1220" w:hanging="500"/>
        <w:spacing w:after="0"/>
        <w:tabs>
          <w:tab w:leader="none" w:pos="122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successful and timely completion of our ongoing clinical trials of our product candidates;</w:t>
      </w:r>
    </w:p>
    <w:p>
      <w:pPr>
        <w:spacing w:after="0" w:line="133" w:lineRule="exact"/>
        <w:rPr>
          <w:rFonts w:ascii="Arial" w:cs="Arial" w:eastAsia="Arial" w:hAnsi="Arial"/>
          <w:sz w:val="20"/>
          <w:szCs w:val="20"/>
          <w:color w:val="231F20"/>
        </w:rPr>
      </w:pPr>
    </w:p>
    <w:p>
      <w:pPr>
        <w:ind w:left="1220" w:right="60" w:hanging="500"/>
        <w:spacing w:after="0" w:line="276" w:lineRule="auto"/>
        <w:tabs>
          <w:tab w:leader="none" w:pos="122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addressing any delays in our clinical trials and additional costs incurred as a result of a global pandemic or other public health emergencies, including those resulting from preclinical study delays and adjustment to our clinical trials;</w:t>
      </w:r>
    </w:p>
    <w:p>
      <w:pPr>
        <w:spacing w:after="0" w:line="64" w:lineRule="exact"/>
        <w:rPr>
          <w:rFonts w:ascii="Arial" w:cs="Arial" w:eastAsia="Arial" w:hAnsi="Arial"/>
          <w:sz w:val="20"/>
          <w:szCs w:val="20"/>
          <w:color w:val="231F20"/>
        </w:rPr>
      </w:pPr>
    </w:p>
    <w:p>
      <w:pPr>
        <w:ind w:left="1220" w:right="60" w:hanging="500"/>
        <w:spacing w:after="0" w:line="276" w:lineRule="auto"/>
        <w:tabs>
          <w:tab w:leader="none" w:pos="122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initiation and successful patient enrollment and completion of additional clinical trials of our product candidates on a timely basis;</w:t>
      </w:r>
    </w:p>
    <w:p>
      <w:pPr>
        <w:spacing w:after="0" w:line="64" w:lineRule="exact"/>
        <w:rPr>
          <w:rFonts w:ascii="Arial" w:cs="Arial" w:eastAsia="Arial" w:hAnsi="Arial"/>
          <w:sz w:val="20"/>
          <w:szCs w:val="20"/>
          <w:color w:val="231F20"/>
        </w:rPr>
      </w:pPr>
    </w:p>
    <w:p>
      <w:pPr>
        <w:ind w:left="1220" w:right="400" w:hanging="500"/>
        <w:spacing w:after="0" w:line="276" w:lineRule="auto"/>
        <w:tabs>
          <w:tab w:leader="none" w:pos="122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maintaining and establishing relationships with CROs and clinical sites for the clinical development of our product candidates both in the United States and internationally;</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800"/>
          </w:cols>
          <w:pgMar w:left="540" w:top="750" w:right="540" w:bottom="0" w:gutter="0" w:footer="0" w:header="0"/>
          <w:type w:val="continuous"/>
        </w:sectPr>
      </w:pPr>
    </w:p>
    <w:bookmarkStart w:id="50" w:name="page51"/>
    <w:bookmarkEnd w:id="50"/>
    <w:p>
      <w:pPr>
        <w:ind w:left="1220" w:hanging="500"/>
        <w:spacing w:after="0"/>
        <w:tabs>
          <w:tab w:leader="none" w:pos="12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frequency and severity of adverse events in clinical trials;</w:t>
      </w:r>
    </w:p>
    <w:p>
      <w:pPr>
        <w:spacing w:after="0" w:line="133" w:lineRule="exact"/>
        <w:rPr>
          <w:rFonts w:ascii="Arial" w:cs="Arial" w:eastAsia="Arial" w:hAnsi="Arial"/>
          <w:sz w:val="20"/>
          <w:szCs w:val="20"/>
          <w:color w:val="231F20"/>
        </w:rPr>
      </w:pPr>
    </w:p>
    <w:p>
      <w:pPr>
        <w:ind w:left="1220" w:right="580" w:hanging="500"/>
        <w:spacing w:after="0" w:line="276" w:lineRule="auto"/>
        <w:tabs>
          <w:tab w:leader="none" w:pos="12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demonstrating efficacy, safety and tolerability profiles that are satisfactory to the FDA, EMA or any comparable foreign regulatory authority for marketing approval;</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timely receipt of marketing approvals for our product candidates from applicable regulatory authorities;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timely identification, development and approval of companion diagnostic tests, if required;</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of any required post-marketing approval commitments to applicable regulatory authorities;</w:t>
      </w:r>
    </w:p>
    <w:p>
      <w:pPr>
        <w:spacing w:after="0" w:line="133" w:lineRule="exact"/>
        <w:rPr>
          <w:rFonts w:ascii="Arial" w:cs="Arial" w:eastAsia="Arial" w:hAnsi="Arial"/>
          <w:sz w:val="20"/>
          <w:szCs w:val="20"/>
          <w:color w:val="231F20"/>
        </w:rPr>
      </w:pPr>
    </w:p>
    <w:p>
      <w:pPr>
        <w:ind w:left="1220" w:right="240" w:hanging="500"/>
        <w:spacing w:after="0" w:line="304" w:lineRule="auto"/>
        <w:tabs>
          <w:tab w:leader="none" w:pos="1220" w:val="left"/>
        </w:tabs>
        <w:numPr>
          <w:ilvl w:val="0"/>
          <w:numId w:val="32"/>
        </w:numPr>
        <w:rPr>
          <w:rFonts w:ascii="Arial" w:cs="Arial" w:eastAsia="Arial" w:hAnsi="Arial"/>
          <w:sz w:val="19"/>
          <w:szCs w:val="19"/>
          <w:color w:val="231F20"/>
        </w:rPr>
      </w:pPr>
      <w:r>
        <w:rPr>
          <w:rFonts w:ascii="Times New Roman" w:cs="Times New Roman" w:eastAsia="Times New Roman" w:hAnsi="Times New Roman"/>
          <w:sz w:val="19"/>
          <w:szCs w:val="19"/>
          <w:color w:val="231F20"/>
        </w:rPr>
        <w:t>the maintenance of existing or the establishment of new supply arrangements with third-party drug product suppliers and manufacturers for clinical development and, if approved, commercialization of our product candidates;</w:t>
      </w:r>
    </w:p>
    <w:p>
      <w:pPr>
        <w:spacing w:after="0" w:line="39" w:lineRule="exact"/>
        <w:rPr>
          <w:rFonts w:ascii="Arial" w:cs="Arial" w:eastAsia="Arial" w:hAnsi="Arial"/>
          <w:sz w:val="19"/>
          <w:szCs w:val="19"/>
          <w:color w:val="231F20"/>
        </w:rPr>
      </w:pPr>
    </w:p>
    <w:p>
      <w:pPr>
        <w:ind w:left="1220" w:right="500" w:hanging="500"/>
        <w:spacing w:after="0" w:line="276" w:lineRule="auto"/>
        <w:tabs>
          <w:tab w:leader="none" w:pos="12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obtaining and maintaining patent protection, trade secret protection and regulatory exclusivity, both in the United States and internationally;</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protection of our rights in our intellectual property portfolio;</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successful launch of commercial sales following any marketing approval;</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a continued acceptable safety profile following any marketing approval;</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commercial acceptance by patients, the medical community and third-party payors; and</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compete with other therapies.</w:t>
      </w:r>
    </w:p>
    <w:p>
      <w:pPr>
        <w:spacing w:after="0" w:line="11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our product candidates, which would materially harm our business. If we do not receive marketing approvals for our product candidates, we may not be able to continue our operations.</w:t>
      </w:r>
    </w:p>
    <w:p>
      <w:pPr>
        <w:spacing w:after="0" w:line="8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 addition to rinzimetostat and enozertinib, our prospects depend in part upon developing and commercializing additional product candidates, which may fail in development or suffer delays that adversely affect their commercial viability.</w:t>
      </w:r>
    </w:p>
    <w:p>
      <w:pPr>
        <w:spacing w:after="0" w:line="49"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231F20"/>
        </w:rPr>
        <w:t>Our future operating results are dependent on our ability to successfully develop, obtain regulatory approval for and commercialize product candidates. All of our current programs other than rinzimetostat and enozertinib,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success of other product candidates we may develop will depend on many factors, including the following:</w:t>
      </w:r>
    </w:p>
    <w:p>
      <w:pPr>
        <w:spacing w:after="0" w:line="134" w:lineRule="exact"/>
        <w:rPr>
          <w:sz w:val="20"/>
          <w:szCs w:val="20"/>
          <w:color w:val="auto"/>
        </w:rPr>
      </w:pPr>
    </w:p>
    <w:p>
      <w:pPr>
        <w:ind w:left="1220" w:hanging="500"/>
        <w:spacing w:after="0"/>
        <w:tabs>
          <w:tab w:leader="none" w:pos="122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generating sufficient data to support the initiation or continuation of clinical trials;</w:t>
      </w:r>
    </w:p>
    <w:p>
      <w:pPr>
        <w:spacing w:after="0" w:line="133" w:lineRule="exact"/>
        <w:rPr>
          <w:rFonts w:ascii="Arial" w:cs="Arial" w:eastAsia="Arial" w:hAnsi="Arial"/>
          <w:sz w:val="20"/>
          <w:szCs w:val="20"/>
          <w:color w:val="231F20"/>
        </w:rPr>
      </w:pPr>
    </w:p>
    <w:p>
      <w:pPr>
        <w:ind w:left="1220" w:right="440" w:hanging="500"/>
        <w:spacing w:after="0" w:line="276" w:lineRule="auto"/>
        <w:tabs>
          <w:tab w:leader="none" w:pos="122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addressing any delays in our research programs resulting from factors related to a global pandemic or other public health emergencies;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obtaining regulatory permission to initiate clinical trials;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contracting with the necessary parties to conduct clinical trials;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successful enrollment of patients in, and the completion of, clinical trials on a timely basis;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timely manufacture of sufficient quantities of a product candidate for use in clinical trials; and</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adverse events in clinical trials.</w:t>
      </w:r>
    </w:p>
    <w:p>
      <w:pPr>
        <w:spacing w:after="0" w:line="119"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231F20"/>
        </w:rPr>
        <w:t>Even if we successfully advance product candidates into clinical development, their success will be subject to all of the clinical, regulatory and commercial risks described elsewhere in this “Risk Factors” section. Accordingly, we cannot assure you that we will ever be able to develop, obtain regulatory approval of, commercialize or generate significant revenue from any product candidates.</w:t>
      </w:r>
    </w:p>
    <w:p>
      <w:pPr>
        <w:sectPr>
          <w:pgSz w:w="11880" w:h="15480" w:orient="portrait"/>
          <w:cols w:equalWidth="0" w:num="1">
            <w:col w:w="10780"/>
          </w:cols>
          <w:pgMar w:left="540" w:top="76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780"/>
          </w:cols>
          <w:pgMar w:left="540" w:top="764" w:right="560" w:bottom="0" w:gutter="0" w:footer="0" w:header="0"/>
          <w:type w:val="continuous"/>
        </w:sectPr>
      </w:pPr>
    </w:p>
    <w:bookmarkStart w:id="51" w:name="page52"/>
    <w:bookmarkEnd w:id="51"/>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8" w:lineRule="exact"/>
        <w:rPr>
          <w:sz w:val="20"/>
          <w:szCs w:val="20"/>
          <w:color w:val="auto"/>
        </w:rPr>
      </w:pPr>
    </w:p>
    <w:p>
      <w:pPr>
        <w:ind w:right="220" w:firstLine="720"/>
        <w:spacing w:after="0" w:line="242" w:lineRule="auto"/>
        <w:rPr>
          <w:sz w:val="20"/>
          <w:szCs w:val="20"/>
          <w:color w:val="auto"/>
        </w:rPr>
      </w:pPr>
      <w:r>
        <w:rPr>
          <w:rFonts w:ascii="Times New Roman" w:cs="Times New Roman" w:eastAsia="Times New Roman" w:hAnsi="Times New Roman"/>
          <w:sz w:val="20"/>
          <w:szCs w:val="20"/>
          <w:color w:val="231F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Applications for our product candidates could fail to receive regulatory approval for many reasons, including the following:</w:t>
      </w:r>
    </w:p>
    <w:p>
      <w:pPr>
        <w:spacing w:after="0" w:line="134" w:lineRule="exact"/>
        <w:rPr>
          <w:sz w:val="20"/>
          <w:szCs w:val="20"/>
          <w:color w:val="auto"/>
        </w:rPr>
      </w:pPr>
    </w:p>
    <w:p>
      <w:pPr>
        <w:ind w:left="1220" w:right="340" w:hanging="500"/>
        <w:spacing w:after="0" w:line="276" w:lineRule="auto"/>
        <w:tabs>
          <w:tab w:leader="none" w:pos="12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EMA or other comparable foreign regulatory authorities may disagree with the design, implementation or results of our clinical trials;</w:t>
      </w:r>
    </w:p>
    <w:p>
      <w:pPr>
        <w:spacing w:after="0" w:line="64" w:lineRule="exact"/>
        <w:rPr>
          <w:rFonts w:ascii="Arial" w:cs="Arial" w:eastAsia="Arial" w:hAnsi="Arial"/>
          <w:sz w:val="20"/>
          <w:szCs w:val="20"/>
          <w:color w:val="231F20"/>
        </w:rPr>
      </w:pPr>
    </w:p>
    <w:p>
      <w:pPr>
        <w:ind w:left="1220" w:right="220" w:hanging="500"/>
        <w:spacing w:after="0" w:line="258" w:lineRule="auto"/>
        <w:tabs>
          <w:tab w:leader="none" w:pos="12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81" w:lineRule="exact"/>
        <w:rPr>
          <w:rFonts w:ascii="Arial" w:cs="Arial" w:eastAsia="Arial" w:hAnsi="Arial"/>
          <w:sz w:val="20"/>
          <w:szCs w:val="20"/>
          <w:color w:val="231F20"/>
        </w:rPr>
      </w:pPr>
    </w:p>
    <w:p>
      <w:pPr>
        <w:ind w:left="1220" w:right="180" w:hanging="500"/>
        <w:spacing w:after="0" w:line="276" w:lineRule="auto"/>
        <w:tabs>
          <w:tab w:leader="none" w:pos="12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population studied in the clinical trial may not be sufficiently broad or representative to assure efficacy and safety in the full population for which we seek approval;</w:t>
      </w:r>
    </w:p>
    <w:p>
      <w:pPr>
        <w:spacing w:after="0" w:line="64" w:lineRule="exact"/>
        <w:rPr>
          <w:rFonts w:ascii="Arial" w:cs="Arial" w:eastAsia="Arial" w:hAnsi="Arial"/>
          <w:sz w:val="20"/>
          <w:szCs w:val="20"/>
          <w:color w:val="231F20"/>
        </w:rPr>
      </w:pPr>
    </w:p>
    <w:p>
      <w:pPr>
        <w:ind w:left="1220" w:right="300" w:hanging="500"/>
        <w:spacing w:after="0" w:line="276" w:lineRule="auto"/>
        <w:tabs>
          <w:tab w:leader="none" w:pos="12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EMA or other comparable foreign regulatory authorities may disagree with our interpretation of data from preclinical studies or clinical trials;</w:t>
      </w:r>
    </w:p>
    <w:p>
      <w:pPr>
        <w:spacing w:after="0" w:line="64" w:lineRule="exact"/>
        <w:rPr>
          <w:rFonts w:ascii="Arial" w:cs="Arial" w:eastAsia="Arial" w:hAnsi="Arial"/>
          <w:sz w:val="20"/>
          <w:szCs w:val="20"/>
          <w:color w:val="231F20"/>
        </w:rPr>
      </w:pPr>
    </w:p>
    <w:p>
      <w:pPr>
        <w:ind w:left="1220" w:right="20" w:hanging="500"/>
        <w:spacing w:after="0" w:line="276" w:lineRule="auto"/>
        <w:tabs>
          <w:tab w:leader="none" w:pos="12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unable to demonstrate to the FDA, EMA or other comparable foreign regulatory authorities that our product candidate’s risk-benefit ratio for its proposed indication is acceptable;</w:t>
      </w:r>
    </w:p>
    <w:p>
      <w:pPr>
        <w:spacing w:after="0" w:line="64" w:lineRule="exact"/>
        <w:rPr>
          <w:rFonts w:ascii="Arial" w:cs="Arial" w:eastAsia="Arial" w:hAnsi="Arial"/>
          <w:sz w:val="20"/>
          <w:szCs w:val="20"/>
          <w:color w:val="231F20"/>
        </w:rPr>
      </w:pPr>
    </w:p>
    <w:p>
      <w:pPr>
        <w:ind w:left="1220" w:right="300" w:hanging="500"/>
        <w:spacing w:after="0" w:line="258" w:lineRule="auto"/>
        <w:tabs>
          <w:tab w:leader="none" w:pos="12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81" w:lineRule="exact"/>
        <w:rPr>
          <w:rFonts w:ascii="Arial" w:cs="Arial" w:eastAsia="Arial" w:hAnsi="Arial"/>
          <w:sz w:val="20"/>
          <w:szCs w:val="20"/>
          <w:color w:val="231F20"/>
        </w:rPr>
      </w:pPr>
    </w:p>
    <w:p>
      <w:pPr>
        <w:ind w:left="1220" w:right="460" w:hanging="500"/>
        <w:spacing w:after="0" w:line="276" w:lineRule="auto"/>
        <w:tabs>
          <w:tab w:leader="none" w:pos="12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EMA or other comparable regulatory authorities may fail to approve companion diagnostic tests that are required for our product candidates; and</w:t>
      </w:r>
    </w:p>
    <w:p>
      <w:pPr>
        <w:spacing w:after="0" w:line="64" w:lineRule="exact"/>
        <w:rPr>
          <w:rFonts w:ascii="Arial" w:cs="Arial" w:eastAsia="Arial" w:hAnsi="Arial"/>
          <w:sz w:val="20"/>
          <w:szCs w:val="20"/>
          <w:color w:val="231F20"/>
        </w:rPr>
      </w:pPr>
    </w:p>
    <w:p>
      <w:pPr>
        <w:ind w:left="1220" w:right="820" w:hanging="500"/>
        <w:spacing w:after="0" w:line="276" w:lineRule="auto"/>
        <w:tabs>
          <w:tab w:leader="none" w:pos="122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approval policies or regulations of the FDA, EMA or other comparable foreign regulatory authorities may significantly change in a manner rendering our clinical data insufficient for approval.</w:t>
      </w:r>
    </w:p>
    <w:p>
      <w:pPr>
        <w:spacing w:after="0" w:line="5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6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clinical trials of our product candidates may not demonstrate safety and efficacy to the satisfaction of the FDA, EMA or other comparable foreign regulatory authorities or otherwise produce positive results.</w:t>
      </w:r>
    </w:p>
    <w:p>
      <w:pPr>
        <w:spacing w:after="0" w:line="49" w:lineRule="exact"/>
        <w:rPr>
          <w:sz w:val="20"/>
          <w:szCs w:val="20"/>
          <w:color w:val="auto"/>
        </w:rPr>
      </w:pPr>
    </w:p>
    <w:p>
      <w:pPr>
        <w:ind w:right="160" w:firstLine="720"/>
        <w:spacing w:after="0" w:line="245" w:lineRule="auto"/>
        <w:rPr>
          <w:sz w:val="20"/>
          <w:szCs w:val="20"/>
          <w:color w:val="auto"/>
        </w:rPr>
      </w:pPr>
      <w:r>
        <w:rPr>
          <w:rFonts w:ascii="Times New Roman" w:cs="Times New Roman" w:eastAsia="Times New Roman" w:hAnsi="Times New Roman"/>
          <w:sz w:val="20"/>
          <w:szCs w:val="20"/>
          <w:color w:val="231F20"/>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800"/>
          </w:cols>
          <w:pgMar w:left="540" w:top="750" w:right="540" w:bottom="0" w:gutter="0" w:footer="0" w:header="0"/>
          <w:type w:val="continuous"/>
        </w:sectPr>
      </w:pPr>
    </w:p>
    <w:bookmarkStart w:id="52" w:name="page53"/>
    <w:bookmarkEnd w:id="52"/>
    <w:p>
      <w:pPr>
        <w:ind w:right="120" w:firstLine="720"/>
        <w:spacing w:after="0" w:line="277" w:lineRule="auto"/>
        <w:rPr>
          <w:sz w:val="20"/>
          <w:szCs w:val="20"/>
          <w:color w:val="auto"/>
        </w:rPr>
      </w:pPr>
      <w:r>
        <w:rPr>
          <w:rFonts w:ascii="Times New Roman" w:cs="Times New Roman" w:eastAsia="Times New Roman" w:hAnsi="Times New Roman"/>
          <w:sz w:val="20"/>
          <w:szCs w:val="20"/>
          <w:color w:val="231F20"/>
        </w:rPr>
        <w:t>We may experience numerous unforeseen events during, or as a result of, clinical trials that could delay or prevent receipt of marketing approval or our ability to commercialize our product candidates, including:</w:t>
      </w:r>
    </w:p>
    <w:p>
      <w:pPr>
        <w:spacing w:after="0" w:line="43" w:lineRule="exact"/>
        <w:rPr>
          <w:sz w:val="20"/>
          <w:szCs w:val="20"/>
          <w:color w:val="auto"/>
        </w:rPr>
      </w:pPr>
    </w:p>
    <w:p>
      <w:pPr>
        <w:ind w:left="1220" w:hanging="500"/>
        <w:spacing w:after="0"/>
        <w:tabs>
          <w:tab w:leader="none" w:pos="122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receipt of feedback from regulatory authorities that requires us to modify the design of our clinical trials;</w:t>
      </w:r>
    </w:p>
    <w:p>
      <w:pPr>
        <w:spacing w:after="0" w:line="110" w:lineRule="exact"/>
        <w:rPr>
          <w:rFonts w:ascii="Arial" w:cs="Arial" w:eastAsia="Arial" w:hAnsi="Arial"/>
          <w:sz w:val="20"/>
          <w:szCs w:val="20"/>
          <w:color w:val="231F20"/>
        </w:rPr>
      </w:pPr>
    </w:p>
    <w:p>
      <w:pPr>
        <w:ind w:left="1220" w:right="100" w:hanging="500"/>
        <w:spacing w:after="0" w:line="254" w:lineRule="auto"/>
        <w:tabs>
          <w:tab w:leader="none" w:pos="122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negative or inconclusive clinical trial results that may require us to conduct additional clinical trials or abandon certain drug development programs;</w:t>
      </w:r>
    </w:p>
    <w:p>
      <w:pPr>
        <w:spacing w:after="0" w:line="60" w:lineRule="exact"/>
        <w:rPr>
          <w:rFonts w:ascii="Arial" w:cs="Arial" w:eastAsia="Arial" w:hAnsi="Arial"/>
          <w:sz w:val="20"/>
          <w:szCs w:val="20"/>
          <w:color w:val="231F20"/>
        </w:rPr>
      </w:pPr>
    </w:p>
    <w:p>
      <w:pPr>
        <w:ind w:left="1220" w:right="160" w:hanging="500"/>
        <w:spacing w:after="0" w:line="254" w:lineRule="auto"/>
        <w:tabs>
          <w:tab w:leader="none" w:pos="122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0" w:lineRule="exact"/>
        <w:rPr>
          <w:rFonts w:ascii="Arial" w:cs="Arial" w:eastAsia="Arial" w:hAnsi="Arial"/>
          <w:sz w:val="20"/>
          <w:szCs w:val="20"/>
          <w:color w:val="231F20"/>
        </w:rPr>
      </w:pPr>
    </w:p>
    <w:p>
      <w:pPr>
        <w:ind w:left="1220" w:right="260" w:hanging="500"/>
        <w:spacing w:after="0" w:line="254" w:lineRule="auto"/>
        <w:tabs>
          <w:tab w:leader="none" w:pos="122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third-party contractors failing to comply with regulatory requirements or meet their contractual obligations to us in a timely manner, or at all;</w:t>
      </w:r>
    </w:p>
    <w:p>
      <w:pPr>
        <w:spacing w:after="0" w:line="60" w:lineRule="exact"/>
        <w:rPr>
          <w:rFonts w:ascii="Arial" w:cs="Arial" w:eastAsia="Arial" w:hAnsi="Arial"/>
          <w:sz w:val="20"/>
          <w:szCs w:val="20"/>
          <w:color w:val="231F20"/>
        </w:rPr>
      </w:pPr>
    </w:p>
    <w:p>
      <w:pPr>
        <w:ind w:left="1220" w:right="160" w:hanging="500"/>
        <w:spacing w:after="0" w:line="236" w:lineRule="auto"/>
        <w:tabs>
          <w:tab w:leader="none" w:pos="122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76" w:lineRule="exact"/>
        <w:rPr>
          <w:rFonts w:ascii="Arial" w:cs="Arial" w:eastAsia="Arial" w:hAnsi="Arial"/>
          <w:sz w:val="20"/>
          <w:szCs w:val="20"/>
          <w:color w:val="231F20"/>
        </w:rPr>
      </w:pPr>
    </w:p>
    <w:p>
      <w:pPr>
        <w:ind w:left="1220" w:hanging="500"/>
        <w:spacing w:after="0"/>
        <w:tabs>
          <w:tab w:leader="none" w:pos="122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of clinical trials of our product candidates being greater than anticipated;</w:t>
      </w:r>
    </w:p>
    <w:p>
      <w:pPr>
        <w:spacing w:after="0" w:line="110" w:lineRule="exact"/>
        <w:rPr>
          <w:rFonts w:ascii="Arial" w:cs="Arial" w:eastAsia="Arial" w:hAnsi="Arial"/>
          <w:sz w:val="20"/>
          <w:szCs w:val="20"/>
          <w:color w:val="231F20"/>
        </w:rPr>
      </w:pPr>
    </w:p>
    <w:p>
      <w:pPr>
        <w:ind w:left="1220" w:right="380" w:hanging="500"/>
        <w:spacing w:after="0" w:line="254" w:lineRule="auto"/>
        <w:tabs>
          <w:tab w:leader="none" w:pos="122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supply or quality of our product candidates or other materials necessary to conduct clinical trials of our product candidates being insufficient or inadequate; and</w:t>
      </w:r>
    </w:p>
    <w:p>
      <w:pPr>
        <w:spacing w:after="0" w:line="60" w:lineRule="exact"/>
        <w:rPr>
          <w:rFonts w:ascii="Arial" w:cs="Arial" w:eastAsia="Arial" w:hAnsi="Arial"/>
          <w:sz w:val="20"/>
          <w:szCs w:val="20"/>
          <w:color w:val="231F20"/>
        </w:rPr>
      </w:pPr>
    </w:p>
    <w:p>
      <w:pPr>
        <w:ind w:left="1220" w:hanging="500"/>
        <w:spacing w:after="0"/>
        <w:tabs>
          <w:tab w:leader="none" w:pos="122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regulators revising the requirements for approving our product candidates.</w:t>
      </w:r>
    </w:p>
    <w:p>
      <w:pPr>
        <w:spacing w:after="0" w:line="116"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8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Patients in our ongoing and planned clinical trials may in the future suffer other significant adverse events or other side effects not observed in our preclinical studies or previous clinical trials. Our product candidates may be used in populations for which safety concerns may be particularly scrutinized by regulatory agencies.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spacing w:after="0" w:line="86"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w:t>
      </w:r>
    </w:p>
    <w:p>
      <w:pPr>
        <w:sectPr>
          <w:pgSz w:w="11880" w:h="15480" w:orient="portrait"/>
          <w:cols w:equalWidth="0" w:num="1">
            <w:col w:w="10800"/>
          </w:cols>
          <w:pgMar w:left="540" w:top="750" w:right="540" w:bottom="0"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800"/>
          </w:cols>
          <w:pgMar w:left="540" w:top="750" w:right="540" w:bottom="0" w:gutter="0" w:footer="0" w:header="0"/>
          <w:type w:val="continuous"/>
        </w:sectPr>
      </w:pPr>
    </w:p>
    <w:bookmarkStart w:id="53" w:name="page54"/>
    <w:bookmarkEnd w:id="53"/>
    <w:p>
      <w:pPr>
        <w:ind w:right="300"/>
        <w:spacing w:after="0" w:line="277" w:lineRule="auto"/>
        <w:rPr>
          <w:sz w:val="20"/>
          <w:szCs w:val="20"/>
          <w:color w:val="auto"/>
        </w:rPr>
      </w:pPr>
      <w:r>
        <w:rPr>
          <w:rFonts w:ascii="Times New Roman" w:cs="Times New Roman" w:eastAsia="Times New Roman" w:hAnsi="Times New Roman"/>
          <w:sz w:val="20"/>
          <w:szCs w:val="20"/>
          <w:color w:val="231F20"/>
        </w:rPr>
        <w:t>whether our product candidates will cause toxicities in humans that would preclude or lead to the revocation of regulatory approval based on preclinical studies or early-stage clinical trials.</w:t>
      </w:r>
    </w:p>
    <w:p>
      <w:pPr>
        <w:spacing w:after="0" w:line="49"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spacing w:after="0" w:line="25"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rinzimetostat or enozertinib will perform in current or future preclinical studies or future clinical trials as they have in prior preclinical studies 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86"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82" w:lineRule="exact"/>
        <w:rPr>
          <w:sz w:val="20"/>
          <w:szCs w:val="20"/>
          <w:color w:val="auto"/>
        </w:rPr>
      </w:pPr>
    </w:p>
    <w:p>
      <w:pPr>
        <w:ind w:right="500" w:firstLine="720"/>
        <w:spacing w:after="0" w:line="277" w:lineRule="auto"/>
        <w:rPr>
          <w:sz w:val="20"/>
          <w:szCs w:val="20"/>
          <w:color w:val="auto"/>
        </w:rPr>
      </w:pPr>
      <w:r>
        <w:rPr>
          <w:rFonts w:ascii="Times New Roman" w:cs="Times New Roman" w:eastAsia="Times New Roman" w:hAnsi="Times New Roman"/>
          <w:sz w:val="20"/>
          <w:szCs w:val="20"/>
          <w:color w:val="231F20"/>
        </w:rPr>
        <w:t>We do not know whether any clinical trials we may conduct will demonstrate consistent or adequate efficacy and safety sufficient to obtain approval to market any of our product candidates.</w:t>
      </w:r>
    </w:p>
    <w:p>
      <w:pPr>
        <w:spacing w:after="0" w:line="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8" w:lineRule="exact"/>
        <w:rPr>
          <w:sz w:val="20"/>
          <w:szCs w:val="20"/>
          <w:color w:val="auto"/>
        </w:rPr>
      </w:pPr>
    </w:p>
    <w:p>
      <w:pPr>
        <w:ind w:right="80" w:firstLine="720"/>
        <w:spacing w:after="0" w:line="242" w:lineRule="auto"/>
        <w:rPr>
          <w:sz w:val="20"/>
          <w:szCs w:val="20"/>
          <w:color w:val="auto"/>
        </w:rPr>
      </w:pPr>
      <w:r>
        <w:rPr>
          <w:rFonts w:ascii="Times New Roman" w:cs="Times New Roman" w:eastAsia="Times New Roman" w:hAnsi="Times New Roman"/>
          <w:sz w:val="20"/>
          <w:szCs w:val="20"/>
          <w:color w:val="231F20"/>
        </w:rPr>
        <w:t>From time to time, we may publicly disclose preliminary, interim or topline data from our clinical trials. These interim updates are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9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8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Adverse results of clinical trials conducted by third parties investigating the same class of product candidates as us in the same or different territories or indications could adversely affect our development of such product candidate.</w:t>
      </w:r>
    </w:p>
    <w:p>
      <w:pPr>
        <w:spacing w:after="0" w:line="49"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Lack of efficacy, adverse events, undesirable side effects or other adverse results may emerge in clinical trials conducted by third parties investigating the same class of product candidates as us in different territories or indications. For example, pursuant to the Voronoi License Agreement, Voronoi retains the right to develop and commercialize the same compounds licensed to us, after a certain period, as specified in the Voronoi License Agreement, including the compound we refer to as enozertinib, in the People’s Republic of China, Hong Kong, Macau and Taiwan and, subject to certain restrictions, to collaborate with others for such</w:t>
      </w:r>
    </w:p>
    <w:p>
      <w:pPr>
        <w:sectPr>
          <w:pgSz w:w="11880" w:h="15480" w:orient="portrait"/>
          <w:cols w:equalWidth="0" w:num="1">
            <w:col w:w="10800"/>
          </w:cols>
          <w:pgMar w:left="540" w:top="750" w:right="540" w:bottom="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10800"/>
          </w:cols>
          <w:pgMar w:left="540" w:top="750" w:right="540" w:bottom="0" w:gutter="0" w:footer="0" w:header="0"/>
          <w:type w:val="continuous"/>
        </w:sectPr>
      </w:pPr>
    </w:p>
    <w:bookmarkStart w:id="54" w:name="page55"/>
    <w:bookmarkEnd w:id="54"/>
    <w:p>
      <w:pPr>
        <w:ind w:right="180"/>
        <w:spacing w:after="0" w:line="252" w:lineRule="auto"/>
        <w:rPr>
          <w:sz w:val="20"/>
          <w:szCs w:val="20"/>
          <w:color w:val="auto"/>
        </w:rPr>
      </w:pPr>
      <w:r>
        <w:rPr>
          <w:rFonts w:ascii="Times New Roman" w:cs="Times New Roman" w:eastAsia="Times New Roman" w:hAnsi="Times New Roman"/>
          <w:sz w:val="20"/>
          <w:szCs w:val="20"/>
          <w:color w:val="231F20"/>
        </w:rPr>
        <w:t>development and commercialization. We do not have control over Voronoi’s clinical trials or development program, and adverse findings from Voronoi’s conduct of clinical trials could adversely affect our development of enozertinib or even the viability of enozertinib as a product candidate. We may be required to report Voronoi’s adverse events or unexpected side effects to the FDA or comparable foreign regulatory authorities, which could, among other things, order us to cease further development of enozertinib.</w:t>
      </w:r>
    </w:p>
    <w:p>
      <w:pPr>
        <w:spacing w:after="0" w:line="7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Reports of side effects or safety concerns in other companies’ clinical trials of the same or similar class of products or of products sharing the same mechanism of action as our product candidates could delay or prevent us from obtaining regulatory approval for our product candidates or negatively impact public perception and market acceptance of our product candidates.</w:t>
      </w:r>
    </w:p>
    <w:p>
      <w:pPr>
        <w:spacing w:after="0" w:line="6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231F20"/>
        </w:rPr>
        <w:t>There are a number of clinical trials being conducted by other pharmaceutical companies involving compounds similar to, or potentially competitive with, our product candidates, including compounds of the same or similar class of products or sharing the same mechanism of action as our product candidates. Adverse results reported by these other companies in their clinical trials could delay or prevent our receipt of regulatory approval or our ability to commercialize our product candidates or could negatively impact public perception and market acceptance of our product candidates, which could harm our business, financial condition and results of operations.</w:t>
      </w:r>
    </w:p>
    <w:p>
      <w:pPr>
        <w:spacing w:after="0" w:line="80" w:lineRule="exact"/>
        <w:rPr>
          <w:sz w:val="20"/>
          <w:szCs w:val="20"/>
          <w:color w:val="auto"/>
        </w:rPr>
      </w:pPr>
    </w:p>
    <w:p>
      <w:pPr>
        <w:ind w:right="9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49"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231F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Often done through biomarker testing, patient identification and enrollment are significant factors in the timing of clinical trials. Our ability to identify and enroll eligible patients may be limited or may result in slower enrollment than we anticipate. If patient identification proves unsuccessful, we may have difficulty enrolling or maintaining patients appropriate for our product candidates. Similarly, enrollment in trials for our product candidates may be limited or slower than we anticipated if any required laboratory biomarker tests are not available due to shortages of staff or reagents.</w:t>
      </w:r>
    </w:p>
    <w:p>
      <w:pPr>
        <w:spacing w:after="0" w:line="8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Enrollment of patients in our clinical trials and maintaining patients in our ongoing clinical trials may be delayed or limited if our clinical trial sites limit their onsite staff or temporarily close as a result of a global pandemic or other public health emergencies. For instance, certain of our clinical trial sites in 2020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a pandemic. These factors could delay the anticipated readouts from our clinical trials and our regulatory submissions.</w:t>
      </w:r>
    </w:p>
    <w:p>
      <w:pPr>
        <w:spacing w:after="0" w:line="8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88" w:lineRule="exact"/>
        <w:rPr>
          <w:sz w:val="20"/>
          <w:szCs w:val="20"/>
          <w:color w:val="auto"/>
        </w:rPr>
      </w:pPr>
    </w:p>
    <w:p>
      <w:pPr>
        <w:ind w:left="1220" w:hanging="500"/>
        <w:spacing w:after="0"/>
        <w:tabs>
          <w:tab w:leader="none" w:pos="12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size and nature of the patient population;</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severity of the disease under investigation;</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availability and efficacy of approved drugs for the disease under investigation;</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patient eligibility criteria for the trial in question as defined in the protocol;</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perceived risks and benefits of the product candidate under study;</w:t>
      </w:r>
    </w:p>
    <w:p>
      <w:pPr>
        <w:spacing w:after="0" w:line="133" w:lineRule="exact"/>
        <w:rPr>
          <w:rFonts w:ascii="Arial" w:cs="Arial" w:eastAsia="Arial" w:hAnsi="Arial"/>
          <w:sz w:val="20"/>
          <w:szCs w:val="20"/>
          <w:color w:val="231F20"/>
        </w:rPr>
      </w:pPr>
    </w:p>
    <w:p>
      <w:pPr>
        <w:ind w:left="1220" w:right="80" w:hanging="500"/>
        <w:spacing w:after="0" w:line="258" w:lineRule="auto"/>
        <w:tabs>
          <w:tab w:leader="none" w:pos="12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81" w:lineRule="exact"/>
        <w:rPr>
          <w:rFonts w:ascii="Arial" w:cs="Arial" w:eastAsia="Arial" w:hAnsi="Arial"/>
          <w:sz w:val="20"/>
          <w:szCs w:val="20"/>
          <w:color w:val="231F20"/>
        </w:rPr>
      </w:pPr>
    </w:p>
    <w:p>
      <w:pPr>
        <w:ind w:left="1220" w:right="80" w:hanging="500"/>
        <w:spacing w:after="0" w:line="276" w:lineRule="auto"/>
        <w:tabs>
          <w:tab w:leader="none" w:pos="12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clinicians’ willingness to screen their patients for biomarkers to indicate which patients may be eligible for enrollment in our clinical trials;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patient referral practices of physicians;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monitor patients adequately during and after treatment;</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proximity and availability of clinical trial sites for prospective patients; and</w:t>
      </w:r>
    </w:p>
    <w:p>
      <w:pPr>
        <w:spacing w:after="0" w:line="133" w:lineRule="exact"/>
        <w:rPr>
          <w:rFonts w:ascii="Arial" w:cs="Arial" w:eastAsia="Arial" w:hAnsi="Arial"/>
          <w:sz w:val="20"/>
          <w:szCs w:val="20"/>
          <w:color w:val="231F20"/>
        </w:rPr>
      </w:pPr>
    </w:p>
    <w:p>
      <w:pPr>
        <w:ind w:left="1220" w:hanging="500"/>
        <w:spacing w:after="0" w:line="276" w:lineRule="auto"/>
        <w:tabs>
          <w:tab w:leader="none" w:pos="12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that patients enrolled in clinical trials will drop out of the trials before completion or, because they may be late-stage cancer patients, will not survive the full terms of the clinical trials.</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10760"/>
          </w:cols>
          <w:pgMar w:left="540" w:top="750" w:right="580" w:bottom="0" w:gutter="0" w:footer="0" w:header="0"/>
          <w:type w:val="continuous"/>
        </w:sectPr>
      </w:pPr>
    </w:p>
    <w:bookmarkStart w:id="55" w:name="page56"/>
    <w:bookmarkEnd w:id="55"/>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77"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operations and financial results could be adversely impacted by global pandemics or other public health emergencies in the United States and the rest of the world.</w:t>
      </w:r>
    </w:p>
    <w:p>
      <w:pPr>
        <w:spacing w:after="0" w:line="49" w:lineRule="exact"/>
        <w:rPr>
          <w:sz w:val="20"/>
          <w:szCs w:val="20"/>
          <w:color w:val="auto"/>
        </w:rPr>
      </w:pPr>
    </w:p>
    <w:p>
      <w:pPr>
        <w:ind w:right="240" w:firstLine="720"/>
        <w:spacing w:after="0" w:line="277" w:lineRule="auto"/>
        <w:rPr>
          <w:sz w:val="20"/>
          <w:szCs w:val="20"/>
          <w:color w:val="auto"/>
        </w:rPr>
      </w:pPr>
      <w:r>
        <w:rPr>
          <w:rFonts w:ascii="Times New Roman" w:cs="Times New Roman" w:eastAsia="Times New Roman" w:hAnsi="Times New Roman"/>
          <w:sz w:val="20"/>
          <w:szCs w:val="20"/>
          <w:color w:val="231F20"/>
        </w:rPr>
        <w:t>We may experience disruptions that could severely impact our business and clinical trials due to global pandemics or other public health emergencies, including:</w:t>
      </w:r>
    </w:p>
    <w:p>
      <w:pPr>
        <w:spacing w:after="0" w:line="64" w:lineRule="exact"/>
        <w:rPr>
          <w:sz w:val="20"/>
          <w:szCs w:val="20"/>
          <w:color w:val="auto"/>
        </w:rPr>
      </w:pPr>
    </w:p>
    <w:p>
      <w:pPr>
        <w:ind w:left="1200" w:right="500" w:hanging="480"/>
        <w:spacing w:after="0" w:line="276" w:lineRule="auto"/>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interruption of key research and development or other activities related to any impact of disease contraction by or transmission among our employees, including those that are essential workers and work within our laboratory;</w:t>
      </w:r>
    </w:p>
    <w:p>
      <w:pPr>
        <w:spacing w:after="0" w:line="64" w:lineRule="exact"/>
        <w:rPr>
          <w:rFonts w:ascii="Arial" w:cs="Arial" w:eastAsia="Arial" w:hAnsi="Arial"/>
          <w:sz w:val="20"/>
          <w:szCs w:val="20"/>
          <w:color w:val="231F20"/>
        </w:rPr>
      </w:pPr>
    </w:p>
    <w:p>
      <w:pPr>
        <w:ind w:left="1200" w:right="820" w:hanging="480"/>
        <w:spacing w:after="0" w:line="276" w:lineRule="auto"/>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or difficulties in enrolling patients in our clinical trials, or those conducted by third parties, and further incurrence of additional costs as a result of preclinical study and clinical trial delays and adjustments;</w:t>
      </w:r>
    </w:p>
    <w:p>
      <w:pPr>
        <w:spacing w:after="0" w:line="64" w:lineRule="exact"/>
        <w:rPr>
          <w:rFonts w:ascii="Arial" w:cs="Arial" w:eastAsia="Arial" w:hAnsi="Arial"/>
          <w:sz w:val="20"/>
          <w:szCs w:val="20"/>
          <w:color w:val="231F20"/>
        </w:rPr>
      </w:pPr>
    </w:p>
    <w:p>
      <w:pPr>
        <w:ind w:left="1200" w:right="300" w:hanging="480"/>
        <w:spacing w:after="0" w:line="276" w:lineRule="auto"/>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challenges related to ongoing and increased operational expenses related to a global pandemic or other public health emergency;</w:t>
      </w:r>
    </w:p>
    <w:p>
      <w:pPr>
        <w:spacing w:after="0" w:line="64" w:lineRule="exact"/>
        <w:rPr>
          <w:rFonts w:ascii="Arial" w:cs="Arial" w:eastAsia="Arial" w:hAnsi="Arial"/>
          <w:sz w:val="20"/>
          <w:szCs w:val="20"/>
          <w:color w:val="231F20"/>
        </w:rPr>
      </w:pPr>
    </w:p>
    <w:p>
      <w:pPr>
        <w:ind w:left="1200" w:right="180" w:hanging="480"/>
        <w:spacing w:after="0" w:line="276" w:lineRule="auto"/>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or difficulties in clinical site initiation, including difficulties in recruiting clinical site investigators and clinical site staff;</w:t>
      </w:r>
    </w:p>
    <w:p>
      <w:pPr>
        <w:spacing w:after="0" w:line="64" w:lineRule="exact"/>
        <w:rPr>
          <w:rFonts w:ascii="Arial" w:cs="Arial" w:eastAsia="Arial" w:hAnsi="Arial"/>
          <w:sz w:val="20"/>
          <w:szCs w:val="20"/>
          <w:color w:val="231F20"/>
        </w:rPr>
      </w:pPr>
    </w:p>
    <w:p>
      <w:pPr>
        <w:ind w:left="1200" w:right="160" w:hanging="480"/>
        <w:spacing w:after="0" w:line="276" w:lineRule="auto"/>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the manufacturing supply chain, which could delay or otherwise impact procurement of materials for certain of our ongoing or planned clinical studies;</w:t>
      </w:r>
    </w:p>
    <w:p>
      <w:pPr>
        <w:spacing w:after="0" w:line="64" w:lineRule="exact"/>
        <w:rPr>
          <w:rFonts w:ascii="Arial" w:cs="Arial" w:eastAsia="Arial" w:hAnsi="Arial"/>
          <w:sz w:val="20"/>
          <w:szCs w:val="20"/>
          <w:color w:val="231F20"/>
        </w:rPr>
      </w:pPr>
    </w:p>
    <w:p>
      <w:pPr>
        <w:ind w:left="1200" w:right="200" w:hanging="480"/>
        <w:spacing w:after="0" w:line="276" w:lineRule="auto"/>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diversion of healthcare resources away from the conduct of clinical trials, including the diversion of hospitals serving as our clinical trial sites and hospital staff supporting the conduct of clinical trials;</w:t>
      </w:r>
    </w:p>
    <w:p>
      <w:pPr>
        <w:spacing w:after="0" w:line="64" w:lineRule="exact"/>
        <w:rPr>
          <w:rFonts w:ascii="Arial" w:cs="Arial" w:eastAsia="Arial" w:hAnsi="Arial"/>
          <w:sz w:val="20"/>
          <w:szCs w:val="20"/>
          <w:color w:val="231F20"/>
        </w:rPr>
      </w:pPr>
    </w:p>
    <w:p>
      <w:pPr>
        <w:ind w:left="1200" w:right="140" w:hanging="480"/>
        <w:spacing w:after="0" w:line="276" w:lineRule="auto"/>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interruption of key clinical trial activities, such as clinical trial site monitoring, due to limitations on travel imposed or recommended by federal or state governments, employers and others;</w:t>
      </w:r>
    </w:p>
    <w:p>
      <w:pPr>
        <w:spacing w:after="0" w:line="64" w:lineRule="exact"/>
        <w:rPr>
          <w:rFonts w:ascii="Arial" w:cs="Arial" w:eastAsia="Arial" w:hAnsi="Arial"/>
          <w:sz w:val="20"/>
          <w:szCs w:val="20"/>
          <w:color w:val="231F20"/>
        </w:rPr>
      </w:pPr>
    </w:p>
    <w:p>
      <w:pPr>
        <w:ind w:left="1200" w:right="120" w:hanging="480"/>
        <w:spacing w:after="0" w:line="258" w:lineRule="auto"/>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spacing w:after="0" w:line="81" w:lineRule="exact"/>
        <w:rPr>
          <w:rFonts w:ascii="Arial" w:cs="Arial" w:eastAsia="Arial" w:hAnsi="Arial"/>
          <w:sz w:val="20"/>
          <w:szCs w:val="20"/>
          <w:color w:val="231F20"/>
        </w:rPr>
      </w:pPr>
    </w:p>
    <w:p>
      <w:pPr>
        <w:ind w:left="1200" w:hanging="480"/>
        <w:spacing w:after="0"/>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receiving approval from local regulatory authorities to initiate our planned clinical trials;</w:t>
      </w:r>
    </w:p>
    <w:p>
      <w:pPr>
        <w:spacing w:after="0" w:line="133" w:lineRule="exact"/>
        <w:rPr>
          <w:rFonts w:ascii="Arial" w:cs="Arial" w:eastAsia="Arial" w:hAnsi="Arial"/>
          <w:sz w:val="20"/>
          <w:szCs w:val="20"/>
          <w:color w:val="231F20"/>
        </w:rPr>
      </w:pPr>
    </w:p>
    <w:p>
      <w:pPr>
        <w:ind w:left="1200" w:hanging="480"/>
        <w:spacing w:after="0"/>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clinical sites receiving the supplies and materials needed to conduct our clinical trials;</w:t>
      </w:r>
    </w:p>
    <w:p>
      <w:pPr>
        <w:spacing w:after="0" w:line="133" w:lineRule="exact"/>
        <w:rPr>
          <w:rFonts w:ascii="Arial" w:cs="Arial" w:eastAsia="Arial" w:hAnsi="Arial"/>
          <w:sz w:val="20"/>
          <w:szCs w:val="20"/>
          <w:color w:val="231F20"/>
        </w:rPr>
      </w:pPr>
    </w:p>
    <w:p>
      <w:pPr>
        <w:ind w:left="1200" w:right="500" w:hanging="480"/>
        <w:spacing w:after="0" w:line="276" w:lineRule="auto"/>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interruption in global shipping that may affect the transport of clinical trial materials, such as investigational drug product used in our clinical trials;</w:t>
      </w:r>
    </w:p>
    <w:p>
      <w:pPr>
        <w:spacing w:after="0" w:line="64" w:lineRule="exact"/>
        <w:rPr>
          <w:rFonts w:ascii="Arial" w:cs="Arial" w:eastAsia="Arial" w:hAnsi="Arial"/>
          <w:sz w:val="20"/>
          <w:szCs w:val="20"/>
          <w:color w:val="231F20"/>
        </w:rPr>
      </w:pPr>
    </w:p>
    <w:p>
      <w:pPr>
        <w:ind w:left="1200" w:right="40" w:hanging="480"/>
        <w:spacing w:after="0" w:line="258" w:lineRule="auto"/>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regulations as part of a response to a global pandemic or other public health emergency which may require us to change the ways in which our clinical trials are conducted, or to discontinue the clinical trials altogether, or which may result in unexpected costs;</w:t>
      </w:r>
    </w:p>
    <w:p>
      <w:pPr>
        <w:spacing w:after="0" w:line="81" w:lineRule="exact"/>
        <w:rPr>
          <w:rFonts w:ascii="Arial" w:cs="Arial" w:eastAsia="Arial" w:hAnsi="Arial"/>
          <w:sz w:val="20"/>
          <w:szCs w:val="20"/>
          <w:color w:val="231F20"/>
        </w:rPr>
      </w:pPr>
    </w:p>
    <w:p>
      <w:pPr>
        <w:ind w:left="1200" w:right="80" w:hanging="480"/>
        <w:spacing w:after="0" w:line="276" w:lineRule="auto"/>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necessary interactions with regulators, ethics committees and other important agencies and contractors due to limitations in employee resources or forced furlough of government or contractor personnel; and</w:t>
      </w:r>
    </w:p>
    <w:p>
      <w:pPr>
        <w:spacing w:after="0" w:line="64" w:lineRule="exact"/>
        <w:rPr>
          <w:rFonts w:ascii="Arial" w:cs="Arial" w:eastAsia="Arial" w:hAnsi="Arial"/>
          <w:sz w:val="20"/>
          <w:szCs w:val="20"/>
          <w:color w:val="231F20"/>
        </w:rPr>
      </w:pPr>
    </w:p>
    <w:p>
      <w:pPr>
        <w:ind w:left="1200" w:hanging="480"/>
        <w:spacing w:after="0"/>
        <w:tabs>
          <w:tab w:leader="none" w:pos="120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refusal of the FDA to accept data from clinical trials in affected geographies outside the United States.</w:t>
      </w:r>
    </w:p>
    <w:p>
      <w:pPr>
        <w:spacing w:after="0" w:line="11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We will continue to assess the impact that any public health emergencies may have on our ability to effectively conduct our business operations as planned and there can be no assurance that we will be able to avoid a material impact on our business from such public health emergencies or their consequences, including disruption to our business and downturns in business sentiment generally or in our industry.</w:t>
      </w:r>
    </w:p>
    <w:p>
      <w:pPr>
        <w:spacing w:after="0" w:line="74" w:lineRule="exact"/>
        <w:rPr>
          <w:sz w:val="20"/>
          <w:szCs w:val="20"/>
          <w:color w:val="auto"/>
        </w:rPr>
      </w:pPr>
    </w:p>
    <w:p>
      <w:pPr>
        <w:ind w:right="420" w:firstLine="720"/>
        <w:spacing w:after="0" w:line="277" w:lineRule="auto"/>
        <w:rPr>
          <w:sz w:val="20"/>
          <w:szCs w:val="20"/>
          <w:color w:val="auto"/>
        </w:rPr>
      </w:pPr>
      <w:r>
        <w:rPr>
          <w:rFonts w:ascii="Times New Roman" w:cs="Times New Roman" w:eastAsia="Times New Roman" w:hAnsi="Times New Roman"/>
          <w:sz w:val="20"/>
          <w:szCs w:val="20"/>
          <w:color w:val="231F20"/>
        </w:rPr>
        <w:t>To the extent a global pandemic or other public health emergency adversely affects our business, financial condition and operating results, it may also have the effect of heightening many of the risks described in this “Risk Factors” section.</w:t>
      </w:r>
    </w:p>
    <w:p>
      <w:pPr>
        <w:spacing w:after="0" w:line="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successfully develop any required companion diagnostic tests for our product candidates, experience significant delays in doing so, or rely on third parties in the development of such companion diagnostic tests, we may not realize the full commercial potential of our product candidates.</w:t>
      </w:r>
    </w:p>
    <w:p>
      <w:pPr>
        <w:spacing w:after="0" w:line="68"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231F20"/>
        </w:rPr>
        <w:t>We are exploring predictive biomarkers to determine patient selection for certain of our clinical trials and to evaluate whether a companion diagnostic test will be required for any of our product candidates. In general, the FDA expects to review and approve simultaneously NDA and pre-market approval submissions for a therapeutic and its companion diagnostic, respectively, so any delay</w:t>
      </w:r>
    </w:p>
    <w:p>
      <w:pPr>
        <w:sectPr>
          <w:pgSz w:w="11880" w:h="15480" w:orient="portrait"/>
          <w:cols w:equalWidth="0" w:num="1">
            <w:col w:w="10800"/>
          </w:cols>
          <w:pgMar w:left="540" w:top="750" w:right="540" w:bottom="0"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800"/>
          </w:cols>
          <w:pgMar w:left="540" w:top="750" w:right="540" w:bottom="0" w:gutter="0" w:footer="0" w:header="0"/>
          <w:type w:val="continuous"/>
        </w:sectPr>
      </w:pPr>
    </w:p>
    <w:bookmarkStart w:id="56" w:name="page57"/>
    <w:bookmarkEnd w:id="56"/>
    <w:p>
      <w:pPr>
        <w:ind w:right="20"/>
        <w:spacing w:after="0" w:line="242" w:lineRule="auto"/>
        <w:rPr>
          <w:sz w:val="20"/>
          <w:szCs w:val="20"/>
          <w:color w:val="auto"/>
        </w:rPr>
      </w:pPr>
      <w:r>
        <w:rPr>
          <w:rFonts w:ascii="Times New Roman" w:cs="Times New Roman" w:eastAsia="Times New Roman" w:hAnsi="Times New Roman"/>
          <w:sz w:val="20"/>
          <w:szCs w:val="20"/>
          <w:color w:val="231F20"/>
        </w:rPr>
        <w:t>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In June 2023, the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(LDTs), and to ensure more consistent performance of these tests for drug selection and improved cancer patient care. In May 2024, the FDA published a final rule that phases out its enforcement discretion for LDTs, unless exempt, and amends the FDA’s regulations to make explicit that in vitro diagnostics are medical devices under the Federal Food, Drug, and Cosmetic Act, including when the manufacturer of the diagnostic product is a laboratory. The American Clinical Laboratory Association and a private laboratory have initiated litigation against the agency to challenge the implementation of this final rule. On March 31, 2025, U.S. District Court in Texas ruled that FDA exceeded its authority and vacated and set aside this LDT final rule in its entirety. We will continue to evaluate the impact of this litigation, as well as any future lawsuits brought against the FDA, and future legislative and administration actions on our companion diagnostic development and strategy. Future guidance documents from the FDA and other regulatory authorities may impact our development of a companion diagnostic for our product candidates and result in delays in regulatory approval. To the extent other approved diagnostics are able to broaden their labeling claims to include our approved drug products, we may be forced to abandon any of our companion diagnostic development plans or we may not be able to compete effectively upon approval, which could adversely impact our ability to generate revenue from the sale of our approved products and our business operations.</w:t>
      </w:r>
    </w:p>
    <w:p>
      <w:pPr>
        <w:spacing w:after="0" w:line="84"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develop our programs in combination with other therapies, which exposes us to additional risks.</w:t>
      </w:r>
    </w:p>
    <w:p>
      <w:pPr>
        <w:spacing w:after="0" w:line="12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We may develop our programs in combination with one or more currently approved cancer therapies or therapies in development. Patients may not be able to tolerate our product candidates in combination with other therapies or dosing of our product candidates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86"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231F20"/>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spacing w:after="0" w:line="6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our product candidates, we may be unable to obtain approval of or successfully market any one or all of the product candidates we develop.</w:t>
      </w:r>
    </w:p>
    <w:p>
      <w:pPr>
        <w:spacing w:after="0" w:line="74"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231F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7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limited resources and are focusing our efforts on developing rinzimetostat and enozertinib. As a result, we may fail to capitalize on other indications or product candidates that may ultimately have proven to be more profitable.</w:t>
      </w:r>
    </w:p>
    <w:p>
      <w:pPr>
        <w:spacing w:after="0" w:line="49" w:lineRule="exact"/>
        <w:rPr>
          <w:sz w:val="20"/>
          <w:szCs w:val="20"/>
          <w:color w:val="auto"/>
        </w:rPr>
      </w:pPr>
    </w:p>
    <w:p>
      <w:pPr>
        <w:ind w:right="60" w:firstLine="720"/>
        <w:spacing w:after="0" w:line="261" w:lineRule="auto"/>
        <w:rPr>
          <w:sz w:val="20"/>
          <w:szCs w:val="20"/>
          <w:color w:val="auto"/>
        </w:rPr>
      </w:pPr>
      <w:r>
        <w:rPr>
          <w:rFonts w:ascii="Times New Roman" w:cs="Times New Roman" w:eastAsia="Times New Roman" w:hAnsi="Times New Roman"/>
          <w:sz w:val="19"/>
          <w:szCs w:val="19"/>
          <w:color w:val="231F20"/>
        </w:rPr>
        <w:t>We are focusing our resources and efforts on developing rinzimetostat and enozertinib. As a result, because we have limited resources, we may forgo or delay pursuit of opportunities for other indications or with other product candidates that may have greater commercial potential. For example, we completed a Phase 1b trial of ORIC-533 as a single-agent, in patients with relapsed/refractory multiple myeloma, and intend to evaluate strategic partnerships to develop ORIC-533 in combination with other immune-based antimyeloma therapies. Our resource allocation decisions may cause us to fail to capitalize on viable commercial drugs or profitable market opportunities. Our spending on current and future research and development activities may not yield any commercially viable drugs. If we do not accurately evaluate the commercial potential or target markets for rinzimetostat, enozertinib or any of our other</w:t>
      </w:r>
    </w:p>
    <w:p>
      <w:pPr>
        <w:sectPr>
          <w:pgSz w:w="11880" w:h="15480" w:orient="portrait"/>
          <w:cols w:equalWidth="0" w:num="1">
            <w:col w:w="10740"/>
          </w:cols>
          <w:pgMar w:left="540" w:top="750" w:right="600" w:bottom="0" w:gutter="0" w:footer="0" w:header="0"/>
        </w:sect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740"/>
          </w:cols>
          <w:pgMar w:left="540" w:top="750" w:right="600" w:bottom="0" w:gutter="0" w:footer="0" w:header="0"/>
          <w:type w:val="continuous"/>
        </w:sectPr>
      </w:pPr>
    </w:p>
    <w:bookmarkStart w:id="57" w:name="page58"/>
    <w:bookmarkEnd w:id="57"/>
    <w:p>
      <w:pPr>
        <w:ind w:right="440"/>
        <w:spacing w:after="0" w:line="258" w:lineRule="auto"/>
        <w:rPr>
          <w:sz w:val="20"/>
          <w:szCs w:val="20"/>
          <w:color w:val="auto"/>
        </w:rPr>
      </w:pPr>
      <w:r>
        <w:rPr>
          <w:rFonts w:ascii="Times New Roman" w:cs="Times New Roman" w:eastAsia="Times New Roman" w:hAnsi="Times New Roman"/>
          <w:sz w:val="20"/>
          <w:szCs w:val="20"/>
          <w:color w:val="231F20"/>
        </w:rPr>
        <w:t>future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spacing w:after="0" w:line="50"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20"/>
          <w:szCs w:val="20"/>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81" w:lineRule="exact"/>
        <w:rPr>
          <w:sz w:val="20"/>
          <w:szCs w:val="20"/>
          <w:color w:val="auto"/>
        </w:rPr>
      </w:pPr>
    </w:p>
    <w:p>
      <w:pPr>
        <w:ind w:right="260" w:firstLine="720"/>
        <w:spacing w:after="0" w:line="277" w:lineRule="auto"/>
        <w:rPr>
          <w:sz w:val="20"/>
          <w:szCs w:val="20"/>
          <w:color w:val="auto"/>
        </w:rPr>
      </w:pPr>
      <w:r>
        <w:rPr>
          <w:rFonts w:ascii="Times New Roman" w:cs="Times New Roman" w:eastAsia="Times New Roman" w:hAnsi="Times New Roman"/>
          <w:sz w:val="20"/>
          <w:szCs w:val="20"/>
          <w:color w:val="231F20"/>
        </w:rPr>
        <w:t>The biotechnology and pharmaceutical industries are characterized by rapidly advancing technologies, intense competition and a strong emphasis on proprietary and novel products and product candidates.</w:t>
      </w:r>
    </w:p>
    <w:p>
      <w:pPr>
        <w:spacing w:after="0" w:line="4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spacing w:after="0" w:line="80"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231F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w:t>
      </w:r>
    </w:p>
    <w:p>
      <w:pPr>
        <w:spacing w:after="0" w:line="80"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For rinzimetostat, we are aware of several companies developing inhibitors against PRC2 via EZH2 inhibition that are currently in clinical trials, including Ipsen, Novartis, Daiichi Sankyo, Pfizer, Shanghai HaiHe Pharmaceutical, Treeline Biosciences in collaboration with Jiangsu HengRui Medicine Co., Evopoint Biosciences and Hanmi Pharmaceutical. To our knowledge, Ascentage Pharma has an allosteric PRC2 inhibitor in clinical trials for patients with cancer.</w:t>
      </w:r>
    </w:p>
    <w:p>
      <w:pPr>
        <w:spacing w:after="0" w:line="74"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231F20"/>
        </w:rPr>
        <w:t>For enozertinib, we are aware that Johnson &amp; Johnson and Dizal Pharmaceuticals have FDA-approved products for patients with EGFR exon 20 mutations. We are also aware of several companies developing small molecule inhibitors against EGFR exon 20 mutations and EGFR atypical mutations that are currently in clinical trials, including Cullinan Therapeutics in collaboration with Taiho Pharmaceutical, ArriVent BioPharma in collaboration with Allist Pharmaceuticals, Black Diamond Therapeutics, Scorpion Therapeutics in collaboration with Pierre Fabre, BlossomHill Therapeutics, Avistone Biotechnology, BeBetter Med, Suzhou Puhe Pharmaceutical Technology Co. and Yuhan Corporation.</w:t>
      </w:r>
    </w:p>
    <w:p>
      <w:pPr>
        <w:spacing w:after="0" w:line="80" w:lineRule="exact"/>
        <w:rPr>
          <w:sz w:val="20"/>
          <w:szCs w:val="20"/>
          <w:color w:val="auto"/>
        </w:rPr>
      </w:pPr>
    </w:p>
    <w:p>
      <w:pPr>
        <w:ind w:right="200" w:firstLine="720"/>
        <w:spacing w:after="0" w:line="242" w:lineRule="auto"/>
        <w:rPr>
          <w:sz w:val="20"/>
          <w:szCs w:val="20"/>
          <w:color w:val="auto"/>
        </w:rPr>
      </w:pPr>
      <w:r>
        <w:rPr>
          <w:rFonts w:ascii="Times New Roman" w:cs="Times New Roman" w:eastAsia="Times New Roman" w:hAnsi="Times New Roman"/>
          <w:sz w:val="20"/>
          <w:szCs w:val="20"/>
          <w:color w:val="231F20"/>
        </w:rPr>
        <w:t>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obtain approval from the FDA, EMA or other comparable foreign regulatory authorities or develop or commercialize products in our field before we do. In addition, we are facing increasing competition from companies utilizing artificial intelligence, or AI, in their research and development efforts or other business processes, which could create a competitive advantage that we would find difficult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match. While our current use of AI-based platforms or tools in our business is relatively minimal, many of our competitors have begun utilizing AI tools to aid in the development of pharmaceutical products. Our cautious approach to adopting AI platforms and tools may put us at a competitive disadvantage in comparison to competitors who currently use them in the development of pharmaceutical products or other business processes, which could impair our ability to compete effectively and adversely affect our results of operations. Should we proceed with further AI adoption, we may be subject to significant risks related to developing and deploying AI platforms or tools, and there can be no assurance that the use of AI will enhance the development of our product candidates or be beneficial to our business. Any use of, or reliance on, AI technologies, including generative AI, may also expose us to a range of risks, including the generation or dissemination of inaccurate, misleading, biased, or otherwise harmful content, potential discrimination, intellectual property infringement or misappropriation, defamation, violations of data privacy or cybersecurity requirements, and compliance risks under applicable sanctions and export control laws, among others.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800"/>
          </w:cols>
          <w:pgMar w:left="540" w:top="750" w:right="540" w:bottom="0" w:gutter="0" w:footer="0" w:header="0"/>
          <w:type w:val="continuous"/>
        </w:sectPr>
      </w:pPr>
    </w:p>
    <w:bookmarkStart w:id="58" w:name="page59"/>
    <w:bookmarkEnd w:id="58"/>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In addition, the legal and regulatory framework governing AI remains evolving and uncertain, and it is unclear how existing or future laws may apply to content produced by AI systems. To the extent that we incorporate AI technologies into our business, we may be subject to new or enhanced governmental or regulatory scrutiny, litigation, or other legal liability, ethical concerns, or other complications that could adversely affect our business or reputation. Furthermore, the integration of third-party AI models with our operations relies on certain safeguards implemented by the third-party developers of the underlying AI models, including those related to security and the accuracy, bias, and other variables of the data, and these safeguards may be insufficient. The use of AI applications has resulted in, and may in the future result in, cybersecurity incidents that implicate the data analyzed within such applications and may lead to the inadvertent release of confidential information, which may impact our ability to realize the benefits of our intellectual property.</w:t>
      </w:r>
    </w:p>
    <w:p>
      <w:pPr>
        <w:spacing w:after="0" w:line="86"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uneconomical. If we are unable to compete effectively, our opportunity to generate revenue from the sale of our products we may develop, if approved, could be adversely affected.</w:t>
      </w:r>
    </w:p>
    <w:p>
      <w:pPr>
        <w:spacing w:after="0" w:line="8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spacing w:after="0" w:line="68"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methods of product candidate manufacturing or formulation may result in additional costs or delay.</w:t>
      </w:r>
    </w:p>
    <w:p>
      <w:pPr>
        <w:spacing w:after="0" w:line="120"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2"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49"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231F20"/>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spacing w:after="0" w:line="83" w:lineRule="exact"/>
        <w:rPr>
          <w:sz w:val="20"/>
          <w:szCs w:val="20"/>
          <w:color w:val="auto"/>
        </w:rPr>
      </w:pPr>
    </w:p>
    <w:p>
      <w:pPr>
        <w:ind w:left="1220" w:hanging="500"/>
        <w:spacing w:after="0"/>
        <w:tabs>
          <w:tab w:leader="none" w:pos="122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efficacy and safety profile as demonstrated in clinical trials compared to alternative treatments;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of market introduction of the product candidate as well as competitive products;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clinical indications for which a product candidate is approved;</w:t>
      </w:r>
    </w:p>
    <w:p>
      <w:pPr>
        <w:sectPr>
          <w:pgSz w:w="11880" w:h="15480" w:orient="portrait"/>
          <w:cols w:equalWidth="0" w:num="1">
            <w:col w:w="10800"/>
          </w:cols>
          <w:pgMar w:left="540" w:top="750" w:right="540" w:bottom="0" w:gutter="0" w:footer="0" w:header="0"/>
        </w:sect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800"/>
          </w:cols>
          <w:pgMar w:left="540" w:top="750" w:right="540" w:bottom="0" w:gutter="0" w:footer="0" w:header="0"/>
          <w:type w:val="continuous"/>
        </w:sectPr>
      </w:pPr>
    </w:p>
    <w:bookmarkStart w:id="59" w:name="page60"/>
    <w:bookmarkEnd w:id="59"/>
    <w:p>
      <w:pPr>
        <w:ind w:left="1220" w:hanging="500"/>
        <w:spacing w:after="0" w:line="258" w:lineRule="auto"/>
        <w:tabs>
          <w:tab w:leader="none" w:pos="122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the use of product candidates in the labeling approved by regulatory authorities, such as boxed warnings or contraindications in labeling, or a Risk Evaluation and Mitigation Strategy (REMS), if any, which may not be required of alternative treatments and competitor products;</w:t>
      </w:r>
    </w:p>
    <w:p>
      <w:pPr>
        <w:spacing w:after="0" w:line="81" w:lineRule="exact"/>
        <w:rPr>
          <w:rFonts w:ascii="Arial" w:cs="Arial" w:eastAsia="Arial" w:hAnsi="Arial"/>
          <w:sz w:val="20"/>
          <w:szCs w:val="20"/>
          <w:color w:val="231F20"/>
        </w:rPr>
      </w:pPr>
    </w:p>
    <w:p>
      <w:pPr>
        <w:ind w:left="1220" w:hanging="500"/>
        <w:spacing w:after="0"/>
        <w:tabs>
          <w:tab w:leader="none" w:pos="122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 and perceived advantages of our product candidates over alternative treatments;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of treatment in relation to alternative treatments;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of coverage and adequate reimbursement by third-party payors, including government authorities;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of an approved product candidate for use as a combination therapy;</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relative convenience and ease of administration;</w:t>
      </w:r>
    </w:p>
    <w:p>
      <w:pPr>
        <w:spacing w:after="0" w:line="133" w:lineRule="exact"/>
        <w:rPr>
          <w:rFonts w:ascii="Arial" w:cs="Arial" w:eastAsia="Arial" w:hAnsi="Arial"/>
          <w:sz w:val="20"/>
          <w:szCs w:val="20"/>
          <w:color w:val="231F20"/>
        </w:rPr>
      </w:pPr>
    </w:p>
    <w:p>
      <w:pPr>
        <w:ind w:left="1220" w:right="520" w:hanging="500"/>
        <w:spacing w:after="0" w:line="276" w:lineRule="auto"/>
        <w:tabs>
          <w:tab w:leader="none" w:pos="122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willingness of the target patient population to try new therapies and undergo required diagnostic screening to determine treatment eligibility and of physicians to prescribe these therapies and diagnostic tests;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effectiveness of sales and marketing efforts;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unfavorable publicity relating to our product candidates; and</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approval of other new therapies for the same indications.</w:t>
      </w:r>
    </w:p>
    <w:p>
      <w:pPr>
        <w:spacing w:after="0" w:line="119"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market opportunities for our product candidates we develop, if approved, may be limited to certain smaller patient subsets.</w:t>
      </w:r>
    </w:p>
    <w:p>
      <w:pPr>
        <w:spacing w:after="0" w:line="12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Cancer therapies are sometimes characterized as first-line, second -line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There is no guarantee that product candidates we develop, even if approved, would be approved for first-line therapy, and, prior to any such approvals, we may have to conduct additional clinical trials that may be costly, time-consuming and subject to risk.</w:t>
      </w:r>
    </w:p>
    <w:p>
      <w:pPr>
        <w:spacing w:after="0" w:line="80"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The number of patients who have the cancers we are targeting may turn out to be lower than expected. Additionally, the potentially addressable patient population for the product candidates we develop may be limited or may not be amenable to treatment with our product candidates. Regulatory approval may limit the market of a product candidate to target patient populations when biomarker-driven identification and/or highly specific criteria related to the stage of disease progression, or progression on or after certain therapies, are utilized.</w:t>
      </w:r>
    </w:p>
    <w:p>
      <w:pPr>
        <w:spacing w:after="0" w:line="77" w:lineRule="exact"/>
        <w:rPr>
          <w:sz w:val="20"/>
          <w:szCs w:val="20"/>
          <w:color w:val="auto"/>
        </w:rPr>
      </w:pPr>
    </w:p>
    <w:p>
      <w:pPr>
        <w:ind w:right="300" w:firstLine="720"/>
        <w:spacing w:after="0" w:line="277" w:lineRule="auto"/>
        <w:rPr>
          <w:sz w:val="20"/>
          <w:szCs w:val="20"/>
          <w:color w:val="auto"/>
        </w:rPr>
      </w:pPr>
      <w:r>
        <w:rPr>
          <w:rFonts w:ascii="Times New Roman" w:cs="Times New Roman" w:eastAsia="Times New Roman" w:hAnsi="Times New Roman"/>
          <w:sz w:val="20"/>
          <w:szCs w:val="20"/>
          <w:color w:val="231F20"/>
        </w:rPr>
        <w:t>Even if we obtain significant market share for any approved product, if the potential target populations are small, we may never achieve profitability without obtaining marketing approval for additional indications.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successful in augmenting our product pipeline through acquisitions and in-licenses.</w:t>
      </w:r>
    </w:p>
    <w:p>
      <w:pPr>
        <w:spacing w:after="0" w:line="120"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Any product candidates we develop may become subject to unfavorable third-party coverage and reimbursement practices, as well as pricing regulations.</w:t>
      </w:r>
    </w:p>
    <w:p>
      <w:pPr>
        <w:spacing w:after="0" w:line="49" w:lineRule="exact"/>
        <w:rPr>
          <w:sz w:val="20"/>
          <w:szCs w:val="20"/>
          <w:color w:val="auto"/>
        </w:rPr>
      </w:pPr>
    </w:p>
    <w:p>
      <w:pPr>
        <w:ind w:right="60" w:firstLine="720"/>
        <w:spacing w:after="0" w:line="265" w:lineRule="auto"/>
        <w:rPr>
          <w:sz w:val="20"/>
          <w:szCs w:val="20"/>
          <w:color w:val="auto"/>
        </w:rPr>
      </w:pPr>
      <w:r>
        <w:rPr>
          <w:rFonts w:ascii="Times New Roman" w:cs="Times New Roman" w:eastAsia="Times New Roman" w:hAnsi="Times New Roman"/>
          <w:sz w:val="19"/>
          <w:szCs w:val="19"/>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w:t>
      </w:r>
    </w:p>
    <w:p>
      <w:pPr>
        <w:sectPr>
          <w:pgSz w:w="11880" w:h="15480" w:orient="portrait"/>
          <w:cols w:equalWidth="0" w:num="1">
            <w:col w:w="10740"/>
          </w:cols>
          <w:pgMar w:left="540" w:top="764" w:right="600" w:bottom="0" w:gutter="0" w:footer="0" w:header="0"/>
        </w:sect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740"/>
          </w:cols>
          <w:pgMar w:left="540" w:top="764" w:right="600" w:bottom="0" w:gutter="0" w:footer="0" w:header="0"/>
          <w:type w:val="continuous"/>
        </w:sectPr>
      </w:pPr>
    </w:p>
    <w:bookmarkStart w:id="60" w:name="page61"/>
    <w:bookmarkEnd w:id="60"/>
    <w:p>
      <w:pPr>
        <w:ind w:right="300"/>
        <w:spacing w:after="0" w:line="249" w:lineRule="auto"/>
        <w:rPr>
          <w:sz w:val="20"/>
          <w:szCs w:val="20"/>
          <w:color w:val="auto"/>
        </w:rPr>
      </w:pPr>
      <w:r>
        <w:rPr>
          <w:rFonts w:ascii="Times New Roman" w:cs="Times New Roman" w:eastAsia="Times New Roman" w:hAnsi="Times New Roman"/>
          <w:sz w:val="20"/>
          <w:szCs w:val="20"/>
          <w:color w:val="231F20"/>
        </w:rPr>
        <w:t>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77"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231F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6"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Most significantly, in August 2022, then-President Biden signed the Inflation Reduction Act of 2022 (IRA) into law.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2024); and replaces the Part D coverage gap discount program with a new discounting program (beginning in 2025). The IRA permits the Secretary of the HHS to implement many of these provisions through guidance, as opposed to regulation, for the initial years. On August 29, 2023, HHS announced the list of the first ten drugs that will be subject to price negotiations. HHS has issued and will continue to issue and update guidance implementing the IRA, although the Medicare drug price negotiation program is currently subject to legal challenges. While the impact of the IRA on the pharmaceutical industry cannot yet be fully determined, it is likely to be significant.</w:t>
      </w:r>
    </w:p>
    <w:p>
      <w:pPr>
        <w:spacing w:after="0" w:line="82"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Further, in June 2024, the U.S. Supreme Court overruled the Chevron doctrine, which gives deference to regulatory agencies’ statutory interpretations in litigation against federal government agencies, such as the FDA, where the law is ambiguous. This landmark Supreme Court decision may invite various stakeholders to bring lawsuits against the FDA and other federal agencies to challenge longstanding decisions and policies, which could lead to uncertainty in the industry and disrupt federal agencies’ normal operations. Changes to the leadership of federal agencies like HHS, CMS and FDA under the current administration can lead to new policies and regulations that can have a material impact on our industry and business operations.</w:t>
      </w:r>
    </w:p>
    <w:p>
      <w:pPr>
        <w:spacing w:after="0" w:line="8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77"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ectPr>
          <w:pgSz w:w="11880" w:h="15480" w:orient="portrait"/>
          <w:cols w:equalWidth="0" w:num="1">
            <w:col w:w="10800"/>
          </w:cols>
          <w:pgMar w:left="540" w:top="750" w:right="540" w:bottom="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10800"/>
          </w:cols>
          <w:pgMar w:left="540" w:top="750" w:right="540" w:bottom="0" w:gutter="0" w:footer="0" w:header="0"/>
          <w:type w:val="continuous"/>
        </w:sectPr>
      </w:pPr>
    </w:p>
    <w:bookmarkStart w:id="61" w:name="page62"/>
    <w:bookmarkEnd w:id="61"/>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 -party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77"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business entails a significant risk of product liability and if we are unable to obtain sufficient insurance coverage such inability could have an adverse effect on our business and financial condition.</w:t>
      </w:r>
    </w:p>
    <w:p>
      <w:pPr>
        <w:spacing w:after="0" w:line="49"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83"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Information obtained from expanded access studies may not reliably predict the efficacy of our product candidates in our clinical trials and may lead to adverse events that could materially harm our business.</w:t>
      </w:r>
    </w:p>
    <w:p>
      <w:pPr>
        <w:spacing w:after="0" w:line="49"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Expanded access studies that we may support are likely to be uncontrolled, carried out by individual investigators and not conducted in strict compliance with GCPs, all of which can lead to a treatment effect which may differ from that in our clinical trials. These studies provide only anecdotal evidence of efficacy for regulatory review. Patient data from these studies are not designed to be aggregated or reported as study results and may be highly variable.</w:t>
      </w:r>
    </w:p>
    <w:p>
      <w:pPr>
        <w:spacing w:after="0" w:line="7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Expanded access studies provide supportive safety information for regulatory review. Physicians conducting these studies may use our product candidates in a manner inconsistent with the protocol, including in children and in individuals with conditions beyond those being studied in our clinical trials. In addition, patients who receive access to unapproved drugs through expanded access studies have life-threatening illnesses and generally have exhausted all other available therapies. The risk for serious adverse events in this patient population is high and may be attributed to our product candidates. This could have a negative impact on the safety profile of our product candidates, which could cause significant delays or an inability to successfully commercialize our product candidates and could materially harm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regulatory approval and other legal compliance matters</w:t>
      </w:r>
    </w:p>
    <w:p>
      <w:pPr>
        <w:spacing w:after="0" w:line="124"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unable to obtain U.S. or foreign regulatory approval and, as a result, may be unable to commercialize our product candidates.</w:t>
      </w:r>
    </w:p>
    <w:p>
      <w:pPr>
        <w:spacing w:after="0" w:line="49"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80"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82"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19"/>
          <w:szCs w:val="19"/>
          <w:color w:val="231F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w:t>
      </w:r>
    </w:p>
    <w:p>
      <w:pPr>
        <w:sectPr>
          <w:pgSz w:w="11880" w:h="15480" w:orient="portrait"/>
          <w:cols w:equalWidth="0" w:num="1">
            <w:col w:w="10800"/>
          </w:cols>
          <w:pgMar w:left="540" w:top="750" w:right="540" w:bottom="0"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800"/>
          </w:cols>
          <w:pgMar w:left="540" w:top="750" w:right="540" w:bottom="0" w:gutter="0" w:footer="0" w:header="0"/>
          <w:type w:val="continuous"/>
        </w:sectPr>
      </w:pPr>
    </w:p>
    <w:bookmarkStart w:id="62" w:name="page63"/>
    <w:bookmarkEnd w:id="62"/>
    <w:p>
      <w:pPr>
        <w:spacing w:after="0" w:line="247" w:lineRule="auto"/>
        <w:rPr>
          <w:sz w:val="20"/>
          <w:szCs w:val="20"/>
          <w:color w:val="auto"/>
        </w:rPr>
      </w:pPr>
      <w:r>
        <w:rPr>
          <w:rFonts w:ascii="Times New Roman" w:cs="Times New Roman" w:eastAsia="Times New Roman" w:hAnsi="Times New Roman"/>
          <w:sz w:val="20"/>
          <w:szCs w:val="20"/>
          <w:color w:val="231F20"/>
        </w:rPr>
        <w:t>market, promote and advertise the drug or the labeling or other restrictions. In addition, the FDA has the authority to require a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80"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77"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Further, under the new leadership at the HHS under the current administration, departures and retirements of high-profile regulators at the FDA, layoffs due to the reduction in force initiative, government shutdown, and a lapse in U.S. government appropriations may impact the normal operations at the FDA as well as other federal agencies, which can materially delay our timelines. FDA may lack adequate staff and resources to meet current review, approval, and inspection schedules, which could delay our anticipated timelines.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to companies supporting certain U.S. national health priorities and interests. FDA has also increased its scrutiny of foreign drug manufacturing facilities and other contractors based in China, especially with respect to the transfer of biological materials, genetic data, and other health data of American patients to parties located in China. Further, FDA’s “real-time” release of newly issued Complete Response Letters associated with withdrawn or abandoned applications, if applicable to any of our product candidates, can materially impact our competitive advantage and intellectual property. It is unclear how our industry and our clinical programs will be impacted by policies and regulations implemented under the current administration and the new FDA commissioner or other executive orders. There is significant uncertainty in the industry and how federal agencies like the FDA will change in the coming years under the current administration. To the extent changes lead to disruptions in FDA’s operations, including changes resulting from executive orders; freeze on hiring, federal funding for research, and external communications; layoffs; government shutdown; return-to-office policies, and changes in funding for certain programs at the FDA, correspondence and regulatory review processes with the FDA may be materially delayed.</w:t>
      </w:r>
    </w:p>
    <w:p>
      <w:pPr>
        <w:spacing w:after="0" w:line="88"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FDA, EMA and other comparable foreign regulatory authorities may not accept data from trials conducted in locations outside of their jurisdiction.</w:t>
      </w:r>
    </w:p>
    <w:p>
      <w:pPr>
        <w:spacing w:after="0" w:line="49"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We have conducted and still conduct clinical trials in the United States. We may choose to conduct additional clinical trials internationally, including our current Phase 1b trials in Asia, Australia and Europe.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8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Brexit and uncertainty in the regulatory framework as well as future legislation in the United Kingdom (UK), EU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 and/or the UK and increase our costs. We cannot predict the impact of such changes and future regulation on our business or the results of our operations.</w:t>
      </w:r>
    </w:p>
    <w:p>
      <w:pPr>
        <w:spacing w:after="0" w:line="86"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49" w:lineRule="exact"/>
        <w:rPr>
          <w:sz w:val="20"/>
          <w:szCs w:val="20"/>
          <w:color w:val="auto"/>
        </w:rPr>
      </w:pPr>
    </w:p>
    <w:p>
      <w:pPr>
        <w:ind w:right="180" w:firstLine="720"/>
        <w:spacing w:after="0" w:line="265" w:lineRule="auto"/>
        <w:rPr>
          <w:sz w:val="20"/>
          <w:szCs w:val="20"/>
          <w:color w:val="auto"/>
        </w:rPr>
      </w:pPr>
      <w:r>
        <w:rPr>
          <w:rFonts w:ascii="Times New Roman" w:cs="Times New Roman" w:eastAsia="Times New Roman" w:hAnsi="Times New Roman"/>
          <w:sz w:val="19"/>
          <w:szCs w:val="19"/>
          <w:color w:val="231F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w:t>
      </w:r>
    </w:p>
    <w:p>
      <w:pPr>
        <w:sectPr>
          <w:pgSz w:w="11880" w:h="15480" w:orient="portrait"/>
          <w:cols w:equalWidth="0" w:num="1">
            <w:col w:w="10800"/>
          </w:cols>
          <w:pgMar w:left="540" w:top="750" w:right="540" w:bottom="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10800"/>
          </w:cols>
          <w:pgMar w:left="540" w:top="750" w:right="540" w:bottom="0" w:gutter="0" w:footer="0" w:header="0"/>
          <w:type w:val="continuous"/>
        </w:sectPr>
      </w:pPr>
    </w:p>
    <w:bookmarkStart w:id="63" w:name="page64"/>
    <w:bookmarkEnd w:id="63"/>
    <w:p>
      <w:pPr>
        <w:ind w:right="20"/>
        <w:spacing w:after="0" w:line="249" w:lineRule="auto"/>
        <w:rPr>
          <w:sz w:val="20"/>
          <w:szCs w:val="20"/>
          <w:color w:val="auto"/>
        </w:rPr>
      </w:pPr>
      <w:r>
        <w:rPr>
          <w:rFonts w:ascii="Times New Roman" w:cs="Times New Roman" w:eastAsia="Times New Roman" w:hAnsi="Times New Roman"/>
          <w:sz w:val="20"/>
          <w:szCs w:val="20"/>
          <w:color w:val="231F20"/>
        </w:rPr>
        <w:t>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77" w:lineRule="exact"/>
        <w:rPr>
          <w:sz w:val="20"/>
          <w:szCs w:val="20"/>
          <w:color w:val="auto"/>
        </w:rPr>
      </w:pPr>
    </w:p>
    <w:p>
      <w:pPr>
        <w:jc w:val="both"/>
        <w:ind w:right="240" w:firstLine="720"/>
        <w:spacing w:after="0" w:line="249" w:lineRule="auto"/>
        <w:rPr>
          <w:sz w:val="20"/>
          <w:szCs w:val="20"/>
          <w:color w:val="auto"/>
        </w:rPr>
      </w:pPr>
      <w:r>
        <w:rPr>
          <w:rFonts w:ascii="Times New Roman" w:cs="Times New Roman" w:eastAsia="Times New Roman" w:hAnsi="Times New Roman"/>
          <w:sz w:val="20"/>
          <w:szCs w:val="20"/>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77" w:lineRule="exact"/>
        <w:rPr>
          <w:sz w:val="20"/>
          <w:szCs w:val="20"/>
          <w:color w:val="auto"/>
        </w:rPr>
      </w:pPr>
    </w:p>
    <w:p>
      <w:pPr>
        <w:ind w:right="9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Even if our product candidates receive regulatory approval, they will be subject to significant post-marketing regulatory requirements and oversight.</w:t>
      </w:r>
    </w:p>
    <w:p>
      <w:pPr>
        <w:spacing w:after="0" w:line="49"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If the FDA finds that the clinical data used to support approval do not sufficiently represent the diversity of the real-world patient population, the FDA may require additional data on underrepresented populations post-approval, including as a post-marketing requirement, or the FDA may enter into a written agreement with the applicant to collect additional data as a post-marketing commitment.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97" w:lineRule="exact"/>
        <w:rPr>
          <w:sz w:val="20"/>
          <w:szCs w:val="20"/>
          <w:color w:val="auto"/>
        </w:rPr>
      </w:pPr>
    </w:p>
    <w:p>
      <w:pPr>
        <w:ind w:left="1220" w:hanging="500"/>
        <w:spacing w:after="0"/>
        <w:tabs>
          <w:tab w:leader="none" w:pos="122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or the rejection of product approvals;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our ability to conduct clinical trials, including full or partial clinical holds on ongoing or planned trials;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the products, manufacturers or manufacturing process;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warning or untitled letters;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civil and criminal penalties;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injunctions;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suspension or withdrawal of regulatory approvals;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seizures, detentions or import bans;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voluntary or mandatory product recalls and publicity requirements;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total or partial suspension of production; and</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imposition of restrictions on operations, including costly new manufacturing requirements.</w:t>
      </w:r>
    </w:p>
    <w:p>
      <w:pPr>
        <w:spacing w:after="0" w:line="119"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231F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74" w:lineRule="exact"/>
        <w:rPr>
          <w:sz w:val="20"/>
          <w:szCs w:val="20"/>
          <w:color w:val="auto"/>
        </w:rPr>
      </w:pPr>
    </w:p>
    <w:p>
      <w:pPr>
        <w:ind w:right="220" w:firstLine="720"/>
        <w:spacing w:after="0" w:line="277" w:lineRule="auto"/>
        <w:rPr>
          <w:sz w:val="20"/>
          <w:szCs w:val="20"/>
          <w:color w:val="auto"/>
        </w:rPr>
      </w:pPr>
      <w:r>
        <w:rPr>
          <w:rFonts w:ascii="Times New Roman" w:cs="Times New Roman" w:eastAsia="Times New Roman" w:hAnsi="Times New Roman"/>
          <w:sz w:val="20"/>
          <w:szCs w:val="20"/>
          <w:color w:val="231F20"/>
        </w:rPr>
        <w:t>The occurrence of any event or penalty described above may inhibit our ability to commercialize our product candidates, if approved, and generate revenue.</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780"/>
          </w:cols>
          <w:pgMar w:left="540" w:top="750" w:right="56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231F20"/>
        </w:rPr>
        <w:t>The FDA and other regulatory agencies actively enforce the laws and regulations prohibiting the promotion of off-label uses.</w:t>
      </w:r>
    </w:p>
    <w:p>
      <w:pPr>
        <w:spacing w:after="0" w:line="12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8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9"/>
          <w:szCs w:val="19"/>
          <w:b w:val="1"/>
          <w:bCs w:val="1"/>
          <w:i w:val="1"/>
          <w:iCs w:val="1"/>
          <w:color w:val="231F20"/>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spacing w:after="0" w:line="51"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In connection with the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83"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In May 2024, the FDA published a final rule that phases out its enforcement discretion for LDTs, unless exempt, and amends the FDA’s regulations to make explicit that in vitro diagnostics are medical devices under the Federal Food, Drug, and Cosmetic Act, including when the manufacturer of the diagnostic product is a laboratory. On March 31, 2025, U.S. District Court in Texas ruled that FDA exceeded its authority and vacated and set aside this LDT final rule in its entirety. The full impact of this litigation as well as any future lawsuits brought against the FDA, and future legislative and administration actions on our companion diagnostic development and strategy is unclear.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w:t>
      </w:r>
    </w:p>
    <w:p>
      <w:pPr>
        <w:sectPr>
          <w:pgSz w:w="11880" w:h="15480" w:orient="portrait"/>
          <w:cols w:equalWidth="0" w:num="1">
            <w:col w:w="10800"/>
          </w:cols>
          <w:pgMar w:left="540" w:top="750" w:right="54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800"/>
          </w:cols>
          <w:pgMar w:left="540" w:top="750" w:right="540" w:bottom="0" w:gutter="0" w:footer="0" w:header="0"/>
          <w:type w:val="continuous"/>
        </w:sectPr>
      </w:pPr>
    </w:p>
    <w:bookmarkStart w:id="65" w:name="page66"/>
    <w:bookmarkEnd w:id="65"/>
    <w:p>
      <w:pPr>
        <w:ind w:right="100"/>
        <w:spacing w:after="0" w:line="247" w:lineRule="auto"/>
        <w:rPr>
          <w:sz w:val="20"/>
          <w:szCs w:val="20"/>
          <w:color w:val="auto"/>
        </w:rPr>
      </w:pPr>
      <w:r>
        <w:rPr>
          <w:rFonts w:ascii="Times New Roman" w:cs="Times New Roman" w:eastAsia="Times New Roman" w:hAnsi="Times New Roman"/>
          <w:sz w:val="20"/>
          <w:szCs w:val="20"/>
          <w:color w:val="231F20"/>
        </w:rPr>
        <w:t>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spacing w:after="0" w:line="68"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231F20"/>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spacing w:after="0" w:line="63"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81"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Regulatory authorities in some jurisdictions, including the United States and the EU, may designate drugs for relatively small patient populations as orphan drugs. Under the ODA,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8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80"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 xml:space="preserve">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In response to the court decision in </w:t>
      </w:r>
      <w:r>
        <w:rPr>
          <w:rFonts w:ascii="Times New Roman" w:cs="Times New Roman" w:eastAsia="Times New Roman" w:hAnsi="Times New Roman"/>
          <w:sz w:val="20"/>
          <w:szCs w:val="20"/>
          <w:i w:val="1"/>
          <w:iCs w:val="1"/>
          <w:color w:val="231F20"/>
        </w:rPr>
        <w:t>Catalyst Pharms., Inc. v. Becerra</w:t>
      </w:r>
      <w:r>
        <w:rPr>
          <w:rFonts w:ascii="Times New Roman" w:cs="Times New Roman" w:eastAsia="Times New Roman" w:hAnsi="Times New Roman"/>
          <w:sz w:val="20"/>
          <w:szCs w:val="20"/>
          <w:color w:val="231F20"/>
        </w:rPr>
        <w:t xml:space="preserve">, 14 F.4th 1299 (11th Cir. 2021) , in January 2023, the FDA published a notice in the Federal Register to clarify that while the agency complies with the court’s order in </w:t>
      </w:r>
      <w:r>
        <w:rPr>
          <w:rFonts w:ascii="Times New Roman" w:cs="Times New Roman" w:eastAsia="Times New Roman" w:hAnsi="Times New Roman"/>
          <w:sz w:val="20"/>
          <w:szCs w:val="20"/>
          <w:i w:val="1"/>
          <w:iCs w:val="1"/>
          <w:color w:val="231F20"/>
        </w:rPr>
        <w:t>Catalyst</w:t>
      </w:r>
      <w:r>
        <w:rPr>
          <w:rFonts w:ascii="Times New Roman" w:cs="Times New Roman" w:eastAsia="Times New Roman" w:hAnsi="Times New Roman"/>
          <w:sz w:val="20"/>
          <w:szCs w:val="20"/>
          <w:color w:val="231F20"/>
        </w:rPr>
        <w:t xml:space="preserve">, the FDA intends to continue to apply its longstanding interpretation of the regulations to matters outside of the scope of the </w:t>
      </w:r>
      <w:r>
        <w:rPr>
          <w:rFonts w:ascii="Times New Roman" w:cs="Times New Roman" w:eastAsia="Times New Roman" w:hAnsi="Times New Roman"/>
          <w:sz w:val="20"/>
          <w:szCs w:val="20"/>
          <w:i w:val="1"/>
          <w:iCs w:val="1"/>
          <w:color w:val="231F20"/>
        </w:rPr>
        <w:t>Catalyst</w:t>
      </w:r>
      <w:r>
        <w:rPr>
          <w:rFonts w:ascii="Times New Roman" w:cs="Times New Roman" w:eastAsia="Times New Roman" w:hAnsi="Times New Roman"/>
          <w:sz w:val="20"/>
          <w:szCs w:val="20"/>
          <w:color w:val="231F20"/>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including the overturning of the </w:t>
      </w:r>
      <w:r>
        <w:rPr>
          <w:rFonts w:ascii="Times New Roman" w:cs="Times New Roman" w:eastAsia="Times New Roman" w:hAnsi="Times New Roman"/>
          <w:sz w:val="20"/>
          <w:szCs w:val="20"/>
          <w:i w:val="1"/>
          <w:iCs w:val="1"/>
          <w:color w:val="231F20"/>
        </w:rPr>
        <w:t xml:space="preserve">Chevron </w:t>
      </w:r>
      <w:r>
        <w:rPr>
          <w:rFonts w:ascii="Times New Roman" w:cs="Times New Roman" w:eastAsia="Times New Roman" w:hAnsi="Times New Roman"/>
          <w:sz w:val="20"/>
          <w:szCs w:val="20"/>
          <w:color w:val="231F20"/>
        </w:rPr>
        <w:t>doctrine, legislation, agency decisions, and administrative actions, including changes under the current administration, will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impact the scope of the orphan drug exclusivity. Orphan drug designation neither shortens the development time or regulatory review time of a drug nor gives the product candidate any advantage in the regulatory review or approval process or entitles the product candidate to priority review.</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10800"/>
          </w:cols>
          <w:pgMar w:left="540" w:top="750" w:right="540" w:bottom="0" w:gutter="0" w:footer="0" w:header="0"/>
          <w:type w:val="continuous"/>
        </w:sectPr>
      </w:pPr>
    </w:p>
    <w:bookmarkStart w:id="66" w:name="page67"/>
    <w:bookmarkEnd w:id="66"/>
    <w:p>
      <w:pPr>
        <w:ind w:right="16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Where appropriate, we plan to secure approval from the FDA or comparable foreign regulatory authorities through the use of accelerated registration pathways. If we are unable to obtain such approval, or if we fail to meet the requirements or the timeline agreed upon with the FDA for a confirmatory trial, our regulatory approval may be delayed and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8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Where possible, we plan to pursue accelerated development strategies in areas of high unmet need. We may seek an accelerated approval pathway for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If the FDA finds that the confirmatory trial is not sufficiently underway or that the sponsor has not met all the requirements or enrollment timeline for the confirmatory trial agreed upon with the FDA before submitting an application for accelerated approval, the FDA may issue a complete response letter and refuse to grant accelerated approval. If we are not able to meet the FDA’s requirements for accelerated approval, then our regulatory approval may be delayed.</w:t>
      </w:r>
    </w:p>
    <w:p>
      <w:pPr>
        <w:spacing w:after="0" w:line="83"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82" w:lineRule="exact"/>
        <w:rPr>
          <w:sz w:val="20"/>
          <w:szCs w:val="20"/>
          <w:color w:val="auto"/>
        </w:rPr>
      </w:pPr>
    </w:p>
    <w:p>
      <w:pPr>
        <w:ind w:right="140" w:firstLine="720"/>
        <w:spacing w:after="0" w:line="243" w:lineRule="auto"/>
        <w:rPr>
          <w:sz w:val="20"/>
          <w:szCs w:val="20"/>
          <w:color w:val="auto"/>
        </w:rPr>
      </w:pPr>
      <w:r>
        <w:rPr>
          <w:rFonts w:ascii="Times New Roman" w:cs="Times New Roman" w:eastAsia="Times New Roman" w:hAnsi="Times New Roman"/>
          <w:sz w:val="20"/>
          <w:szCs w:val="20"/>
          <w:color w:val="231F20"/>
        </w:rPr>
        <w:t>Prior to seeking such accelerated approval, we will seek feedback from the FDA and will otherwise evaluate our ability to seek and receive such accelerated approval, including alignment with the FDA on requirements for a confirmatory trial.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face difficulties from changes to current regulations and future legislation.</w:t>
      </w:r>
    </w:p>
    <w:p>
      <w:pPr>
        <w:spacing w:after="0" w:line="120"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231F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7"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In June 2021, the United States Supreme Court held that Texas and other challengers had no legal standing to challenge the ACA, dismissing the case without specifically ruling on the constitutionality of the ACA. It is unclear how future litigation and healthcare measures promulgated by the current administration will impact the implementation of the ACA, our business, financial condition and results of operations.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800"/>
          </w:cols>
          <w:pgMar w:left="540" w:top="750" w:right="540" w:bottom="0" w:gutter="0" w:footer="0" w:header="0"/>
          <w:type w:val="continuous"/>
        </w:sectPr>
      </w:pPr>
    </w:p>
    <w:bookmarkStart w:id="67" w:name="page68"/>
    <w:bookmarkEnd w:id="67"/>
    <w:p>
      <w:pPr>
        <w:ind w:right="620"/>
        <w:spacing w:after="0" w:line="277" w:lineRule="auto"/>
        <w:rPr>
          <w:sz w:val="20"/>
          <w:szCs w:val="20"/>
          <w:color w:val="auto"/>
        </w:rPr>
      </w:pPr>
      <w:r>
        <w:rPr>
          <w:rFonts w:ascii="Times New Roman" w:cs="Times New Roman" w:eastAsia="Times New Roman" w:hAnsi="Times New Roman"/>
          <w:sz w:val="20"/>
          <w:szCs w:val="20"/>
          <w:color w:val="231F20"/>
        </w:rPr>
        <w:t>Complying with any new legislation or reversing changes implemented under the ACA could be time-intensive and expensive, resulting in a material adverse effect on our business.</w:t>
      </w:r>
    </w:p>
    <w:p>
      <w:pPr>
        <w:spacing w:after="0" w:line="4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2032, unless Congress takes additional action.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80" w:lineRule="exact"/>
        <w:rPr>
          <w:sz w:val="20"/>
          <w:szCs w:val="20"/>
          <w:color w:val="auto"/>
        </w:rPr>
      </w:pPr>
    </w:p>
    <w:p>
      <w:pPr>
        <w:ind w:right="20" w:firstLine="720"/>
        <w:spacing w:after="0" w:line="241" w:lineRule="auto"/>
        <w:rPr>
          <w:sz w:val="20"/>
          <w:szCs w:val="20"/>
          <w:color w:val="auto"/>
        </w:rPr>
      </w:pPr>
      <w:r>
        <w:rPr>
          <w:rFonts w:ascii="Times New Roman" w:cs="Times New Roman" w:eastAsia="Times New Roman" w:hAnsi="Times New Roman"/>
          <w:sz w:val="20"/>
          <w:szCs w:val="20"/>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(MFN) and directing the U.S. Trade Representative and Secretary of Commerce to take action to ensure foreign countries are not engaged in practices that purposefully and unfairly undercut market prices and drive price hikes in the United States. The One Big Beautiful Bill Act (OBBBA), which was signed into law in July 2025, includes provisions that will impact the U.S.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Such MFN pricing agreements and other measures that use most-favored-nation pricing targets for prescription drugs, including the use of international pricing reference to set drug prices in the United States, or increase generic and biosimilar drug entry sooner than expected, could have a material adverse effect on our industry, ability to set adequate pricing for new drugs to recover research and development costs, and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agency rules implemented by the government on us and the pharmaceutical industry as a whole is unclear. Further, uncertainties created by the IRA, including its long-term impact on drug pricing, may negatively impact investments, company valuation, royalty-based earnings, mergers, and acquisitions in the industry.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p>
    <w:p>
      <w:pPr>
        <w:spacing w:after="0" w:line="85"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231F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In addition, the FDA has authorized the state of Florida to develop Section 804 Importation Programs to import certain prescription drugs from Canada for a limited time to help reduce drug costs, provided that Florida’s Agency for Health Care Administration meets the requirements set forth by the FDA. Other states may follow Florida.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ectPr>
          <w:pgSz w:w="11880" w:h="15480" w:orient="portrait"/>
          <w:cols w:equalWidth="0" w:num="1">
            <w:col w:w="10780"/>
          </w:cols>
          <w:pgMar w:left="540" w:top="750" w:right="560" w:bottom="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780"/>
          </w:cols>
          <w:pgMar w:left="540" w:top="750" w:right="560" w:bottom="0" w:gutter="0" w:footer="0" w:header="0"/>
          <w:type w:val="continuous"/>
        </w:sectPr>
      </w:pPr>
    </w:p>
    <w:bookmarkStart w:id="68" w:name="page69"/>
    <w:bookmarkEnd w:id="68"/>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80"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231F20"/>
        </w:rPr>
        <w:t>We expect that the ACA,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58" w:lineRule="exact"/>
        <w:rPr>
          <w:sz w:val="20"/>
          <w:szCs w:val="20"/>
          <w:color w:val="auto"/>
        </w:rPr>
      </w:pPr>
    </w:p>
    <w:p>
      <w:pPr>
        <w:ind w:firstLine="720"/>
        <w:spacing w:after="0" w:line="221" w:lineRule="auto"/>
        <w:rPr>
          <w:sz w:val="20"/>
          <w:szCs w:val="20"/>
          <w:color w:val="auto"/>
        </w:rPr>
      </w:pPr>
      <w:r>
        <w:rPr>
          <w:rFonts w:ascii="Times New Roman" w:cs="Times New Roman" w:eastAsia="Times New Roman" w:hAnsi="Times New Roman"/>
          <w:sz w:val="20"/>
          <w:szCs w:val="20"/>
          <w:color w:val="231F20"/>
        </w:rPr>
        <w:t xml:space="preserve">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In June 2024, the U.S. Supreme Court overruled the </w:t>
      </w:r>
      <w:r>
        <w:rPr>
          <w:rFonts w:ascii="Times New Roman" w:cs="Times New Roman" w:eastAsia="Times New Roman" w:hAnsi="Times New Roman"/>
          <w:sz w:val="20"/>
          <w:szCs w:val="20"/>
          <w:i w:val="1"/>
          <w:iCs w:val="1"/>
          <w:color w:val="231F20"/>
        </w:rPr>
        <w:t>Chevron</w:t>
      </w:r>
      <w:r>
        <w:rPr>
          <w:rFonts w:ascii="Times New Roman" w:cs="Times New Roman" w:eastAsia="Times New Roman" w:hAnsi="Times New Roman"/>
          <w:sz w:val="20"/>
          <w:szCs w:val="20"/>
          <w:color w:val="231F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and other federal agencies to challenge longstanding decisions and policies,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81"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Additionally, the collection, use and other processing of health data relating to individuals in the EU is governed by the General Data Protection Regulation (GDPR), which extends the geographical scope of EU data protection law to non-EU entities under certain conditions and imposes substantial obligations upon companies and new rights for individuals. Failure to comply with the GDPR and the applicable national data protection laws of EU Member States may result in fines up to €20,000,000 or up to 4% of the total worldwide annual turnover of the preceding financial year, whichever is higher, and other administrative penalties and liabilities. The GDPR has increased our responsibility and liability in relation to personal data that we may process, and we may be required to put in place additional mechanisms in an effort to comply with the GDPR or other laws and regulations relating to privacy, data protection and cybersecurity. This may be onerous and if our efforts to comply with GDPR or other applicable laws and regulations are not successful, it could adversely affect our business. Further, the European Court of Justice in 2020 invalidated the EU-U.S. Privacy Shield and imposed additional requirements for companies making use of standard contractual clauses issued by the European Commission (SCCs), including requirements to make use of updated SCCs. The UK also has issued updated standard contractual clauses that are required to be implemented. Additionally, the U.S. Department of Justice issued in January 2025 a final rule, effective April 8, 2025, which places limitations, and in some cases prohibitions, on certain transfers of sensitive personal data to business partners located in China or with other specified links to China and other designated countries. These and other developments with respect to cross-border data transfer may impose additional obligations with respect to cross-border data transfer and may require us to modify our policies and practices and engage in additional contractual negotiations, each of which could increase our costs and obligations and impose limitations upon our ability to efficiently transfer personal data across borders.</w:t>
      </w:r>
    </w:p>
    <w:p>
      <w:pPr>
        <w:spacing w:after="0" w:line="88"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Further, the UK has implemented legislation that substantially implements and complements the GDPR, with penalties for noncompliance of up to the greater of £ 17.5 million or four percent of worldwide revenues. The UK enacted the UK Data (Use and Access) Act 2025 (DUAA) on June 19, 2025, which made targeted amendments to the UK’s data protection regime that cause it to deviate further from the GDPR. This has introduced additional compliance complexity to the UK’s data protection regime. We may be required to incur significant costs and expenses in an effort to comply with distinct privacy and data protection requirements in the EU and UK. More generally, we may incur liabilities, expenses, costs, and other operational losses under the GDPR and the privacy and data protection laws of applicable EU Member States and the UK in connection with any measures we take to comply with them.</w:t>
      </w:r>
    </w:p>
    <w:p>
      <w:pPr>
        <w:spacing w:after="0" w:line="8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or the California Privacy Protection Agency, with fines set at $2,500 per violation (i.e., per person) or $7,500 per intentional violation and (b) authorizes private lawsuits to recover statutory damages for certain data breaches. While it exempts some data regulated by HIPAA and certain clinical trials data, the CCPA may increase our compliance costs and potential liability with respect to other personal information we collect about California residents. Additionally, the California Privacy Rights Act (CPRA) became operative in most respects on January 1, 2023. The CPRA significantly modified the CCPA, which may require us to modify our practices and policies and may further increase our compliance costs and potential liability. Numerous other states’ legislatures are considering or have enacted similar laws</w:t>
      </w:r>
    </w:p>
    <w:p>
      <w:pPr>
        <w:sectPr>
          <w:pgSz w:w="11880" w:h="15480" w:orient="portrait"/>
          <w:cols w:equalWidth="0" w:num="1">
            <w:col w:w="10800"/>
          </w:cols>
          <w:pgMar w:left="540" w:top="750" w:right="540" w:bottom="0"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800"/>
          </w:cols>
          <w:pgMar w:left="540" w:top="750" w:right="540" w:bottom="0" w:gutter="0" w:footer="0" w:header="0"/>
          <w:type w:val="continuous"/>
        </w:sectPr>
      </w:pPr>
    </w:p>
    <w:bookmarkStart w:id="69" w:name="page70"/>
    <w:bookmarkEnd w:id="69"/>
    <w:p>
      <w:pPr>
        <w:spacing w:after="0" w:line="246" w:lineRule="auto"/>
        <w:rPr>
          <w:sz w:val="20"/>
          <w:szCs w:val="20"/>
          <w:color w:val="auto"/>
        </w:rPr>
      </w:pPr>
      <w:r>
        <w:rPr>
          <w:rFonts w:ascii="Times New Roman" w:cs="Times New Roman" w:eastAsia="Times New Roman" w:hAnsi="Times New Roman"/>
          <w:sz w:val="20"/>
          <w:szCs w:val="20"/>
          <w:color w:val="231F20"/>
        </w:rPr>
        <w:t>that will require ongoing compliance efforts and investment, and which may increase our potential liability and adversely affect our business. For example, Colorado, Connecticut, Utah and Virginia have enacted legislation similar to the CCPA and CPRA that took effect in 2023; Florida, Montana, Oregon and Texas have enacted similar legislation that became effective in 2024; Tennessee, Iowa, Delaware, Maryland, Minnesota, Nebraska, New Hampshire and New Jersey have enacted similar legislation that became effective in 2025; and Indiana, Rhode Island and Kentucky have enacted similar legislation that has become effective in 2026. Further, other states have enacted laws that cover certain aspects of the collection, use, disclosure, and/or other processing of health information, such as Washington’s My Health, My Data Act, which, among other things, provides for a private right of action.</w:t>
      </w:r>
    </w:p>
    <w:p>
      <w:pPr>
        <w:spacing w:after="0" w:line="8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The interpretation and application of laws and regulations relating to privacy, data protection, data security, and other matters in the United States, the EEA, and elsewhere are often uncertain, contradictory, and in flux. Any failure or perceived failure to comply with federal, state, or foreign laws or regulations, or contractual or other legal obligations, may result in claims, warnings, communications, requests, or investigations from individuals, supervisory authorities, or other legal or regulatory authorities, and regulatory investigations or other proceedings. It is possible that these laws, regulations, and other actual or asserted obligations may be interpreted and applied in a manner that is inconsistent with our practices. If so, this could result in claims, demands, and litigation or other proceedings initiated by regulatory authorities or others, and fines, penalties, damages, or other liabilities, as well as government-imposed orders requiring that we change our practices, which could adversely affect our business. Our efforts to comply with emerging and changing legal and regulatory requirements relating to privacy, data protection, data security and other matters may cause us to incur costs or require us to change our business practices, which could harm our business, financial condition, and results of operations and prospects.</w:t>
      </w:r>
    </w:p>
    <w:p>
      <w:pPr>
        <w:spacing w:after="0" w:line="8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4"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7"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temporarily postponed inspections of foreign manufacturing facilities and routine surveillance inspections of domestic manufacturing facilities. If a prolonged government shutdown or other disruption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63"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b w:val="1"/>
          <w:bCs w:val="1"/>
          <w:i w:val="1"/>
          <w:iCs w:val="1"/>
          <w:color w:val="231F20"/>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1"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4" w:lineRule="exact"/>
        <w:rPr>
          <w:sz w:val="20"/>
          <w:szCs w:val="20"/>
          <w:color w:val="auto"/>
        </w:rPr>
      </w:pPr>
    </w:p>
    <w:p>
      <w:pPr>
        <w:ind w:left="1220" w:right="180" w:hanging="500"/>
        <w:spacing w:after="0" w:line="231" w:lineRule="auto"/>
        <w:tabs>
          <w:tab w:leader="none" w:pos="122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AKS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6" w:lineRule="exact"/>
        <w:rPr>
          <w:rFonts w:ascii="Arial" w:cs="Arial" w:eastAsia="Arial" w:hAnsi="Arial"/>
          <w:sz w:val="20"/>
          <w:szCs w:val="20"/>
          <w:color w:val="231F20"/>
        </w:rPr>
      </w:pPr>
    </w:p>
    <w:p>
      <w:pPr>
        <w:ind w:left="1220" w:right="100" w:hanging="500"/>
        <w:spacing w:after="0" w:line="253" w:lineRule="auto"/>
        <w:tabs>
          <w:tab w:leader="none" w:pos="1220" w:val="left"/>
        </w:tabs>
        <w:numPr>
          <w:ilvl w:val="0"/>
          <w:numId w:val="41"/>
        </w:numPr>
        <w:rPr>
          <w:rFonts w:ascii="Arial" w:cs="Arial" w:eastAsia="Arial" w:hAnsi="Arial"/>
          <w:sz w:val="19"/>
          <w:szCs w:val="19"/>
          <w:color w:val="231F20"/>
        </w:rPr>
      </w:pPr>
      <w:r>
        <w:rPr>
          <w:rFonts w:ascii="Times New Roman" w:cs="Times New Roman" w:eastAsia="Times New Roman" w:hAnsi="Times New Roman"/>
          <w:sz w:val="19"/>
          <w:szCs w:val="19"/>
          <w:color w:val="231F20"/>
        </w:rPr>
        <w:t>the federal false claims laws, including the civil FCA,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780"/>
          </w:cols>
          <w:pgMar w:left="540" w:top="750" w:right="560" w:bottom="0" w:gutter="0" w:footer="0" w:header="0"/>
          <w:type w:val="continuous"/>
        </w:sectPr>
      </w:pPr>
    </w:p>
    <w:bookmarkStart w:id="70" w:name="page71"/>
    <w:bookmarkEnd w:id="70"/>
    <w:p>
      <w:pPr>
        <w:ind w:left="1220" w:right="600"/>
        <w:spacing w:after="0" w:line="253" w:lineRule="auto"/>
        <w:rPr>
          <w:sz w:val="20"/>
          <w:szCs w:val="20"/>
          <w:color w:val="auto"/>
        </w:rPr>
      </w:pPr>
      <w:r>
        <w:rPr>
          <w:rFonts w:ascii="Times New Roman" w:cs="Times New Roman" w:eastAsia="Times New Roman" w:hAnsi="Times New Roman"/>
          <w:sz w:val="20"/>
          <w:szCs w:val="20"/>
          <w:color w:val="231F20"/>
        </w:rPr>
        <w:t>or fraudulent or making a false statement to avoid, decrease or conceal an obligation to pay money to the federal government;</w:t>
      </w:r>
    </w:p>
    <w:p>
      <w:pPr>
        <w:spacing w:after="0" w:line="62" w:lineRule="exact"/>
        <w:rPr>
          <w:sz w:val="20"/>
          <w:szCs w:val="20"/>
          <w:color w:val="auto"/>
        </w:rPr>
      </w:pPr>
    </w:p>
    <w:p>
      <w:pPr>
        <w:ind w:left="1220" w:right="760" w:hanging="500"/>
        <w:spacing w:after="0" w:line="254" w:lineRule="auto"/>
        <w:tabs>
          <w:tab w:leader="none" w:pos="122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HIPAA, prohibits, among other things, executing or attempting to execute a scheme to defraud any healthcare benefit program or making false statements relating to healthcare matters;</w:t>
      </w:r>
    </w:p>
    <w:p>
      <w:pPr>
        <w:spacing w:after="0" w:line="60" w:lineRule="exact"/>
        <w:rPr>
          <w:rFonts w:ascii="Arial" w:cs="Arial" w:eastAsia="Arial" w:hAnsi="Arial"/>
          <w:sz w:val="20"/>
          <w:szCs w:val="20"/>
          <w:color w:val="231F20"/>
        </w:rPr>
      </w:pPr>
    </w:p>
    <w:p>
      <w:pPr>
        <w:ind w:left="1220" w:right="40" w:hanging="500"/>
        <w:spacing w:after="0" w:line="228" w:lineRule="auto"/>
        <w:tabs>
          <w:tab w:leader="none" w:pos="122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96" w:lineRule="exact"/>
        <w:rPr>
          <w:rFonts w:ascii="Arial" w:cs="Arial" w:eastAsia="Arial" w:hAnsi="Arial"/>
          <w:sz w:val="20"/>
          <w:szCs w:val="20"/>
          <w:color w:val="231F20"/>
        </w:rPr>
      </w:pPr>
    </w:p>
    <w:p>
      <w:pPr>
        <w:ind w:left="1220" w:right="280" w:hanging="500"/>
        <w:spacing w:after="0" w:line="246" w:lineRule="auto"/>
        <w:tabs>
          <w:tab w:leader="none" w:pos="122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covered recipients, including physicians (defined to include doctors, dentists, optometrists, podiatrists and chiropractors), certain non-physician healthcare providers (such as physician assistants and nurse practitioners), and teaching hospitals, as well as information regarding ownership and investment interests held by physicians and their immediate family members; and</w:t>
      </w:r>
    </w:p>
    <w:p>
      <w:pPr>
        <w:spacing w:after="0" w:line="93" w:lineRule="exact"/>
        <w:rPr>
          <w:rFonts w:ascii="Arial" w:cs="Arial" w:eastAsia="Arial" w:hAnsi="Arial"/>
          <w:sz w:val="20"/>
          <w:szCs w:val="20"/>
          <w:color w:val="231F20"/>
        </w:rPr>
      </w:pPr>
    </w:p>
    <w:p>
      <w:pPr>
        <w:ind w:left="1200" w:right="20" w:hanging="480"/>
        <w:spacing w:after="0" w:line="244" w:lineRule="auto"/>
        <w:tabs>
          <w:tab w:leader="none" w:pos="120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(such as Washington’s My Health, My Data Act, which, among other things, provides for a private right of action), many of which differ from each other in significant ways and often are not preempted by HIPAA, thus complicating compliance efforts.</w:t>
      </w:r>
    </w:p>
    <w:p>
      <w:pPr>
        <w:spacing w:after="0" w:line="81"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86"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68" w:lineRule="exact"/>
        <w:rPr>
          <w:sz w:val="20"/>
          <w:szCs w:val="20"/>
          <w:color w:val="auto"/>
        </w:rPr>
      </w:pPr>
    </w:p>
    <w:p>
      <w:pPr>
        <w:ind w:right="80" w:firstLine="720"/>
        <w:spacing w:after="0" w:line="242" w:lineRule="auto"/>
        <w:rPr>
          <w:sz w:val="20"/>
          <w:szCs w:val="20"/>
          <w:color w:val="auto"/>
        </w:rPr>
      </w:pPr>
      <w:r>
        <w:rPr>
          <w:rFonts w:ascii="Times New Roman" w:cs="Times New Roman" w:eastAsia="Times New Roman" w:hAnsi="Times New Roman"/>
          <w:sz w:val="20"/>
          <w:szCs w:val="20"/>
          <w:color w:val="231F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w:t>
      </w:r>
    </w:p>
    <w:p>
      <w:pPr>
        <w:sectPr>
          <w:pgSz w:w="11880" w:h="15480" w:orient="portrait"/>
          <w:cols w:equalWidth="0" w:num="1">
            <w:col w:w="10800"/>
          </w:cols>
          <w:pgMar w:left="540" w:top="731" w:right="540" w:bottom="0" w:gutter="0" w:footer="0" w:header="0"/>
        </w:sect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800"/>
          </w:cols>
          <w:pgMar w:left="540" w:top="731" w:right="540" w:bottom="0" w:gutter="0" w:footer="0" w:header="0"/>
          <w:type w:val="continuous"/>
        </w:sectPr>
      </w:pPr>
    </w:p>
    <w:bookmarkStart w:id="71" w:name="page72"/>
    <w:bookmarkEnd w:id="71"/>
    <w:p>
      <w:pPr>
        <w:ind w:right="120"/>
        <w:spacing w:after="0" w:line="277" w:lineRule="auto"/>
        <w:rPr>
          <w:sz w:val="20"/>
          <w:szCs w:val="20"/>
          <w:color w:val="auto"/>
        </w:rPr>
      </w:pPr>
      <w:r>
        <w:rPr>
          <w:rFonts w:ascii="Times New Roman" w:cs="Times New Roman" w:eastAsia="Times New Roman" w:hAnsi="Times New Roman"/>
          <w:sz w:val="20"/>
          <w:szCs w:val="20"/>
          <w:color w:val="231F20"/>
        </w:rPr>
        <w:t>Medicare and Medicaid, integrity oversight and reporting obligations, contractual damages, reputational harm, diminished profits and future earnings and the curtailment or restructuring of our operations.</w:t>
      </w:r>
    </w:p>
    <w:p>
      <w:pPr>
        <w:spacing w:after="0" w:line="3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b w:val="1"/>
          <w:bCs w:val="1"/>
          <w:i w:val="1"/>
          <w:iCs w:val="1"/>
          <w:color w:val="231F20"/>
        </w:rPr>
        <w:t>If we fail to comply with other U.S. healthcare laws and compliance requirements, we could become subject to fines or penalties or incur costs that could have a material adverse effect on our business.</w:t>
      </w:r>
    </w:p>
    <w:p>
      <w:pPr>
        <w:spacing w:after="0" w:line="68"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231F20"/>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spacing w:after="0" w:line="8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AKS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86"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Additionally, the intent standard under the federal AKS was amended by the ACA, to a stricter standard such that a person or entity no longer needs to have actual knowledge of the federal AKS or specific intent to violate it in order to have committed a violation. Rather, if “one purpose” of the remuneration is to induce referrals, the federal AKS is implicated. In addition, the ACA codified case law that a claim that includes items or services resulting from a violation of the federal AKS constitutes a false or fraudulent claim for purposes of the federal civil FCA (discussed below).</w:t>
      </w:r>
    </w:p>
    <w:p>
      <w:pPr>
        <w:spacing w:after="0" w:line="77"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231F20"/>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spacing w:after="0" w:line="6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231F20"/>
        </w:rPr>
        <w:t>The federal civil FCA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 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86" w:lineRule="exact"/>
        <w:rPr>
          <w:sz w:val="20"/>
          <w:szCs w:val="20"/>
          <w:color w:val="auto"/>
        </w:rPr>
      </w:pPr>
    </w:p>
    <w:p>
      <w:pPr>
        <w:ind w:right="240" w:firstLine="720"/>
        <w:spacing w:after="0" w:line="246" w:lineRule="auto"/>
        <w:rPr>
          <w:sz w:val="20"/>
          <w:szCs w:val="20"/>
          <w:color w:val="auto"/>
        </w:rPr>
      </w:pPr>
      <w:r>
        <w:rPr>
          <w:rFonts w:ascii="Times New Roman" w:cs="Times New Roman" w:eastAsia="Times New Roman" w:hAnsi="Times New Roman"/>
          <w:sz w:val="20"/>
          <w:szCs w:val="20"/>
          <w:color w:val="231F20"/>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AKS,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80" w:lineRule="exact"/>
        <w:rPr>
          <w:sz w:val="20"/>
          <w:szCs w:val="20"/>
          <w:color w:val="auto"/>
        </w:rPr>
      </w:pPr>
    </w:p>
    <w:p>
      <w:pPr>
        <w:jc w:val="both"/>
        <w:ind w:right="820" w:firstLine="720"/>
        <w:spacing w:after="0" w:line="305" w:lineRule="auto"/>
        <w:rPr>
          <w:sz w:val="20"/>
          <w:szCs w:val="20"/>
          <w:color w:val="auto"/>
        </w:rPr>
      </w:pPr>
      <w:r>
        <w:rPr>
          <w:rFonts w:ascii="Times New Roman" w:cs="Times New Roman" w:eastAsia="Times New Roman" w:hAnsi="Times New Roman"/>
          <w:sz w:val="19"/>
          <w:szCs w:val="19"/>
          <w:color w:val="231F20"/>
        </w:rPr>
        <w:t>Analogous U.S. state laws and regulations, including state anti-kickback and false claims laws, may apply to claims involving healthcare items or services reimbursed by any third-party payor, including private insurers our business practices.</w:t>
      </w:r>
    </w:p>
    <w:p>
      <w:pPr>
        <w:spacing w:after="0" w:line="25"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w:t>
      </w:r>
    </w:p>
    <w:p>
      <w:pPr>
        <w:sectPr>
          <w:pgSz w:w="11880" w:h="15480" w:orient="portrait"/>
          <w:cols w:equalWidth="0" w:num="1">
            <w:col w:w="10800"/>
          </w:cols>
          <w:pgMar w:left="540" w:top="750" w:right="540" w:bottom="0" w:gutter="0" w:footer="0" w:header="0"/>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800"/>
          </w:cols>
          <w:pgMar w:left="540" w:top="750" w:right="540" w:bottom="0" w:gutter="0" w:footer="0" w:header="0"/>
          <w:type w:val="continuous"/>
        </w:sectPr>
      </w:pPr>
    </w:p>
    <w:bookmarkStart w:id="72" w:name="page73"/>
    <w:bookmarkEnd w:id="72"/>
    <w:p>
      <w:pPr>
        <w:ind w:right="320"/>
        <w:spacing w:after="0" w:line="258" w:lineRule="auto"/>
        <w:rPr>
          <w:sz w:val="20"/>
          <w:szCs w:val="20"/>
          <w:color w:val="auto"/>
        </w:rPr>
      </w:pPr>
      <w:r>
        <w:rPr>
          <w:rFonts w:ascii="Times New Roman" w:cs="Times New Roman" w:eastAsia="Times New Roman" w:hAnsi="Times New Roman"/>
          <w:sz w:val="20"/>
          <w:szCs w:val="20"/>
          <w:color w:val="231F20"/>
        </w:rPr>
        <w:t>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68"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231F20"/>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covered recipients, including physicians (defined to include doctors, dentists, optometrists, podiatrists and chiropractors), certain non-physician healthcare providers (such as physician assistants and nurse practitioners) and teaching hospitals, or to entities or individuals at the request of, or designated on behalf of, such covered recipients, and to report annually certain ownership and investment interests held by physicians and their immediate family members.</w:t>
      </w:r>
    </w:p>
    <w:p>
      <w:pPr>
        <w:spacing w:after="0" w:line="80"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80"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231F20"/>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spacing w:after="0" w:line="8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70"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6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80"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4" w:lineRule="exact"/>
        <w:rPr>
          <w:sz w:val="20"/>
          <w:szCs w:val="20"/>
          <w:color w:val="auto"/>
        </w:rPr>
      </w:pPr>
    </w:p>
    <w:p>
      <w:pPr>
        <w:ind w:right="260" w:firstLine="720"/>
        <w:spacing w:after="0" w:line="258" w:lineRule="auto"/>
        <w:rPr>
          <w:sz w:val="20"/>
          <w:szCs w:val="20"/>
          <w:color w:val="auto"/>
        </w:rPr>
      </w:pPr>
      <w:r>
        <w:rPr>
          <w:rFonts w:ascii="Times New Roman" w:cs="Times New Roman" w:eastAsia="Times New Roman" w:hAnsi="Times New Roman"/>
          <w:sz w:val="20"/>
          <w:szCs w:val="20"/>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10780"/>
          </w:cols>
          <w:pgMar w:left="540" w:top="750" w:right="560" w:bottom="0" w:gutter="0" w:footer="0" w:header="0"/>
          <w:type w:val="continuous"/>
        </w:sectPr>
      </w:pPr>
    </w:p>
    <w:bookmarkStart w:id="73" w:name="page74"/>
    <w:bookmarkEnd w:id="73"/>
    <w:p>
      <w:pPr>
        <w:ind w:right="240"/>
        <w:spacing w:after="0" w:line="231" w:lineRule="auto"/>
        <w:rPr>
          <w:sz w:val="20"/>
          <w:szCs w:val="20"/>
          <w:color w:val="auto"/>
        </w:rPr>
      </w:pPr>
      <w:r>
        <w:rPr>
          <w:rFonts w:ascii="Times New Roman" w:cs="Times New Roman" w:eastAsia="Times New Roman" w:hAnsi="Times New Roman"/>
          <w:sz w:val="20"/>
          <w:szCs w:val="20"/>
          <w:b w:val="1"/>
          <w:bCs w:val="1"/>
          <w:i w:val="1"/>
          <w:iCs w:val="1"/>
          <w:color w:val="231F20"/>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8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92"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86"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Enhanced trade tariffs, import restrictions, export restrictions, Chinese regulations or other trade barriers may materially harm our business.</w:t>
      </w:r>
    </w:p>
    <w:p>
      <w:pPr>
        <w:spacing w:after="0" w:line="49"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We are continuing to expand our international operations as part of our strategy. There is currently significant uncertainty about the future relationship between the United States and various other countries, most significantly China, with respect to trade policies, treaties, government regulations and tariffs. There is a possibility that the United States could continue to impose greater restrictions on international trade and significant increases in tariffs on goods imported into the United States. In September 2018, the U.S. Trade Representative (USTR) enacted a tariff on the import of other Chinese products, with a combined import value of approximately $200 billion. Since that time USTR has modified these tariff rates and imposed tariffs on additional goods. In addition, since February 4, 2025, the U.S. government has imposed additional tariffs on the import of almost all Chinese origin goods which are now 30% and an additional baseline reciprocal 10% tariff on certain products of most other U.S. trading partners, with exemptions for certain pharmaceuticals, semiconductors, and consumer electronics. Additional tariffs may in the future be implemented by the U.S. government (including on imports of pharmaceutical products into the United States currently under investigation by the U.S. Department of Commerce, among other potential tariffs), the implementation, scope, and duration of which remain uncertain. Tariffs on imports of Active Pharmaceutical Ingredients (APIs) and starting materials used in our product candidates as well as product candidates themselves, or retaliatory trade measures taken by China or other countries, which could potentially include restricted access to APIs or starting materials used in our product candidates, could result in us needing to make changes to our product candidates, or materially harm our business, financial condition and results of operations. Further, the continued threats of tariffs, trade restrictions, and trade barriers could have a generally disruptive impact on the global economy and, therefore, negatively impact our company.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employee matters, managing our growth and other risks related to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success is highly dependent on our ability to attract and retain highly skilled executive officers and employees.</w:t>
      </w:r>
    </w:p>
    <w:p>
      <w:pPr>
        <w:spacing w:after="0" w:line="120" w:lineRule="exact"/>
        <w:rPr>
          <w:sz w:val="20"/>
          <w:szCs w:val="20"/>
          <w:color w:val="auto"/>
        </w:rPr>
      </w:pPr>
    </w:p>
    <w:p>
      <w:pPr>
        <w:ind w:right="20" w:firstLine="720"/>
        <w:spacing w:after="0" w:line="270" w:lineRule="auto"/>
        <w:rPr>
          <w:sz w:val="20"/>
          <w:szCs w:val="20"/>
          <w:color w:val="auto"/>
        </w:rPr>
      </w:pPr>
      <w:r>
        <w:rPr>
          <w:rFonts w:ascii="Times New Roman" w:cs="Times New Roman" w:eastAsia="Times New Roman" w:hAnsi="Times New Roman"/>
          <w:sz w:val="19"/>
          <w:szCs w:val="19"/>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w:t>
      </w:r>
    </w:p>
    <w:p>
      <w:pPr>
        <w:sectPr>
          <w:pgSz w:w="11880" w:h="15480" w:orient="portrait"/>
          <w:cols w:equalWidth="0" w:num="1">
            <w:col w:w="10800"/>
          </w:cols>
          <w:pgMar w:left="540" w:top="731" w:right="540" w:bottom="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10800"/>
          </w:cols>
          <w:pgMar w:left="540" w:top="731" w:right="540" w:bottom="0" w:gutter="0" w:footer="0" w:header="0"/>
          <w:type w:val="continuous"/>
        </w:sectPr>
      </w:pPr>
    </w:p>
    <w:bookmarkStart w:id="74" w:name="page75"/>
    <w:bookmarkEnd w:id="74"/>
    <w:p>
      <w:pPr>
        <w:ind w:right="60"/>
        <w:spacing w:after="0" w:line="258" w:lineRule="auto"/>
        <w:rPr>
          <w:sz w:val="20"/>
          <w:szCs w:val="20"/>
          <w:color w:val="auto"/>
        </w:rPr>
      </w:pPr>
      <w:r>
        <w:rPr>
          <w:rFonts w:ascii="Times New Roman" w:cs="Times New Roman" w:eastAsia="Times New Roman" w:hAnsi="Times New Roman"/>
          <w:sz w:val="20"/>
          <w:szCs w:val="20"/>
          <w:color w:val="231F20"/>
        </w:rPr>
        <w:t>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spacing w:after="0" w:line="68"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develop and commercialize our product candidates will be limited and the potential for successfully growing our business will be harmed.</w:t>
      </w:r>
    </w:p>
    <w:p>
      <w:pPr>
        <w:spacing w:after="0" w:line="8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82" w:lineRule="exact"/>
        <w:rPr>
          <w:sz w:val="20"/>
          <w:szCs w:val="20"/>
          <w:color w:val="auto"/>
        </w:rPr>
      </w:pPr>
    </w:p>
    <w:p>
      <w:pPr>
        <w:ind w:right="8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strategic pipeline prioritization and the associated workforce reduction announced in August 2025, may not result in anticipated cost savings and could disrupt our business.</w:t>
      </w:r>
    </w:p>
    <w:p>
      <w:pPr>
        <w:spacing w:after="0" w:line="49"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On August 12, 2025, we announced a strategic pipeline prioritization to focus operational and financial resources on the continued advancement of our two lead clinical programs, rinzimetostat and enozertinib. This initiative has resulted in a substantial decrease in preclinical research, primarily from the elimination of our discovery research group. This resulted in an approximately 20% workforce reduction. We may not realize, in full or in part, the anticipated benefits, savings and improvements in our operating structure from our new strategic efforts due to unforeseen difficulties, delays or unexpected costs. If we are unable to realize the expected operational efficiencies and cost savings from the strategic pipeline prioritization, our results of operation and financial condition would be adversely affected. We also cannot guarantee that we will not have to undertake additional workforce reductions or related activities in the future. Such cost reduction efforts may in the future adversely affect our ability to attract and retain employees, and may adversely affect our culture and impact our ability to effectively pursue our business strategy. Furthermore, our strategic pipeline prioritization may be disruptive to our operations. For example, our workforce reduction could yield unanticipated consequences, such as attrition beyond planned staff reductions, increased difficulties in our day-to-day operations and reduced employee morale. If employees who were not affected by the reduction in force seek alternate employment, this could result in us seeking contract support which may result in unplanned additional expense or harm our productivity. Our workforce reduction could also harm our ability to attract and retain qualified management, scientific, and clinical personnel who are critical to our business. Any failure to attract or retain qualified personnel could prevent us from successfully developing our product candidates in the future.</w:t>
      </w:r>
    </w:p>
    <w:p>
      <w:pPr>
        <w:spacing w:after="0" w:line="92"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49"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31F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74"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10780"/>
          </w:cols>
          <w:pgMar w:left="540" w:top="750" w:right="560" w:bottom="0" w:gutter="0" w:footer="0" w:header="0"/>
          <w:type w:val="continuous"/>
        </w:sectPr>
      </w:pPr>
    </w:p>
    <w:bookmarkStart w:id="75" w:name="page76"/>
    <w:bookmarkEnd w:id="75"/>
    <w:p>
      <w:pPr>
        <w:ind w:right="7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 order to successfully implement our plans and strategies, we will need to grow the size of our organization, and we may experience difficulties in managing this growth.</w:t>
      </w:r>
    </w:p>
    <w:p>
      <w:pPr>
        <w:spacing w:after="0" w:line="4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As of December 31, 2025, we had 104 full-time employees, including 76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88" w:lineRule="exact"/>
        <w:rPr>
          <w:sz w:val="20"/>
          <w:szCs w:val="20"/>
          <w:color w:val="auto"/>
        </w:rPr>
      </w:pPr>
    </w:p>
    <w:p>
      <w:pPr>
        <w:ind w:left="1220" w:hanging="500"/>
        <w:spacing w:after="0"/>
        <w:tabs>
          <w:tab w:leader="none" w:pos="122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identifying, recruiting, integrating, maintaining and motivating additional employees;</w:t>
      </w:r>
    </w:p>
    <w:p>
      <w:pPr>
        <w:spacing w:after="0" w:line="133" w:lineRule="exact"/>
        <w:rPr>
          <w:rFonts w:ascii="Arial" w:cs="Arial" w:eastAsia="Arial" w:hAnsi="Arial"/>
          <w:sz w:val="20"/>
          <w:szCs w:val="20"/>
          <w:color w:val="231F20"/>
        </w:rPr>
      </w:pPr>
    </w:p>
    <w:p>
      <w:pPr>
        <w:ind w:left="1220" w:right="20" w:hanging="500"/>
        <w:spacing w:after="0" w:line="258" w:lineRule="auto"/>
        <w:tabs>
          <w:tab w:leader="none" w:pos="122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81" w:lineRule="exact"/>
        <w:rPr>
          <w:rFonts w:ascii="Arial" w:cs="Arial" w:eastAsia="Arial" w:hAnsi="Arial"/>
          <w:sz w:val="20"/>
          <w:szCs w:val="20"/>
          <w:color w:val="231F20"/>
        </w:rPr>
      </w:pPr>
    </w:p>
    <w:p>
      <w:pPr>
        <w:ind w:left="1220" w:hanging="500"/>
        <w:spacing w:after="0"/>
        <w:tabs>
          <w:tab w:leader="none" w:pos="122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improving our operational, financial and management controls, reporting systems and procedures.</w:t>
      </w:r>
    </w:p>
    <w:p>
      <w:pPr>
        <w:spacing w:after="0" w:line="119"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4"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Moreover, there is the potential that our independent contractors could be deemed to be misclassified under applicable worker classification laws, which could subject us to penalties or other liabilities.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our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82"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231F20"/>
        </w:rPr>
        <w:t>If we are not able to effectively expand our organization by hiring new employees and/or engaging additional third-party service providers, we may not be able to successfully implement the tasks necessary to further develop and commercialize our product candidates and, accordingly, may not achieve our research, development and commercialization goals.</w:t>
      </w:r>
    </w:p>
    <w:p>
      <w:pPr>
        <w:spacing w:after="0" w:line="6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internal computer systems, or those of any of our CROs, manufacturers, other contractors or consultants or potential future collaborators, may fail or suffer security or data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4"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Despite the implementation of security measures in an effort to protect systems that store our information, given their size and complexity and the increasing amounts of information maintained and otherwise processed on our information technology systems, and those of our third-party CROs, other contractors (including sites performing our clinical trials) and consultants, these systems are potentially vulnerable to breakdown or other damage, disruption,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phishing and other means of social engineering, and other means to affect service reliability and threaten the confidentiality, integrity and availability of information), which may compromise our system infrastructure or that of our third-party CROs, other contractors (including sites performing our clinical trials) and consultants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recent years, and the increase in remote working further increases security threats. Additionally, for example, our third-party CROs or other contractors and consultants have suffered, and in the future may suffer, instances of unauthorized access to their systems. To date, we have not identified any such instance that we have assessed as material to our business or operations. International military conflicts and geopolitical tensions may increase cybersecurity threats that we and our CROs and other contractors and consultants face. Moreover, advancements in technology, such as AI and machine learning, are changing and may continue to change the way companies are subjected to attempts to gain unauthorized access and disrupt systems, thereby increasing the risks of security threats and attacks. Any disruption or security breach or incident resulting in any loss, destruction, unavailability, or unauthorized alteration, disclosure, dissemination, or processing of, or damage or unauthorized access to, our applications, any data processed or maintained on our behalf, or other assets, or any belief or reporting that any of these has occurred, could cause us to incur liability, financial harm and reputational damage and delays in the development and commercialization of our product candidates. We</w:t>
      </w:r>
    </w:p>
    <w:p>
      <w:pPr>
        <w:sectPr>
          <w:pgSz w:w="11880" w:h="15480" w:orient="portrait"/>
          <w:cols w:equalWidth="0" w:num="1">
            <w:col w:w="10800"/>
          </w:cols>
          <w:pgMar w:left="540" w:top="750" w:right="540" w:bottom="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10800"/>
          </w:cols>
          <w:pgMar w:left="540" w:top="750" w:right="540" w:bottom="0" w:gutter="0" w:footer="0" w:header="0"/>
          <w:type w:val="continuous"/>
        </w:sectPr>
      </w:pPr>
    </w:p>
    <w:bookmarkStart w:id="76" w:name="page77"/>
    <w:bookmarkEnd w:id="76"/>
    <w:p>
      <w:pPr>
        <w:spacing w:after="0" w:line="242" w:lineRule="auto"/>
        <w:rPr>
          <w:sz w:val="20"/>
          <w:szCs w:val="20"/>
          <w:color w:val="auto"/>
        </w:rPr>
      </w:pPr>
      <w:r>
        <w:rPr>
          <w:rFonts w:ascii="Times New Roman" w:cs="Times New Roman" w:eastAsia="Times New Roman" w:hAnsi="Times New Roman"/>
          <w:sz w:val="20"/>
          <w:szCs w:val="20"/>
          <w:color w:val="231F20"/>
        </w:rPr>
        <w:t>cannot assure you that our data protection efforts and our investment in information technology, or the efforts or investments of CROs, consultants or other third parties, have prevented or will prevent significant breakdowns, disruptions, or breaches in systems or have prevented or will prevent security breaches or incidents leading to loss, destruction, unavailability, alteration or dissemination of, or damage or unauthorized access to, our data or other data processed or maintained on our behalf or other assets that could have a material adverse effect upon our reputation, business, operations or financial condition. Any such event causing interruptions in our operations could result in a material disruption of our programs and delays in development of our product candidates. In addition, the loss, corruption, or unavailability of clinical trial data for our product candidates could result in delays in our marketing approval efforts and significantly increase our costs to recover or reproduce the data. Furthermore, significant disruptions of information technology systems or security breaches or incidents suffered by us or any of our third-party CROs, other contractors, or consultants, could result in the loss, misappropriation, and/or unauthorized access, use, or disclosure, dissemination, or other processing of, or the prevention of access to, data (including trade secrets or other confidential information, intellectual property, proprietary business information, and personal information), which could result in financial, legal, business, and reputational harm to us. Any such event or any other security breach or incident leading to loss, corruption, or unavailability of, damage to, unauthorized access to, or use, alteration, disclosure, dissemination, or other processing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86"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Notifications and follow-up actions related to a security breach or incident could impact our reputation and cause us to incur significant costs, including legal expenses and remediation costs. We expect to incur significant costs in our efforts to detect and prevent security incidents, and we may face increased costs and requirements to expend substantial resources in the event of an actual or perceived security breach or incident. We also rely on third parties to manufacture our product candidates, and similar events relating to their systems could also have a material adverse effect on our business. Any damage, disruption, or interruption of systems, or security breach or incident resulting in any disruption of our operations or loss, destruction, unavailability, or alteration of, or damage or unauthorized access to, our data or other information that is processed or maintained on our behalf, or inappropriate disclosure or dissemination of any such information, could expose us to litigation and governmental investigations, delays in development and commercialization of our product candidates, and significant fines or penalties for any noncompliance with certain state, federal and/or international privacy and security laws.</w:t>
      </w:r>
    </w:p>
    <w:p>
      <w:pPr>
        <w:spacing w:after="0" w:line="82"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231F20"/>
        </w:rPr>
        <w:t>Our insurance policies may not be adequate to compensate us for the potential losses arising from any such disruption in or, failure or security breach or incident of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77"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operations are vulnerable to interruption by natural disasters, extended power loss, telecommunications failure, terrorist activity, pandemics and other events beyond our control, which could harm our business.</w:t>
      </w:r>
    </w:p>
    <w:p>
      <w:pPr>
        <w:spacing w:after="0" w:line="49"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Our facilities are located in California. We have not undertaken a systematic analysis of the potential consequences to our business and financial results from natural disasters, such as wildfires, earthquakes or tsunamis, extended power loss, terrorist activity, pandemics or other disasters or other disruptions to our business and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80"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Chief Business Officer was sued by the Securities and Exchange Commission for insider trading on a matter unrelated to ORIC.</w:t>
      </w:r>
    </w:p>
    <w:p>
      <w:pPr>
        <w:spacing w:after="0" w:line="49"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231F20"/>
        </w:rPr>
        <w:t>On August 17, 2021, the SEC filed a civil enforcement action against our Chief Business Officer for insider trading in violation of the securities laws. The lawsuit involved transactions that occurred in 2016 while our Chief Business Officer was employed by a different company. On April 5, 2024, a jury found our Chief Business Officer liable for insider trading. Pursuant to the final judgment entered by the Court on October 24, 2024, our Chief Business Officer is subject to a monetary penalty and is permanently enjoined from violating Section 10(b) of the Securities Exchange Act of 1934 and Rule 10b-5 promulgated thereunder but is not in any way prohibited or enjoined from serving as an officer or director of a public company. Our Chief Business Officer has appealed the decision to the Ninth Circuit Court of Appeals.</w:t>
      </w:r>
    </w:p>
    <w:p>
      <w:pPr>
        <w:spacing w:after="0" w:line="8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ability to utilize our net operating loss carryforwards and certain other tax attributes to offset future taxable income may be limited.</w:t>
      </w:r>
    </w:p>
    <w:p>
      <w:pPr>
        <w:spacing w:after="0" w:line="49" w:lineRule="exact"/>
        <w:rPr>
          <w:sz w:val="20"/>
          <w:szCs w:val="20"/>
          <w:color w:val="auto"/>
        </w:rPr>
      </w:pPr>
    </w:p>
    <w:p>
      <w:pPr>
        <w:jc w:val="both"/>
        <w:ind w:right="80" w:firstLine="720"/>
        <w:spacing w:after="0" w:line="258" w:lineRule="auto"/>
        <w:rPr>
          <w:sz w:val="20"/>
          <w:szCs w:val="20"/>
          <w:color w:val="auto"/>
        </w:rPr>
      </w:pPr>
      <w:r>
        <w:rPr>
          <w:rFonts w:ascii="Times New Roman" w:cs="Times New Roman" w:eastAsia="Times New Roman" w:hAnsi="Times New Roman"/>
          <w:sz w:val="20"/>
          <w:szCs w:val="20"/>
          <w:color w:val="231F20"/>
        </w:rPr>
        <w:t>Our net operating loss (NOL) carryforwards may be unavailable to offset future taxable income because of restrictions under U.S. tax law. Our federal NOLs generated in tax years beginning prior to January 1, 2018 are only permitted to be carried forward for 20 taxable years under applicable U.S. federal tax law, and therefore could expire unused. Our federal NOLs generated in tax years</w:t>
      </w:r>
    </w:p>
    <w:p>
      <w:pPr>
        <w:sectPr>
          <w:pgSz w:w="11880" w:h="15480" w:orient="portrait"/>
          <w:cols w:equalWidth="0" w:num="1">
            <w:col w:w="10800"/>
          </w:cols>
          <w:pgMar w:left="540" w:top="750" w:right="540" w:bottom="0"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10800"/>
          </w:cols>
          <w:pgMar w:left="540" w:top="750" w:right="540" w:bottom="0" w:gutter="0" w:footer="0" w:header="0"/>
          <w:type w:val="continuous"/>
        </w:sectPr>
      </w:pPr>
    </w:p>
    <w:bookmarkStart w:id="77" w:name="page78"/>
    <w:bookmarkEnd w:id="77"/>
    <w:p>
      <w:pPr>
        <w:ind w:right="60"/>
        <w:spacing w:after="0" w:line="246" w:lineRule="auto"/>
        <w:rPr>
          <w:sz w:val="20"/>
          <w:szCs w:val="20"/>
          <w:color w:val="auto"/>
        </w:rPr>
      </w:pPr>
      <w:r>
        <w:rPr>
          <w:rFonts w:ascii="Times New Roman" w:cs="Times New Roman" w:eastAsia="Times New Roman" w:hAnsi="Times New Roman"/>
          <w:sz w:val="20"/>
          <w:szCs w:val="20"/>
          <w:color w:val="231F20"/>
        </w:rPr>
        <w:t>beginning after December 31, 2017 may be carried forward indefinitely, but the deductibility of such NOLs generally is limited to 80% of our current year taxable income for tax years beginning after December 31, 2020. As of December 31, 2025, we had available federal NOL carryforwards of $ 424.3 million, of which $382.7 million do not expire. We also had available California NOL carryforwards of approximately $ 573.9 million as of December 31, 2025, which begin to expire in 2034 and are subject to limitation on use, including that such NOLs may not be available to offset California income prior to 2027. In addition, as of December 31, 2025, we had federal and California research and development credit carryforwards totaling $21.7 million and $9.4 million, respectively. The federal credits begin to expire in 2034, while the state credits do not expire.</w:t>
      </w:r>
    </w:p>
    <w:p>
      <w:pPr>
        <w:spacing w:after="0" w:line="8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Limitations on the use of state NOLs also may apply under state tax laws. We may have experienced such ownership changes in the past, and we may experience ownership changes in the future as a result of shifts in our stock ownership, some of which are outside our control. We are currently in the process of conducting a Section 382 study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before they expire, which could have a material adverse effect on our cash flows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tax laws could have a material adverse effect on our business, cash flow, results of operations or financial conditions.</w:t>
      </w:r>
    </w:p>
    <w:p>
      <w:pPr>
        <w:spacing w:after="0" w:line="12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We are subject to tax laws, regulations, and policies of several taxing jurisdictions. Changes in tax laws, as well as other factors, could cause us to experience fluctuations in our tax obligations and effective tax rates and otherwise adversely affect our tax positions and/or our tax liabilities. Recently, legislation commonly known as the One Big Beautiful Bill Act (OBBBA) was signed into law in July 2025, which enacts significant changes to U.S tax and related laws, including but not limited to current deduction of domestic research expenses, increasing the limit of the deduction of interest expense to thirty percent of EBITDA and one hundred percent bonus depreciation on eligible property acquired after January 19, 2025. There were no changes to the Company’s tax expense or effective income tax rate given the Company’s valuation allowance position. Further, many countries, and organizations such as the Organization for Economic Cooperation and Development have proposed implementing changes to existing tax laws, including a 15% global minimum tax (Pillar Two). Many EU member states and other countries have enacted or are considering enacting such legislation. The United States has withdrawn support for Pillar Two, and the OECD and participating jurisdictions have recently agreed to a side-by-side arrangement that would exempt U.S. parent groups from certain provisions of Pillar Two for fiscal years beginning on or after January 1, 2026. Any of these developments or changes in federal, state, or international tax laws or tax rulings could adversely affect our effective tax rate and our operating results. There can be no assurance that our effective tax rates, tax payments, or tax credits and incentives will not be adversely affected by these or other developments or changes in law.</w:t>
      </w:r>
    </w:p>
    <w:p>
      <w:pPr>
        <w:spacing w:after="0" w:line="9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 variety of risks associated with contracting with foreign third parties or marketing our product candidates internationally could materially adversely affect our business.</w:t>
      </w:r>
    </w:p>
    <w:p>
      <w:pPr>
        <w:spacing w:after="0" w:line="49"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231F20"/>
        </w:rPr>
        <w:t>We may contract with foreign third parties or seek regulatory approval of our product candidates outside of the United States and, accordingly, we expect that we will be subject to additional risks related to operating in foreign countries if we obtain the necessary approvals, including:</w:t>
      </w:r>
    </w:p>
    <w:p>
      <w:pPr>
        <w:spacing w:after="0" w:line="83" w:lineRule="exact"/>
        <w:rPr>
          <w:sz w:val="20"/>
          <w:szCs w:val="20"/>
          <w:color w:val="auto"/>
        </w:rPr>
      </w:pPr>
    </w:p>
    <w:p>
      <w:pPr>
        <w:ind w:left="1220" w:hanging="500"/>
        <w:spacing w:after="0"/>
        <w:tabs>
          <w:tab w:leader="none" w:pos="12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differing regulatory requirements and reimbursement regimes in foreign countries;</w:t>
      </w:r>
    </w:p>
    <w:p>
      <w:pPr>
        <w:spacing w:after="0" w:line="133" w:lineRule="exact"/>
        <w:rPr>
          <w:rFonts w:ascii="Arial" w:cs="Arial" w:eastAsia="Arial" w:hAnsi="Arial"/>
          <w:sz w:val="20"/>
          <w:szCs w:val="20"/>
          <w:color w:val="231F20"/>
        </w:rPr>
      </w:pPr>
    </w:p>
    <w:p>
      <w:pPr>
        <w:ind w:left="1220" w:right="260" w:hanging="500"/>
        <w:spacing w:after="0" w:line="276" w:lineRule="auto"/>
        <w:tabs>
          <w:tab w:leader="none" w:pos="12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unexpected changes in tariffs, trade barriers, price and exchange controls, export controls (including related to data), and other regulatory requirements;</w:t>
      </w:r>
    </w:p>
    <w:p>
      <w:pPr>
        <w:spacing w:after="0" w:line="64" w:lineRule="exact"/>
        <w:rPr>
          <w:rFonts w:ascii="Arial" w:cs="Arial" w:eastAsia="Arial" w:hAnsi="Arial"/>
          <w:sz w:val="20"/>
          <w:szCs w:val="20"/>
          <w:color w:val="231F20"/>
        </w:rPr>
      </w:pPr>
    </w:p>
    <w:p>
      <w:pPr>
        <w:ind w:left="1220" w:right="160" w:hanging="500"/>
        <w:spacing w:after="0" w:line="276" w:lineRule="auto"/>
        <w:tabs>
          <w:tab w:leader="none" w:pos="12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imposition of retaliatory trade measures by China or other countries in response to new or escalated tariffs, export controls, or other trade measures by the United States;</w:t>
      </w:r>
    </w:p>
    <w:p>
      <w:pPr>
        <w:spacing w:after="0" w:line="64" w:lineRule="exact"/>
        <w:rPr>
          <w:rFonts w:ascii="Arial" w:cs="Arial" w:eastAsia="Arial" w:hAnsi="Arial"/>
          <w:sz w:val="20"/>
          <w:szCs w:val="20"/>
          <w:color w:val="231F20"/>
        </w:rPr>
      </w:pPr>
    </w:p>
    <w:p>
      <w:pPr>
        <w:ind w:left="1220" w:right="120" w:hanging="500"/>
        <w:spacing w:after="0" w:line="276" w:lineRule="auto"/>
        <w:tabs>
          <w:tab w:leader="none" w:pos="12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economic weakness, including inflation, financial market volatility and uncertainty or political instability in particular foreign economies and markets;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compliance with tax, employment, immigration and labor laws for employees living or traveling abroad;</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foreign taxes, including withholding of payroll taxes;</w:t>
      </w:r>
    </w:p>
    <w:p>
      <w:pPr>
        <w:spacing w:after="0" w:line="133" w:lineRule="exact"/>
        <w:rPr>
          <w:rFonts w:ascii="Arial" w:cs="Arial" w:eastAsia="Arial" w:hAnsi="Arial"/>
          <w:sz w:val="20"/>
          <w:szCs w:val="20"/>
          <w:color w:val="231F20"/>
        </w:rPr>
      </w:pPr>
    </w:p>
    <w:p>
      <w:pPr>
        <w:ind w:left="1220" w:right="520" w:hanging="500"/>
        <w:spacing w:after="0" w:line="276" w:lineRule="auto"/>
        <w:tabs>
          <w:tab w:leader="none" w:pos="12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foreign currency fluctuations, which could result in increased operating expenses and reduced revenue, and other obligations incident to doing business in another country;</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staffing and managing foreign operations;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workforce uncertainty in countries where labor unrest is more common than in the United States;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liability under the FCPA or comparable foreign regulations;</w:t>
      </w:r>
    </w:p>
    <w:p>
      <w:pPr>
        <w:sectPr>
          <w:pgSz w:w="11880" w:h="15480" w:orient="portrait"/>
          <w:cols w:equalWidth="0" w:num="1">
            <w:col w:w="10780"/>
          </w:cols>
          <w:pgMar w:left="540" w:top="750" w:right="560" w:bottom="0"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10780"/>
          </w:cols>
          <w:pgMar w:left="540" w:top="750" w:right="560" w:bottom="0" w:gutter="0" w:footer="0" w:header="0"/>
          <w:type w:val="continuous"/>
        </w:sectPr>
      </w:pPr>
    </w:p>
    <w:bookmarkStart w:id="78" w:name="page79"/>
    <w:bookmarkEnd w:id="78"/>
    <w:p>
      <w:pPr>
        <w:ind w:left="1220" w:right="260" w:hanging="500"/>
        <w:spacing w:after="0" w:line="276" w:lineRule="auto"/>
        <w:tabs>
          <w:tab w:leader="none" w:pos="122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challenges enforcing our contractual and intellectual property rights, especially in those foreign countries that do not respect and protect intellectual property rights to the same extent as the United States;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production shortages resulting from any events affecting raw material supply or manufacturing capabilities abroad; and</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business interruptions resulting from geo-political actions, including war and terrorism.</w:t>
      </w:r>
    </w:p>
    <w:p>
      <w:pPr>
        <w:spacing w:after="0" w:line="119" w:lineRule="exact"/>
        <w:rPr>
          <w:sz w:val="20"/>
          <w:szCs w:val="20"/>
          <w:color w:val="auto"/>
        </w:rPr>
      </w:pPr>
    </w:p>
    <w:p>
      <w:pPr>
        <w:ind w:right="460" w:firstLine="720"/>
        <w:spacing w:after="0" w:line="277" w:lineRule="auto"/>
        <w:rPr>
          <w:sz w:val="20"/>
          <w:szCs w:val="20"/>
          <w:color w:val="auto"/>
        </w:rPr>
      </w:pPr>
      <w:r>
        <w:rPr>
          <w:rFonts w:ascii="Times New Roman" w:cs="Times New Roman" w:eastAsia="Times New Roman" w:hAnsi="Times New Roman"/>
          <w:sz w:val="20"/>
          <w:szCs w:val="20"/>
          <w:color w:val="231F20"/>
        </w:rPr>
        <w:t>These and other risks associated with our international operations may materially adversely affect our ability to attain or maintain profitable operations.</w:t>
      </w:r>
    </w:p>
    <w:p>
      <w:pPr>
        <w:spacing w:after="0" w:line="49"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In particular, there is currently significant uncertainty about the future relationship between the United States and various other countries, such as China, with respect to trade policies, treaties, tariffs, taxes, and other limitations on cross-border operations, collaboration, and investment. The U.S. government has and continues to make significant additional changes in U.S. trade policy and may continue to take future actions that could negatively impact U.S. trade.</w:t>
      </w:r>
    </w:p>
    <w:p>
      <w:pPr>
        <w:spacing w:after="0" w:line="7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For example, the President recently signed into law the National Defense Authorization Act of 2026, which includes Section 851 regarding “[p]rohibition on contracting with certain biotechnology providers” (the BIOSECURE Act), which restricts federal government contracts, grants, and loans from being issued to companies that use biotechnology equipment or services from any designated “biotechnology company of concern,” as part of such companies’ performance of those agreements with the U.S. government. Once fully implemented through issuance of regulations, the BIOSECURE Act may ultimately limit certain U.S. biotechnology companies (such as ours) from using equipment or services produced or provided by Chinese biotechnology companies that meet the designation criteria of the new law, or certain affiliated entities. In addition, even if we do not seek any covered federal government contracts, grants, or loans, commercial partners, government agencies, or other third parties may view our business less favorably if we contract with entities that ultimately become biotechnology companies of concern.</w:t>
      </w:r>
    </w:p>
    <w:p>
      <w:pPr>
        <w:spacing w:after="0" w:line="86"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231F20"/>
        </w:rPr>
        <w:t>As another example, the U.S. Department of Justice's Data Security Program places limitations on U.S. companies’ ability to enter into (and in some cases prohibits) certain contracts involving transfers of sensitive personal data to business partners located in China, or with other specified links to China and other designated countries. The rule further requires U.S. persons to obtain from certain foreign counterparties contractual commitments to refrain from engaging in subsequent transfers of sensitive personal data to entities located in China or with other specified links to China and other designated countries. This new rule will impact our ability to contract not just with Chinese companies but also with foreign entities in general, potentially requiring us to extract promises related to compliance with this new rule.</w:t>
      </w:r>
    </w:p>
    <w:p>
      <w:pPr>
        <w:spacing w:after="0" w:line="8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Additionally, in September 2018, the USTR enacted a tariff on the import of other Chinese products, with a combined import value of approximately $200 billion. Since that time USTR has modified these tariff rates and imposed tariffs on additional goods. In addition, since February 4, 2025, the U.S. government has imposed additional tariffs on the import of almost all Chinese origin goods which are now 30% and an additional baseline reciprocal 10% tariff on certain products of most other U.S. trading partners, with exemptions for certain pharmaceuticals, semiconductors, and consumer electronics. Additional tariffs may in the future be implemented by the U.S. government (including on imports of pharmaceutical products into the United States currently under investigation by the U.S. Department of Commerce, among other potential tariffs), the implementation, scope, and duration of which remain uncertain. Tariffs on imports of APIs and starting materials used in our product candidates as well as product candidates themselves, or retaliatory trade measures taken by China or other countries, which could potentially include restricted access to APIs or starting materials used in our product candidates, could result in us needing to make changes to our suppliers or our product candidates, or materially harm our business, financial condition and results of operations. Further, the continued threats of tariffs, trade restrictions, and trade barriers could have a generally disruptive impact on the global economy and, therefore, negatively impact our company.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are restricted from sharing relevant data with such service providers or with others, or become unable to export or sell our products to any of our customers or service providers, our business, liquidity, financial condition, and/or results of operations would be materially and adversely affected.</w:t>
      </w:r>
    </w:p>
    <w:p>
      <w:pPr>
        <w:spacing w:after="0" w:line="88"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currently operating in a period of economic uncertainty and capital markets disruption, which has been significantly impacted by geopolitical instability, including the ongoing international military conflicts.</w:t>
      </w:r>
    </w:p>
    <w:p>
      <w:pPr>
        <w:spacing w:after="0" w:line="49"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19"/>
          <w:szCs w:val="19"/>
          <w:color w:val="231F20"/>
        </w:rPr>
        <w:t>U.S. and global markets are experiencing volatility and disruption following the escalation of certain geopolitical tensions, including international military conflicts, and the related political and economic responses. Changes in countries’ economic, trade and financial policies could trigger retaliatory actions by other affected countries, resulting in a “trade war,” “cyberwar,” escalation of conventional military conflicts, and other adverse events. For example, the military conflict in Ukraine, and any resulting effects that may follow, could result in increased costs for, or unavailability of, certain materials used in the third-party manufacturing of our product candidates and potential future product candidates. These increased costs could have a negative effect on our financial condition, and any supply interruptions could hinder our product development and make it harder for us to find favorable pricing and reliable sources for the materials needed to manufacture our product candidates and potential future product candidates. It is impossible to predict the extent to which our operations will be impacted in the short and long term, or the ways in which our business</w:t>
      </w:r>
    </w:p>
    <w:p>
      <w:pPr>
        <w:sectPr>
          <w:pgSz w:w="11880" w:h="15480" w:orient="portrait"/>
          <w:cols w:equalWidth="0" w:num="1">
            <w:col w:w="10800"/>
          </w:cols>
          <w:pgMar w:left="540" w:top="764" w:right="540" w:bottom="0" w:gutter="0" w:footer="0" w:header="0"/>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10800"/>
          </w:cols>
          <w:pgMar w:left="540" w:top="764" w:right="540" w:bottom="0" w:gutter="0" w:footer="0" w:header="0"/>
          <w:type w:val="continuous"/>
        </w:sectPr>
      </w:pPr>
    </w:p>
    <w:bookmarkStart w:id="79" w:name="page80"/>
    <w:bookmarkEnd w:id="79"/>
    <w:p>
      <w:pPr>
        <w:ind w:right="680"/>
        <w:spacing w:after="0" w:line="277" w:lineRule="auto"/>
        <w:rPr>
          <w:sz w:val="20"/>
          <w:szCs w:val="20"/>
          <w:color w:val="auto"/>
        </w:rPr>
      </w:pPr>
      <w:r>
        <w:rPr>
          <w:rFonts w:ascii="Times New Roman" w:cs="Times New Roman" w:eastAsia="Times New Roman" w:hAnsi="Times New Roman"/>
          <w:sz w:val="20"/>
          <w:szCs w:val="20"/>
          <w:color w:val="231F20"/>
        </w:rPr>
        <w:t>may be impacted. The extent and duration of international conflicts, geopolitical tensions, and resulting market disruptions are impossible to predict but could be substantial.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Inflation and market volatility may adversely affect us by increasing our costs.</w:t>
      </w:r>
    </w:p>
    <w:p>
      <w:pPr>
        <w:spacing w:after="0" w:line="12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Recently, inflation and market volatility have increased and caused economic uncertainty throughout the U.S. and global economy. Inflation and market volatility can adversely affect us by increasing the costs of clinical trials and research, the development of our product candidates, administration and other costs of doing business. In fact, we have experienced, and continue to experience, increases in the prices of labor and other costs of doing business. In an inflationary, volatile and economically uncertain environment, cost increases may outpace our expectations, causing us to use our cash and other liquid assets faster than forecasted. If this continues to occur or happens more frequently or at a larger scale, we may need to raise additional capital to fund our operations sooner than expected and we may not be able to secure financing on acceptable terms.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intellectual property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success depends on our ability to protect our intellectual property and our proprietary technologies.</w:t>
      </w:r>
    </w:p>
    <w:p>
      <w:pPr>
        <w:spacing w:after="0" w:line="12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patent applications from third parties.</w:t>
      </w:r>
    </w:p>
    <w:p>
      <w:pPr>
        <w:spacing w:after="0" w:line="77"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77"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231F20"/>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77"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231F20"/>
        </w:rPr>
        <w:t>Although as of December 31, 2025, we owned twelve and licensed ten issued patents in the United States pertaining to our product candidates,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spacing w:after="0" w:line="80"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231F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83" w:lineRule="exact"/>
        <w:rPr>
          <w:sz w:val="20"/>
          <w:szCs w:val="20"/>
          <w:color w:val="auto"/>
        </w:rPr>
      </w:pPr>
    </w:p>
    <w:p>
      <w:pPr>
        <w:ind w:left="1220" w:right="140" w:hanging="500"/>
        <w:spacing w:after="0" w:line="252" w:lineRule="auto"/>
        <w:tabs>
          <w:tab w:leader="none" w:pos="122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87" w:lineRule="exact"/>
        <w:rPr>
          <w:rFonts w:ascii="Arial" w:cs="Arial" w:eastAsia="Arial" w:hAnsi="Arial"/>
          <w:sz w:val="20"/>
          <w:szCs w:val="20"/>
          <w:color w:val="231F20"/>
        </w:rPr>
      </w:pPr>
    </w:p>
    <w:p>
      <w:pPr>
        <w:ind w:left="1220" w:hanging="500"/>
        <w:spacing w:after="0"/>
        <w:tabs>
          <w:tab w:leader="none" w:pos="122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patent applications may not result in any patents being issued;</w:t>
      </w:r>
    </w:p>
    <w:p>
      <w:pPr>
        <w:spacing w:after="0" w:line="133" w:lineRule="exact"/>
        <w:rPr>
          <w:rFonts w:ascii="Arial" w:cs="Arial" w:eastAsia="Arial" w:hAnsi="Arial"/>
          <w:sz w:val="20"/>
          <w:szCs w:val="20"/>
          <w:color w:val="231F20"/>
        </w:rPr>
      </w:pPr>
    </w:p>
    <w:p>
      <w:pPr>
        <w:ind w:left="1220" w:right="100" w:hanging="500"/>
        <w:spacing w:after="0" w:line="276" w:lineRule="auto"/>
        <w:tabs>
          <w:tab w:leader="none" w:pos="122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patents may be challenged, invalidated, modified, revoked, circumvented, found to be unenforceable or otherwise may not provide any competitive advantage;</w:t>
      </w:r>
    </w:p>
    <w:p>
      <w:pPr>
        <w:spacing w:after="0" w:line="64" w:lineRule="exact"/>
        <w:rPr>
          <w:rFonts w:ascii="Arial" w:cs="Arial" w:eastAsia="Arial" w:hAnsi="Arial"/>
          <w:sz w:val="20"/>
          <w:szCs w:val="20"/>
          <w:color w:val="231F20"/>
        </w:rPr>
      </w:pPr>
    </w:p>
    <w:p>
      <w:pPr>
        <w:ind w:left="1220" w:right="500" w:hanging="500"/>
        <w:spacing w:after="0" w:line="258" w:lineRule="auto"/>
        <w:tabs>
          <w:tab w:leader="none" w:pos="122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1" w:lineRule="exact"/>
        <w:rPr>
          <w:rFonts w:ascii="Arial" w:cs="Arial" w:eastAsia="Arial" w:hAnsi="Arial"/>
          <w:sz w:val="20"/>
          <w:szCs w:val="20"/>
          <w:color w:val="231F20"/>
        </w:rPr>
      </w:pPr>
    </w:p>
    <w:p>
      <w:pPr>
        <w:jc w:val="both"/>
        <w:ind w:left="1220" w:right="220" w:hanging="500"/>
        <w:spacing w:after="0" w:line="258" w:lineRule="auto"/>
        <w:tabs>
          <w:tab w:leader="none" w:pos="122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1" w:lineRule="exact"/>
        <w:rPr>
          <w:rFonts w:ascii="Arial" w:cs="Arial" w:eastAsia="Arial" w:hAnsi="Arial"/>
          <w:sz w:val="20"/>
          <w:szCs w:val="20"/>
          <w:color w:val="231F20"/>
        </w:rPr>
      </w:pPr>
    </w:p>
    <w:p>
      <w:pPr>
        <w:ind w:left="1220" w:right="140" w:hanging="500"/>
        <w:spacing w:after="0" w:line="304" w:lineRule="auto"/>
        <w:tabs>
          <w:tab w:leader="none" w:pos="122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countries other than the United States may have patent laws less favorable to patentees than those upheld by U.S. courts, allowing foreign competitors a better opportunity to create, develop and market competing product candidates.</w:t>
      </w:r>
    </w:p>
    <w:p>
      <w:pPr>
        <w:sectPr>
          <w:pgSz w:w="11880" w:h="15480" w:orient="portrait"/>
          <w:cols w:equalWidth="0" w:num="1">
            <w:col w:w="10800"/>
          </w:cols>
          <w:pgMar w:left="540" w:top="750" w:right="540" w:bottom="0" w:gutter="0" w:footer="0" w:header="0"/>
        </w:sect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10800"/>
          </w:cols>
          <w:pgMar w:left="540" w:top="750" w:right="540" w:bottom="0" w:gutter="0" w:footer="0" w:header="0"/>
          <w:type w:val="continuous"/>
        </w:sectPr>
      </w:pPr>
    </w:p>
    <w:bookmarkStart w:id="80" w:name="page81"/>
    <w:bookmarkEnd w:id="80"/>
    <w:p>
      <w:pPr>
        <w:ind w:firstLine="720"/>
        <w:spacing w:after="0" w:line="243" w:lineRule="auto"/>
        <w:rPr>
          <w:sz w:val="20"/>
          <w:szCs w:val="20"/>
          <w:color w:val="auto"/>
        </w:rPr>
      </w:pPr>
      <w:r>
        <w:rPr>
          <w:rFonts w:ascii="Times New Roman" w:cs="Times New Roman" w:eastAsia="Times New Roman" w:hAnsi="Times New Roman"/>
          <w:sz w:val="20"/>
          <w:szCs w:val="20"/>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Additionally, recent reforms and changes at government agencies of the United States and those of non-U.S. jurisdictions could increase the delays, uncertainties and costs surrounding the prosecution of our owned and licensed patent applications, and the maintenance, enforcement, or defense of our owned and licensed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owned and licensed patent applications, and our ability to timely and adequately maintain, enforce, or defend our owned and licensed issued patents. It is also possible that we or our licensors will fail to identify patentable aspects of our research and development output before it is too late to obtain patent protection.</w:t>
      </w:r>
    </w:p>
    <w:p>
      <w:pPr>
        <w:spacing w:after="0" w:line="86"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231F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74" w:lineRule="exact"/>
        <w:rPr>
          <w:sz w:val="20"/>
          <w:szCs w:val="20"/>
          <w:color w:val="auto"/>
        </w:rPr>
      </w:pPr>
    </w:p>
    <w:p>
      <w:pPr>
        <w:ind w:right="340" w:firstLine="720"/>
        <w:spacing w:after="0" w:line="258" w:lineRule="auto"/>
        <w:rPr>
          <w:sz w:val="20"/>
          <w:szCs w:val="20"/>
          <w:color w:val="auto"/>
        </w:rPr>
      </w:pPr>
      <w:r>
        <w:rPr>
          <w:rFonts w:ascii="Times New Roman" w:cs="Times New Roman" w:eastAsia="Times New Roman" w:hAnsi="Times New Roman"/>
          <w:sz w:val="20"/>
          <w:szCs w:val="20"/>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68"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49"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86"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9"/>
          <w:szCs w:val="19"/>
          <w:color w:val="231F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 w:cs="Times New Roman" w:eastAsia="Times New Roman" w:hAnsi="Times New Roman"/>
          <w:sz w:val="19"/>
          <w:szCs w:val="19"/>
          <w:i w:val="1"/>
          <w:iCs w:val="1"/>
          <w:color w:val="231F20"/>
        </w:rPr>
        <w:t>inter partes</w:t>
      </w:r>
      <w:r>
        <w:rPr>
          <w:rFonts w:ascii="Times New Roman" w:cs="Times New Roman" w:eastAsia="Times New Roman" w:hAnsi="Times New Roman"/>
          <w:sz w:val="19"/>
          <w:szCs w:val="19"/>
          <w:color w:val="231F20"/>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10760"/>
          </w:cols>
          <w:pgMar w:left="540" w:top="750" w:right="5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i w:val="1"/>
          <w:iCs w:val="1"/>
          <w:color w:val="231F20"/>
        </w:rPr>
        <w:t>Intellectual property rights do not necessarily address all potential threats to our competitive advantage.</w:t>
      </w:r>
    </w:p>
    <w:p>
      <w:pPr>
        <w:spacing w:after="0" w:line="120" w:lineRule="exact"/>
        <w:rPr>
          <w:sz w:val="20"/>
          <w:szCs w:val="20"/>
          <w:color w:val="auto"/>
        </w:rPr>
      </w:pPr>
    </w:p>
    <w:p>
      <w:pPr>
        <w:ind w:right="280" w:firstLine="720"/>
        <w:spacing w:after="0" w:line="277" w:lineRule="auto"/>
        <w:rPr>
          <w:sz w:val="20"/>
          <w:szCs w:val="20"/>
          <w:color w:val="auto"/>
        </w:rPr>
      </w:pPr>
      <w:r>
        <w:rPr>
          <w:rFonts w:ascii="Times New Roman" w:cs="Times New Roman" w:eastAsia="Times New Roman" w:hAnsi="Times New Roman"/>
          <w:sz w:val="20"/>
          <w:szCs w:val="20"/>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4" w:lineRule="exact"/>
        <w:rPr>
          <w:sz w:val="20"/>
          <w:szCs w:val="20"/>
          <w:color w:val="auto"/>
        </w:rPr>
      </w:pPr>
    </w:p>
    <w:p>
      <w:pPr>
        <w:ind w:left="1220" w:right="80" w:hanging="500"/>
        <w:spacing w:after="0" w:line="276" w:lineRule="auto"/>
        <w:tabs>
          <w:tab w:leader="none" w:pos="12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be able to develop products that are similar to our product candidates but that are not covered by the claims of the patents that we own or license;</w:t>
      </w:r>
    </w:p>
    <w:p>
      <w:pPr>
        <w:spacing w:after="0" w:line="64" w:lineRule="exact"/>
        <w:rPr>
          <w:rFonts w:ascii="Arial" w:cs="Arial" w:eastAsia="Arial" w:hAnsi="Arial"/>
          <w:sz w:val="20"/>
          <w:szCs w:val="20"/>
          <w:color w:val="231F20"/>
        </w:rPr>
      </w:pPr>
    </w:p>
    <w:p>
      <w:pPr>
        <w:ind w:left="1220" w:right="140" w:hanging="500"/>
        <w:spacing w:after="0" w:line="276" w:lineRule="auto"/>
        <w:tabs>
          <w:tab w:leader="none" w:pos="12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licensors or collaborators might not have been the first to make the inventions covered by the issued patents or patent application that we own or license;</w:t>
      </w:r>
    </w:p>
    <w:p>
      <w:pPr>
        <w:spacing w:after="0" w:line="64" w:lineRule="exact"/>
        <w:rPr>
          <w:rFonts w:ascii="Arial" w:cs="Arial" w:eastAsia="Arial" w:hAnsi="Arial"/>
          <w:sz w:val="20"/>
          <w:szCs w:val="20"/>
          <w:color w:val="231F20"/>
        </w:rPr>
      </w:pPr>
    </w:p>
    <w:p>
      <w:pPr>
        <w:ind w:left="1220" w:right="460" w:hanging="500"/>
        <w:spacing w:after="0" w:line="276" w:lineRule="auto"/>
        <w:tabs>
          <w:tab w:leader="none" w:pos="12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licensors or collaborators might not have been the first to file patent applications covering certain of our inventions;</w:t>
      </w:r>
    </w:p>
    <w:p>
      <w:pPr>
        <w:spacing w:after="0" w:line="64" w:lineRule="exact"/>
        <w:rPr>
          <w:rFonts w:ascii="Arial" w:cs="Arial" w:eastAsia="Arial" w:hAnsi="Arial"/>
          <w:sz w:val="20"/>
          <w:szCs w:val="20"/>
          <w:color w:val="231F20"/>
        </w:rPr>
      </w:pPr>
    </w:p>
    <w:p>
      <w:pPr>
        <w:ind w:left="1220" w:right="120" w:hanging="500"/>
        <w:spacing w:after="0" w:line="276" w:lineRule="auto"/>
        <w:tabs>
          <w:tab w:leader="none" w:pos="12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including ANDA applicants, may independently develop similar or alternative technologies or duplicate any of our technologies without infringing our intellectual property rights;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it is possible that the pending patent applications we own or license will not lead to issued patents;</w:t>
      </w:r>
    </w:p>
    <w:p>
      <w:pPr>
        <w:spacing w:after="0" w:line="133" w:lineRule="exact"/>
        <w:rPr>
          <w:rFonts w:ascii="Arial" w:cs="Arial" w:eastAsia="Arial" w:hAnsi="Arial"/>
          <w:sz w:val="20"/>
          <w:szCs w:val="20"/>
          <w:color w:val="231F20"/>
        </w:rPr>
      </w:pPr>
    </w:p>
    <w:p>
      <w:pPr>
        <w:ind w:left="1220" w:right="580" w:hanging="500"/>
        <w:spacing w:after="0" w:line="276" w:lineRule="auto"/>
        <w:tabs>
          <w:tab w:leader="none" w:pos="12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issued patents that we own or license may be held invalid or unenforceable, as a result of legal challenges by our competitors, including ANDA applicants;</w:t>
      </w:r>
    </w:p>
    <w:p>
      <w:pPr>
        <w:spacing w:after="0" w:line="64" w:lineRule="exact"/>
        <w:rPr>
          <w:rFonts w:ascii="Arial" w:cs="Arial" w:eastAsia="Arial" w:hAnsi="Arial"/>
          <w:sz w:val="20"/>
          <w:szCs w:val="20"/>
          <w:color w:val="231F20"/>
        </w:rPr>
      </w:pPr>
    </w:p>
    <w:p>
      <w:pPr>
        <w:jc w:val="both"/>
        <w:ind w:left="1220" w:right="40" w:hanging="500"/>
        <w:spacing w:after="0" w:line="258" w:lineRule="auto"/>
        <w:tabs>
          <w:tab w:leader="none" w:pos="12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1" w:lineRule="exact"/>
        <w:rPr>
          <w:rFonts w:ascii="Arial" w:cs="Arial" w:eastAsia="Arial" w:hAnsi="Arial"/>
          <w:sz w:val="20"/>
          <w:szCs w:val="20"/>
          <w:color w:val="231F20"/>
        </w:rPr>
      </w:pPr>
    </w:p>
    <w:p>
      <w:pPr>
        <w:ind w:left="1220" w:hanging="500"/>
        <w:spacing w:after="0"/>
        <w:tabs>
          <w:tab w:leader="none" w:pos="12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develop additional proprietary technologies that are patentable;</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the patents of others may have an adverse effect on our business; and</w:t>
      </w:r>
    </w:p>
    <w:p>
      <w:pPr>
        <w:spacing w:after="0" w:line="133" w:lineRule="exact"/>
        <w:rPr>
          <w:rFonts w:ascii="Arial" w:cs="Arial" w:eastAsia="Arial" w:hAnsi="Arial"/>
          <w:sz w:val="20"/>
          <w:szCs w:val="20"/>
          <w:color w:val="231F20"/>
        </w:rPr>
      </w:pPr>
    </w:p>
    <w:p>
      <w:pPr>
        <w:ind w:left="1220" w:right="640" w:hanging="500"/>
        <w:spacing w:after="0" w:line="276" w:lineRule="auto"/>
        <w:tabs>
          <w:tab w:leader="none" w:pos="122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choose not to file a patent in order to maintain certain trade secrets or know-how, and a third party may subsequently file a patent covering such intellectual property.</w:t>
      </w: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Should any of these events occur, it could significantly harm our business, results of operations and prospects.</w:t>
      </w:r>
    </w:p>
    <w:p>
      <w:pPr>
        <w:spacing w:after="0" w:line="12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In the United States, drug products may obtain FDA marketing approval pursuant to an NDA (described above) for innovator products, or an ANDA for generic products. Relevant to ANDAs, the Hatch-Waxman Act amended the FDCA to establish a statutory procedure for submission and FDA review and approval of ANDAs for generic versions of branded drugs previously approved by the FDA (such previously approved drugs are also referred to as reference listed drugs). Because the safety and efficacy of reference listed drugs have already been established by the brand company (sometimes referred to as the innovator), the FDA typically does not require new human clinical trials to establish safety and efficacy of generic products. Rather, a generic manufacturer is typically required to conduct bioequivalence studies of its test product against the reference listed drug. The bioequivalence studies for orally administered, systemically available drug products assess the rate and extent to which the active pharmaceutical ingredient is absorbed into the bloodstream from the drug product and becomes available at the site of action. Bioequivalence is established when there is an absence of a significant difference in the rate and extent for absorption of the generic product and the reference listed drug. In addition to the bioequivalence data, an ANDA must contain patent certifications and chemistry, manufacturing, labeling, and stability data.</w:t>
      </w:r>
    </w:p>
    <w:p>
      <w:pPr>
        <w:spacing w:after="0" w:line="8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Any applicant who files an ANDA seeking approval of a generic equivalent version of a drug listed in the Orange Book must make one of the following certifications to the FDA concerning patents: (1) the patent information concerning the reference listed drug product has not been submitted to the FDA; (2) any such patent that was filed has expired; (3) the date on which such patent will expire; or (4) such patent is invalid, unenforceable or will not be infringed upon by the manufacture, use or sale of the drug product for which the application is submitted. There might also be no relevant patent certification. If the ANDA applicant does not challenge the listed patents or certify that the listed patents will not be infringed by the new product, the ANDA application will not be approved by FDA until all the patents listed in the Orange Book claiming the referenced product or its use have expired.</w:t>
      </w:r>
    </w:p>
    <w:p>
      <w:pPr>
        <w:spacing w:after="0" w:line="8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The last patent certification described above is known as a paragraph IV certification. A notice of the paragraph IV certification must be provided to each owner of the patent that is the subject of the certification and to the holder of the approved NDA to which the ANDA refers. The applicant may also elect to submit a “section viii” statement certifying that its proposed label does not contain (or “carves out”) any language regarding the patented method-of-use rather than certify to a listed method-of-use patent. An application with a section viii statement or carve out may be approved if the removal of language from the label necessitated by the carve out does not make the generic drug less safe or effective. This section viii statement does not require notice to the patent holder or NDA owner.</w:t>
      </w:r>
    </w:p>
    <w:p>
      <w:pPr>
        <w:spacing w:after="0" w:line="80"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231F20"/>
        </w:rPr>
        <w:t>If the reference NDA holder or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w:t>
      </w:r>
    </w:p>
    <w:p>
      <w:pPr>
        <w:sectPr>
          <w:pgSz w:w="11880" w:h="15480" w:orient="portrait"/>
          <w:cols w:equalWidth="0" w:num="1">
            <w:col w:w="10800"/>
          </w:cols>
          <w:pgMar w:left="540" w:top="750" w:right="540" w:bottom="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10800"/>
          </w:cols>
          <w:pgMar w:left="540" w:top="750" w:right="540" w:bottom="0" w:gutter="0" w:footer="0" w:header="0"/>
          <w:type w:val="continuous"/>
        </w:sectPr>
      </w:pPr>
    </w:p>
    <w:bookmarkStart w:id="82" w:name="page83"/>
    <w:bookmarkEnd w:id="82"/>
    <w:p>
      <w:pPr>
        <w:spacing w:after="0" w:line="249" w:lineRule="auto"/>
        <w:rPr>
          <w:sz w:val="20"/>
          <w:szCs w:val="20"/>
          <w:color w:val="auto"/>
        </w:rPr>
      </w:pPr>
      <w:r>
        <w:rPr>
          <w:rFonts w:ascii="Times New Roman" w:cs="Times New Roman" w:eastAsia="Times New Roman" w:hAnsi="Times New Roman"/>
          <w:sz w:val="20"/>
          <w:szCs w:val="20"/>
          <w:color w:val="231F20"/>
        </w:rPr>
        <w:t>in the infringement case that is favorable to the applicant. The ANDA application also will not be approved until any applicable non-patent exclusivity has expired. Thus approval of an ANDA can be prevented until all the listed patents claiming the referenced product or use thereof have expired, until any non-patent exclusivity, such as exclusivity for obtaining approval of a new chemical entity, has expired, and, in the case of a Paragraph IV certification and subsequent patent infringement suit, until the earlier of 30 months, settlement of the lawsuit or a decision in the infringement case that is favorable to the ANDA applicant.</w:t>
      </w:r>
    </w:p>
    <w:p>
      <w:pPr>
        <w:spacing w:after="0" w:line="77"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The FDA may issue tentative approval of an ANDA application if the application meets all conditions for approval, but the applicant cannot receive effective approval because the listed patents, the 30-month stay or another period of regulatory exclusivity, as applicable, has not expired. If tentative approval is granted, then once such listed patents, 30-month stay or other regulatory exclusivity have expired or, in the case of patents that are subject to a patent infringement suit, been found to be invalid or not infringed, the applicant may seek final approval by submitting an amendment that, among other things, includes a safety update and any other changes, if any, in the conditions under which the product was tentatively approved. Prior to granting final approval, the FDA must review and approve any changes reflected in the amendment and may consider any other new information that has come to its attention.</w:t>
      </w:r>
    </w:p>
    <w:p>
      <w:pPr>
        <w:spacing w:after="0" w:line="8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8"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231F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8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97" w:lineRule="exact"/>
        <w:rPr>
          <w:sz w:val="20"/>
          <w:szCs w:val="20"/>
          <w:color w:val="auto"/>
        </w:rPr>
      </w:pPr>
    </w:p>
    <w:p>
      <w:pPr>
        <w:ind w:left="1220" w:hanging="500"/>
        <w:spacing w:after="0"/>
        <w:tabs>
          <w:tab w:leader="none" w:pos="122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result in costly litigation that may cause negative publicity;</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divert the time and attention of our technical personnel and management;</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cause development delays;</w:t>
      </w:r>
    </w:p>
    <w:p>
      <w:pPr>
        <w:spacing w:after="0" w:line="133" w:lineRule="exact"/>
        <w:rPr>
          <w:rFonts w:ascii="Arial" w:cs="Arial" w:eastAsia="Arial" w:hAnsi="Arial"/>
          <w:sz w:val="20"/>
          <w:szCs w:val="20"/>
          <w:color w:val="231F20"/>
        </w:rPr>
      </w:pPr>
    </w:p>
    <w:p>
      <w:pPr>
        <w:ind w:left="1220" w:right="540" w:hanging="500"/>
        <w:spacing w:after="0" w:line="276" w:lineRule="auto"/>
        <w:tabs>
          <w:tab w:leader="none" w:pos="122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prevent us from commercializing any of our product candidates until the asserted patent expires or is held finally invalid, not infringed, or unenforceable in a court of law;</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 us to develop non-infringing technology, which may not be possible on a cost-effective basis;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subject us to significant liability to third parties; or</w:t>
      </w:r>
    </w:p>
    <w:p>
      <w:pPr>
        <w:spacing w:after="0" w:line="133" w:lineRule="exact"/>
        <w:rPr>
          <w:rFonts w:ascii="Arial" w:cs="Arial" w:eastAsia="Arial" w:hAnsi="Arial"/>
          <w:sz w:val="20"/>
          <w:szCs w:val="20"/>
          <w:color w:val="231F20"/>
        </w:rPr>
      </w:pPr>
    </w:p>
    <w:p>
      <w:pPr>
        <w:ind w:left="1220" w:right="40" w:hanging="500"/>
        <w:spacing w:after="0" w:line="258" w:lineRule="auto"/>
        <w:tabs>
          <w:tab w:leader="none" w:pos="122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7" w:lineRule="exact"/>
        <w:rPr>
          <w:sz w:val="20"/>
          <w:szCs w:val="20"/>
          <w:color w:val="auto"/>
        </w:rPr>
      </w:pPr>
    </w:p>
    <w:p>
      <w:pPr>
        <w:ind w:right="340" w:firstLine="720"/>
        <w:spacing w:after="0" w:line="277" w:lineRule="auto"/>
        <w:rPr>
          <w:sz w:val="20"/>
          <w:szCs w:val="20"/>
          <w:color w:val="auto"/>
        </w:rPr>
      </w:pPr>
      <w:r>
        <w:rPr>
          <w:rFonts w:ascii="Times New Roman" w:cs="Times New Roman" w:eastAsia="Times New Roman" w:hAnsi="Times New Roman"/>
          <w:sz w:val="20"/>
          <w:szCs w:val="20"/>
          <w:color w:val="231F20"/>
        </w:rPr>
        <w:t>Although no third party has asserted a claim of patent infringement against us as of the date of this periodic report, others may hold proprietary rights that could prevent our product candidates from being marketed.</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10780"/>
          </w:cols>
          <w:pgMar w:left="540" w:top="750" w:right="560" w:bottom="0" w:gutter="0" w:footer="0" w:header="0"/>
          <w:type w:val="continuous"/>
        </w:sectPr>
      </w:pPr>
    </w:p>
    <w:bookmarkStart w:id="83" w:name="page84"/>
    <w:bookmarkEnd w:id="83"/>
    <w:p>
      <w:pPr>
        <w:ind w:firstLine="720"/>
        <w:spacing w:after="0" w:line="243" w:lineRule="auto"/>
        <w:rPr>
          <w:sz w:val="20"/>
          <w:szCs w:val="20"/>
          <w:color w:val="auto"/>
        </w:rPr>
      </w:pPr>
      <w:r>
        <w:rPr>
          <w:rFonts w:ascii="Times New Roman" w:cs="Times New Roman" w:eastAsia="Times New Roman" w:hAnsi="Times New Roman"/>
          <w:sz w:val="20"/>
          <w:szCs w:val="20"/>
          <w:color w:val="231F20"/>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3"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80"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We may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personnel and budgets experienced by the Patent and Trial Appeal Board, could further delay our ability to timely challenge any such patents.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75"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20"/>
          <w:szCs w:val="20"/>
          <w:b w:val="1"/>
          <w:bCs w:val="1"/>
          <w:i w:val="1"/>
          <w:iCs w:val="1"/>
          <w:color w:val="231F20"/>
        </w:rPr>
        <w:t>We may not be successful in obtaining or maintaining necessary rights to our product candidates through acquisitions and in-licenses.</w:t>
      </w:r>
    </w:p>
    <w:p>
      <w:pPr>
        <w:spacing w:after="0" w:line="6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67"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20"/>
          <w:szCs w:val="20"/>
          <w:b w:val="1"/>
          <w:bCs w:val="1"/>
          <w:i w:val="1"/>
          <w:iCs w:val="1"/>
          <w:color w:val="231F20"/>
        </w:rPr>
        <w:t>We may be involved in lawsuits to protect or enforce our patents or our licensors’ patents, which could be expensive, time consuming and unsuccessful. Further, our issued patents or our licensors’ patents could be found invalid, unenforceable or not infringed if challenged in court.</w:t>
      </w:r>
    </w:p>
    <w:p>
      <w:pPr>
        <w:spacing w:after="0" w:line="81"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10800"/>
          </w:cols>
          <w:pgMar w:left="540" w:top="750" w:right="540" w:bottom="0" w:gutter="0" w:footer="0" w:header="0"/>
          <w:type w:val="continuous"/>
        </w:sectPr>
      </w:pPr>
    </w:p>
    <w:bookmarkStart w:id="84" w:name="page85"/>
    <w:bookmarkEnd w:id="84"/>
    <w:p>
      <w:pPr>
        <w:spacing w:after="0" w:line="246" w:lineRule="auto"/>
        <w:rPr>
          <w:sz w:val="20"/>
          <w:szCs w:val="20"/>
          <w:color w:val="auto"/>
        </w:rPr>
      </w:pPr>
      <w:r>
        <w:rPr>
          <w:rFonts w:ascii="Times New Roman" w:cs="Times New Roman" w:eastAsia="Times New Roman" w:hAnsi="Times New Roman"/>
          <w:sz w:val="20"/>
          <w:szCs w:val="20"/>
          <w:color w:val="231F20"/>
        </w:rPr>
        <w:t xml:space="preserve">validity challenge include an alleged failure to meet any of several statutory requirements, including lack of novelty, obviousness, lack of sufficient written description, non-enablement, or obviousness-type double patenting. For example, the U.S. Supreme Court recently held in </w:t>
      </w:r>
      <w:r>
        <w:rPr>
          <w:rFonts w:ascii="Times New Roman" w:cs="Times New Roman" w:eastAsia="Times New Roman" w:hAnsi="Times New Roman"/>
          <w:sz w:val="20"/>
          <w:szCs w:val="20"/>
          <w:i w:val="1"/>
          <w:iCs w:val="1"/>
          <w:color w:val="231F20"/>
        </w:rPr>
        <w:t>Amgen v. Sanofi</w:t>
      </w:r>
      <w:r>
        <w:rPr>
          <w:rFonts w:ascii="Times New Roman" w:cs="Times New Roman" w:eastAsia="Times New Roman" w:hAnsi="Times New Roman"/>
          <w:sz w:val="20"/>
          <w:szCs w:val="20"/>
          <w:color w:val="231F20"/>
        </w:rPr>
        <w:t xml:space="preserve"> (2023)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Grounds for an unenforceability assertion could include an allegation that someone connected with prosecution of the patent withheld relevant information from the USPTO or made a misleading statement during prosecution.</w:t>
      </w:r>
    </w:p>
    <w:p>
      <w:pPr>
        <w:spacing w:after="0" w:line="8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89"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As of June 1, 2023, European patent applications have the option, upon grant of a patent, of becoming a Unitary Patent, which will be subject to the jurisdiction of the Unitary Patent Court (UPC). The option of a Unitary Patent will be a significant change in European patent practice, and our European patent applications, if issued, could be challenged in the UPC. As the UPC is a new court system, there is limited precedent for the court, increasing the uncertainty of any litigation in the UPC. It is uncertain how the UPC will impact granted European patents in the biotechnology and pharmaceutical industries that are subject to its jurisdiction. The UPC may, as a single court system, invalidate or centrally revoke our future European patents that are subject to its jurisdiction, and such a loss of patent protection could have a material adverse impact on our business and our ability to commercialize our technology and product candidates due to increased competition and, resultantly, on our financial condition, prospects and results of operations. During the first seven years of the UPC’s existence, the UPC legislation allows a patent owner to opt its European patents out of the jurisdiction of the UPC. We may, where applicable, opt our future European patents out of the UPC, and as such each of our future European patents for which we opted out would need to be challenged in each individual country. Moreover, our future European patents could remain under the jurisdiction of the UPC if we do not meet all of the opt- out formalities and requirements under the UPC. If we decide to opt out our future European patents from the UPC, doing so may preclude us from realizing the benefits of the UPC, such as the ability to obtain a pan-European injunction against our competitors. The UPC will also provide our competitors with a new forum to potentially obtain pan-European injunctions, and the granting of such pan-European injunctions against us could have a material adverse impact on our business and our ability to commercialize our technology and product candidates and, resultantly, on our financial condition, prospects and results of operations.</w:t>
      </w:r>
    </w:p>
    <w:p>
      <w:pPr>
        <w:spacing w:after="0" w:line="88"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231F20"/>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6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86" w:lineRule="exact"/>
        <w:rPr>
          <w:sz w:val="20"/>
          <w:szCs w:val="20"/>
          <w:color w:val="auto"/>
        </w:rPr>
      </w:pPr>
    </w:p>
    <w:p>
      <w:pPr>
        <w:jc w:val="both"/>
        <w:ind w:right="300" w:firstLine="720"/>
        <w:spacing w:after="0" w:line="258" w:lineRule="auto"/>
        <w:rPr>
          <w:sz w:val="20"/>
          <w:szCs w:val="20"/>
          <w:color w:val="auto"/>
        </w:rPr>
      </w:pPr>
      <w:r>
        <w:rPr>
          <w:rFonts w:ascii="Times New Roman" w:cs="Times New Roman" w:eastAsia="Times New Roman" w:hAnsi="Times New Roman"/>
          <w:sz w:val="20"/>
          <w:szCs w:val="20"/>
          <w:color w:val="231F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68" w:lineRule="exact"/>
        <w:rPr>
          <w:sz w:val="20"/>
          <w:szCs w:val="20"/>
          <w:color w:val="auto"/>
        </w:rPr>
      </w:pPr>
    </w:p>
    <w:p>
      <w:pPr>
        <w:ind w:right="480" w:firstLine="720"/>
        <w:spacing w:after="0" w:line="277" w:lineRule="auto"/>
        <w:rPr>
          <w:sz w:val="20"/>
          <w:szCs w:val="20"/>
          <w:color w:val="auto"/>
        </w:rPr>
      </w:pPr>
      <w:r>
        <w:rPr>
          <w:rFonts w:ascii="Times New Roman" w:cs="Times New Roman" w:eastAsia="Times New Roman" w:hAnsi="Times New Roman"/>
          <w:sz w:val="20"/>
          <w:szCs w:val="20"/>
          <w:color w:val="231F20"/>
        </w:rPr>
        <w:t>In addition, the issuance of a patent does not give us the right to practice the patented invention. Third parties may have blocking patents that could prevent us from marketing our own patented product and practicing our own patented technology.</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10780"/>
          </w:cols>
          <w:pgMar w:left="540" w:top="750" w:right="560" w:bottom="0" w:gutter="0" w:footer="0" w:header="0"/>
          <w:type w:val="continuous"/>
        </w:sectPr>
      </w:pPr>
    </w:p>
    <w:bookmarkStart w:id="85" w:name="page86"/>
    <w:bookmarkEnd w:id="85"/>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Intellectual property litigation may lead to unfavorable publicity that harms our reputation and causes the market price of our common shares to decline.</w:t>
      </w:r>
    </w:p>
    <w:p>
      <w:pPr>
        <w:spacing w:after="0" w:line="4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7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49"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231F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8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49"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86"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7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82"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Changes in U.S. patent law, or laws in other countries, could diminish the value of patents in general, thereby impairing our ability to protect our product candidates.</w:t>
      </w:r>
    </w:p>
    <w:p>
      <w:pPr>
        <w:spacing w:after="0" w:line="49" w:lineRule="exact"/>
        <w:rPr>
          <w:sz w:val="20"/>
          <w:szCs w:val="20"/>
          <w:color w:val="auto"/>
        </w:rPr>
      </w:pPr>
    </w:p>
    <w:p>
      <w:pPr>
        <w:ind w:right="180" w:firstLine="720"/>
        <w:spacing w:after="0" w:line="245" w:lineRule="auto"/>
        <w:rPr>
          <w:sz w:val="20"/>
          <w:szCs w:val="20"/>
          <w:color w:val="auto"/>
        </w:rPr>
      </w:pPr>
      <w:r>
        <w:rPr>
          <w:rFonts w:ascii="Times New Roman" w:cs="Times New Roman" w:eastAsia="Times New Roman" w:hAnsi="Times New Roman"/>
          <w:sz w:val="20"/>
          <w:szCs w:val="20"/>
          <w:color w:val="231F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10800"/>
          </w:cols>
          <w:pgMar w:left="540" w:top="750" w:right="540" w:bottom="0" w:gutter="0" w:footer="0" w:header="0"/>
          <w:type w:val="continuous"/>
        </w:sectPr>
      </w:pPr>
    </w:p>
    <w:bookmarkStart w:id="86" w:name="page87"/>
    <w:bookmarkEnd w:id="86"/>
    <w:p>
      <w:pPr>
        <w:ind w:firstLine="720"/>
        <w:spacing w:after="0" w:line="246" w:lineRule="auto"/>
        <w:rPr>
          <w:sz w:val="20"/>
          <w:szCs w:val="20"/>
          <w:color w:val="auto"/>
        </w:rPr>
      </w:pPr>
      <w:r>
        <w:rPr>
          <w:rFonts w:ascii="Times New Roman" w:cs="Times New Roman" w:eastAsia="Times New Roman" w:hAnsi="Times New Roman"/>
          <w:sz w:val="20"/>
          <w:szCs w:val="20"/>
          <w:color w:val="231F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subject to claims challenging the inventorship or ownership of our patents and other intellectual property.</w:t>
      </w:r>
    </w:p>
    <w:p>
      <w:pPr>
        <w:spacing w:after="0" w:line="120"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231F20"/>
        </w:rPr>
        <w:t>We may also be subject to claims that former employees, other affiliates, or other third parties have an ownership interest in our patents or those of our licensors or other intellectual property. For example, a current or former employee, other affiliate, or other third party may allege that certain invention assignment agreements or invention assignments are invalid, unenforceable, or otherwise incomplete. Litigation may be necessary to defend against these and other claims challenging inventorship or ownership. If we fail in defending any such claims, in addition to paying monetary damages, we may lose valuable intellectual property rights, such as our ability to enforce or defend our patents or those of our licensors. Such an outcome could have a material adverse effect on our business. Even if we are successful in defending against such claims, litigation could result in substantial costs and distraction to management and other employees.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Patent terms may be inadequate to protect our competitive position on our product candidates for an adequate amount of time.</w:t>
      </w:r>
    </w:p>
    <w:p>
      <w:pPr>
        <w:spacing w:after="0" w:line="12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Additionally, the United States Court of Appeals for the Federal Circuit issued a decision involving the interaction of patent term adjustment (PTA), terminal disclaimers, and obviousness-type double patenting that creates uncertainty regarding the patent terms of certain U.S. patents that share the same priority claim where one patent expires later than another patent due to accrued PTA.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If we do not obtain patent term extension for our product candidates, our business may be materially harmed.</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Depending upon the timing, duration and specifics of FDA marketing approval of our product candidates, one or more of our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U.S. patents or those of our licensors may be eligible for limited patent term restoration under the Drug Price Competition and Patent</w:t>
      </w:r>
    </w:p>
    <w:p>
      <w:pPr>
        <w:spacing w:after="0"/>
        <w:rPr>
          <w:sz w:val="20"/>
          <w:szCs w:val="20"/>
          <w:color w:val="auto"/>
        </w:rPr>
      </w:pPr>
      <w:r>
        <w:rPr>
          <w:rFonts w:ascii="Times New Roman" w:cs="Times New Roman" w:eastAsia="Times New Roman" w:hAnsi="Times New Roman"/>
          <w:sz w:val="20"/>
          <w:szCs w:val="20"/>
          <w:color w:val="231F20"/>
        </w:rPr>
        <w:t>Term Restoration Act of 1984 (Hatch-Waxman Amendments). The Hatch-Waxman Amendments permit a patent restoration term of</w:t>
      </w:r>
    </w:p>
    <w:p>
      <w:pPr>
        <w:spacing w:after="0"/>
        <w:rPr>
          <w:sz w:val="20"/>
          <w:szCs w:val="20"/>
          <w:color w:val="auto"/>
        </w:rPr>
      </w:pPr>
      <w:r>
        <w:rPr>
          <w:rFonts w:ascii="Times New Roman" w:cs="Times New Roman" w:eastAsia="Times New Roman" w:hAnsi="Times New Roman"/>
          <w:sz w:val="20"/>
          <w:szCs w:val="20"/>
          <w:color w:val="231F20"/>
        </w:rPr>
        <w:t>up to five years as compensation for patent term lost during product development and the FDA regulatory review process. A</w:t>
      </w:r>
    </w:p>
    <w:p>
      <w:pPr>
        <w:spacing w:after="0"/>
        <w:rPr>
          <w:sz w:val="20"/>
          <w:szCs w:val="20"/>
          <w:color w:val="auto"/>
        </w:rPr>
      </w:pPr>
      <w:r>
        <w:rPr>
          <w:rFonts w:ascii="Times New Roman" w:cs="Times New Roman" w:eastAsia="Times New Roman" w:hAnsi="Times New Roman"/>
          <w:sz w:val="20"/>
          <w:szCs w:val="20"/>
          <w:color w:val="231F20"/>
        </w:rPr>
        <w:t>maximum of one patent may be extended per FDA-approved product as compensation for the patent term lost during the FDA</w:t>
      </w:r>
    </w:p>
    <w:p>
      <w:pPr>
        <w:spacing w:after="0"/>
        <w:rPr>
          <w:sz w:val="20"/>
          <w:szCs w:val="20"/>
          <w:color w:val="auto"/>
        </w:rPr>
      </w:pPr>
      <w:r>
        <w:rPr>
          <w:rFonts w:ascii="Times New Roman" w:cs="Times New Roman" w:eastAsia="Times New Roman" w:hAnsi="Times New Roman"/>
          <w:sz w:val="20"/>
          <w:szCs w:val="20"/>
          <w:color w:val="231F20"/>
        </w:rPr>
        <w:t>regulatory review process. A patent term extension cannot extend the remaining term of a patent beyond a total of 14 years from the</w:t>
      </w:r>
    </w:p>
    <w:p>
      <w:pPr>
        <w:spacing w:after="0"/>
        <w:rPr>
          <w:sz w:val="20"/>
          <w:szCs w:val="20"/>
          <w:color w:val="auto"/>
        </w:rPr>
      </w:pPr>
      <w:r>
        <w:rPr>
          <w:rFonts w:ascii="Times New Roman" w:cs="Times New Roman" w:eastAsia="Times New Roman" w:hAnsi="Times New Roman"/>
          <w:sz w:val="20"/>
          <w:szCs w:val="20"/>
          <w:color w:val="231F20"/>
        </w:rPr>
        <w:t>date of product approval and only those claims covering such approved drug product, a method for using it or a method for</w:t>
      </w:r>
    </w:p>
    <w:p>
      <w:pPr>
        <w:spacing w:after="0"/>
        <w:rPr>
          <w:sz w:val="20"/>
          <w:szCs w:val="20"/>
          <w:color w:val="auto"/>
        </w:rPr>
      </w:pPr>
      <w:r>
        <w:rPr>
          <w:rFonts w:ascii="Times New Roman" w:cs="Times New Roman" w:eastAsia="Times New Roman" w:hAnsi="Times New Roman"/>
          <w:sz w:val="20"/>
          <w:szCs w:val="20"/>
          <w:color w:val="231F20"/>
        </w:rPr>
        <w:t>manufacturing it may be extended. Patent term extension may also be available in certain foreign countries upon regulatory approval</w:t>
      </w:r>
    </w:p>
    <w:p>
      <w:pPr>
        <w:spacing w:after="0"/>
        <w:rPr>
          <w:sz w:val="20"/>
          <w:szCs w:val="20"/>
          <w:color w:val="auto"/>
        </w:rPr>
      </w:pPr>
      <w:r>
        <w:rPr>
          <w:rFonts w:ascii="Times New Roman" w:cs="Times New Roman" w:eastAsia="Times New Roman" w:hAnsi="Times New Roman"/>
          <w:sz w:val="20"/>
          <w:szCs w:val="20"/>
          <w:color w:val="231F20"/>
        </w:rPr>
        <w:t>of our product candidates. However, we may not be granted an extension because of, for example, failing to apply within applicable</w:t>
      </w:r>
    </w:p>
    <w:p>
      <w:pPr>
        <w:spacing w:after="0"/>
        <w:rPr>
          <w:sz w:val="20"/>
          <w:szCs w:val="20"/>
          <w:color w:val="auto"/>
        </w:rPr>
      </w:pPr>
      <w:r>
        <w:rPr>
          <w:rFonts w:ascii="Times New Roman" w:cs="Times New Roman" w:eastAsia="Times New Roman" w:hAnsi="Times New Roman"/>
          <w:sz w:val="20"/>
          <w:szCs w:val="20"/>
          <w:color w:val="231F20"/>
        </w:rPr>
        <w:t>deadlines, failing to apply prior to expiration of relevant patents or otherwise failing to satisfy applicable requirements. Additionally,</w:t>
      </w:r>
    </w:p>
    <w:p>
      <w:pPr>
        <w:spacing w:after="0"/>
        <w:rPr>
          <w:sz w:val="20"/>
          <w:szCs w:val="20"/>
          <w:color w:val="auto"/>
        </w:rPr>
      </w:pPr>
      <w:r>
        <w:rPr>
          <w:rFonts w:ascii="Times New Roman" w:cs="Times New Roman" w:eastAsia="Times New Roman" w:hAnsi="Times New Roman"/>
          <w:sz w:val="20"/>
          <w:szCs w:val="20"/>
          <w:color w:val="231F20"/>
        </w:rPr>
        <w:t>administrative changes at the USPTO or other applicable patent authorities, such as reduced hiring and/or funding, may result in</w:t>
      </w:r>
    </w:p>
    <w:p>
      <w:pPr>
        <w:spacing w:after="0"/>
        <w:rPr>
          <w:sz w:val="20"/>
          <w:szCs w:val="20"/>
          <w:color w:val="auto"/>
        </w:rPr>
      </w:pPr>
      <w:r>
        <w:rPr>
          <w:rFonts w:ascii="Times New Roman" w:cs="Times New Roman" w:eastAsia="Times New Roman" w:hAnsi="Times New Roman"/>
          <w:sz w:val="20"/>
          <w:szCs w:val="20"/>
          <w:color w:val="231F20"/>
        </w:rPr>
        <w:t>delays in issuance of a patent or in accrual of patent term extension, thereby reducing the amount of patent term extension that could</w:t>
      </w:r>
    </w:p>
    <w:p>
      <w:pPr>
        <w:spacing w:after="0"/>
        <w:rPr>
          <w:sz w:val="20"/>
          <w:szCs w:val="20"/>
          <w:color w:val="auto"/>
        </w:rPr>
      </w:pPr>
      <w:r>
        <w:rPr>
          <w:rFonts w:ascii="Times New Roman" w:cs="Times New Roman" w:eastAsia="Times New Roman" w:hAnsi="Times New Roman"/>
          <w:sz w:val="20"/>
          <w:szCs w:val="20"/>
          <w:color w:val="231F20"/>
        </w:rPr>
        <w:t>otherwise be received. Administrative changes (</w:t>
      </w:r>
      <w:r>
        <w:rPr>
          <w:rFonts w:ascii="Times New Roman" w:cs="Times New Roman" w:eastAsia="Times New Roman" w:hAnsi="Times New Roman"/>
          <w:sz w:val="20"/>
          <w:szCs w:val="20"/>
          <w:i w:val="1"/>
          <w:iCs w:val="1"/>
          <w:color w:val="231F20"/>
        </w:rPr>
        <w:t>e.g.</w:t>
      </w:r>
      <w:r>
        <w:rPr>
          <w:rFonts w:ascii="Times New Roman" w:cs="Times New Roman" w:eastAsia="Times New Roman" w:hAnsi="Times New Roman"/>
          <w:sz w:val="20"/>
          <w:szCs w:val="20"/>
          <w:color w:val="231F20"/>
        </w:rPr>
        <w:t>, at the FDA or USPTO) may also lead to delays in review and analysis of</w:t>
      </w:r>
    </w:p>
    <w:p>
      <w:pPr>
        <w:spacing w:after="0"/>
        <w:rPr>
          <w:sz w:val="20"/>
          <w:szCs w:val="20"/>
          <w:color w:val="auto"/>
        </w:rPr>
      </w:pPr>
      <w:r>
        <w:rPr>
          <w:rFonts w:ascii="Times New Roman" w:cs="Times New Roman" w:eastAsia="Times New Roman" w:hAnsi="Times New Roman"/>
          <w:sz w:val="20"/>
          <w:szCs w:val="20"/>
          <w:color w:val="231F20"/>
        </w:rPr>
        <w:t>regulatory submissions or requests for patent term extension, which could result in a patent term extension not being timely granted</w:t>
      </w:r>
    </w:p>
    <w:p>
      <w:pPr>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e.g.</w:t>
      </w:r>
      <w:r>
        <w:rPr>
          <w:rFonts w:ascii="Times New Roman" w:cs="Times New Roman" w:eastAsia="Times New Roman" w:hAnsi="Times New Roman"/>
          <w:sz w:val="20"/>
          <w:szCs w:val="20"/>
          <w:color w:val="231F20"/>
        </w:rPr>
        <w:t>, before the expiration of the patent) and there may be no patent eligible for extension. Moreover, the applicable time period or the</w:t>
      </w:r>
    </w:p>
    <w:p>
      <w:pPr>
        <w:spacing w:after="0"/>
        <w:rPr>
          <w:sz w:val="20"/>
          <w:szCs w:val="20"/>
          <w:color w:val="auto"/>
        </w:rPr>
      </w:pPr>
      <w:r>
        <w:rPr>
          <w:rFonts w:ascii="Times New Roman" w:cs="Times New Roman" w:eastAsia="Times New Roman" w:hAnsi="Times New Roman"/>
          <w:sz w:val="20"/>
          <w:szCs w:val="20"/>
          <w:color w:val="231F20"/>
        </w:rPr>
        <w:t>scope of patent protection afforded could be less than we project or request. If we are unable to obtain patent term extension or</w:t>
      </w:r>
    </w:p>
    <w:p>
      <w:pPr>
        <w:spacing w:after="0"/>
        <w:rPr>
          <w:sz w:val="20"/>
          <w:szCs w:val="20"/>
          <w:color w:val="auto"/>
        </w:rPr>
      </w:pPr>
      <w:r>
        <w:rPr>
          <w:rFonts w:ascii="Times New Roman" w:cs="Times New Roman" w:eastAsia="Times New Roman" w:hAnsi="Times New Roman"/>
          <w:sz w:val="20"/>
          <w:szCs w:val="20"/>
          <w:color w:val="231F20"/>
        </w:rPr>
        <w:t>restoration or the term of any such extension is less than we project or request, our competitors may obtain approval of competing</w:t>
      </w:r>
    </w:p>
    <w:p>
      <w:pPr>
        <w:spacing w:after="0"/>
        <w:rPr>
          <w:sz w:val="20"/>
          <w:szCs w:val="20"/>
          <w:color w:val="auto"/>
        </w:rPr>
      </w:pPr>
      <w:r>
        <w:rPr>
          <w:rFonts w:ascii="Times New Roman" w:cs="Times New Roman" w:eastAsia="Times New Roman" w:hAnsi="Times New Roman"/>
          <w:sz w:val="20"/>
          <w:szCs w:val="20"/>
          <w:color w:val="231F20"/>
        </w:rPr>
        <w:t>products following our patent expiration, and our revenue could be reduced, possibly materially. Further, if this occurs, our</w:t>
      </w:r>
    </w:p>
    <w:p>
      <w:pPr>
        <w:spacing w:after="0"/>
        <w:rPr>
          <w:sz w:val="20"/>
          <w:szCs w:val="20"/>
          <w:color w:val="auto"/>
        </w:rPr>
      </w:pPr>
      <w:r>
        <w:rPr>
          <w:rFonts w:ascii="Times New Roman" w:cs="Times New Roman" w:eastAsia="Times New Roman" w:hAnsi="Times New Roman"/>
          <w:sz w:val="20"/>
          <w:szCs w:val="20"/>
          <w:color w:val="231F20"/>
        </w:rPr>
        <w:t>competitors may take advantage of our investment in development and trials by referencing our clinical and preclinical data and</w:t>
      </w:r>
    </w:p>
    <w:p>
      <w:pPr>
        <w:spacing w:after="0"/>
        <w:rPr>
          <w:sz w:val="20"/>
          <w:szCs w:val="20"/>
          <w:color w:val="auto"/>
        </w:rPr>
      </w:pPr>
      <w:r>
        <w:rPr>
          <w:rFonts w:ascii="Times New Roman" w:cs="Times New Roman" w:eastAsia="Times New Roman" w:hAnsi="Times New Roman"/>
          <w:sz w:val="20"/>
          <w:szCs w:val="20"/>
          <w:color w:val="231F20"/>
        </w:rPr>
        <w:t>launch their product earlier than might otherwise be the case.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protect our intellectual property rights throughout the world.</w:t>
      </w:r>
    </w:p>
    <w:p>
      <w:pPr>
        <w:spacing w:after="0" w:line="120"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231F20"/>
        </w:rPr>
        <w:t>Although as of December 31, 2025, we owned twelve and licensed ten issued patents in the United States pertaining to our product candidates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w:t>
      </w:r>
    </w:p>
    <w:p>
      <w:pPr>
        <w:sectPr>
          <w:pgSz w:w="11880" w:h="15480" w:orient="portrait"/>
          <w:cols w:equalWidth="0" w:num="1">
            <w:col w:w="10800"/>
          </w:cols>
          <w:pgMar w:left="540" w:top="750" w:right="540" w:bottom="0"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10800"/>
          </w:cols>
          <w:pgMar w:left="540" w:top="750" w:right="540" w:bottom="0" w:gutter="0" w:footer="0" w:header="0"/>
          <w:type w:val="continuous"/>
        </w:sectPr>
      </w:pPr>
    </w:p>
    <w:bookmarkStart w:id="87" w:name="page88"/>
    <w:bookmarkEnd w:id="87"/>
    <w:p>
      <w:pPr>
        <w:ind w:right="80"/>
        <w:spacing w:after="0" w:line="249" w:lineRule="auto"/>
        <w:rPr>
          <w:sz w:val="20"/>
          <w:szCs w:val="20"/>
          <w:color w:val="auto"/>
        </w:rPr>
      </w:pPr>
      <w:r>
        <w:rPr>
          <w:rFonts w:ascii="Times New Roman" w:cs="Times New Roman" w:eastAsia="Times New Roman" w:hAnsi="Times New Roman"/>
          <w:sz w:val="20"/>
          <w:szCs w:val="20"/>
          <w:color w:val="231F20"/>
        </w:rPr>
        <w:t>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7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spacing w:after="0" w:line="82"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7"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8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49"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19"/>
          <w:szCs w:val="19"/>
          <w:color w:val="231F20"/>
        </w:rPr>
        <w:t>We intend to use registered or unregistered trademarks or trade names to brand and market ourselves and our products. As of December 31, 2025, we had two trademarks registered with the USPTO. Trademark applications we may file in the future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w:t>
      </w:r>
    </w:p>
    <w:p>
      <w:pPr>
        <w:sectPr>
          <w:pgSz w:w="11880" w:h="15480" w:orient="portrait"/>
          <w:cols w:equalWidth="0" w:num="1">
            <w:col w:w="10800"/>
          </w:cols>
          <w:pgMar w:left="540" w:top="750" w:right="540" w:bottom="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10800"/>
          </w:cols>
          <w:pgMar w:left="540" w:top="750" w:right="540" w:bottom="0" w:gutter="0" w:footer="0" w:header="0"/>
          <w:type w:val="continuous"/>
        </w:sectPr>
      </w:pPr>
    </w:p>
    <w:bookmarkStart w:id="88" w:name="page89"/>
    <w:bookmarkEnd w:id="88"/>
    <w:p>
      <w:pPr>
        <w:ind w:right="280"/>
        <w:spacing w:after="0" w:line="252" w:lineRule="auto"/>
        <w:rPr>
          <w:sz w:val="20"/>
          <w:szCs w:val="20"/>
          <w:color w:val="auto"/>
        </w:rPr>
      </w:pPr>
      <w:r>
        <w:rPr>
          <w:rFonts w:ascii="Times New Roman" w:cs="Times New Roman" w:eastAsia="Times New Roman" w:hAnsi="Times New Roman"/>
          <w:sz w:val="20"/>
          <w:szCs w:val="20"/>
          <w:color w:val="231F20"/>
        </w:rPr>
        <w:t>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If we are unable to protect the confidentiality of our trade secrets, our business and competitive position would be harmed.</w:t>
      </w:r>
    </w:p>
    <w:p>
      <w:pPr>
        <w:spacing w:after="0" w:line="12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82"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Additionally, if any of our employees, consultants, advisors, or other parties with access to our confidential information use any third-party AI-powered systems or tools in connection with our business or the services they provide to us, it may lead to the inadvertent disclosure of our confidential information, including inadvertent disclosure of our confidential information into third-party training sets, some of which may be publicly available, and which may impact our ability to realize the benefit of, or adequately maintain, protect and enforce our intellectual property or confidential information, which could harm our competitive position and business.</w:t>
      </w:r>
    </w:p>
    <w:p>
      <w:pPr>
        <w:spacing w:after="0" w:line="80"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231F20"/>
        </w:rPr>
        <w:t>Moreover, third parties may still obtain our trade secrets or other confidential information or may come upon this or similar information independently, and we would have no right to prevent them from using that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8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claims that we or our employees have wrongfully used or disclosed alleged confidential information or trade secrets.</w:t>
      </w:r>
    </w:p>
    <w:p>
      <w:pPr>
        <w:spacing w:after="0" w:line="49"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 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93"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80"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claims that we have wrongfully hired an employee from a competitor or that we or our employees have wrongfully used or disclosed alleged confidential information or trade secrets of their former employers.</w:t>
      </w:r>
    </w:p>
    <w:p>
      <w:pPr>
        <w:spacing w:after="0" w:line="49"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w:t>
      </w:r>
    </w:p>
    <w:p>
      <w:pPr>
        <w:sectPr>
          <w:pgSz w:w="11880" w:h="15480" w:orient="portrait"/>
          <w:cols w:equalWidth="0" w:num="1">
            <w:col w:w="10800"/>
          </w:cols>
          <w:pgMar w:left="540" w:top="750" w:right="540" w:bottom="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10800"/>
          </w:cols>
          <w:pgMar w:left="540" w:top="750" w:right="540" w:bottom="0" w:gutter="0" w:footer="0" w:header="0"/>
          <w:type w:val="continuous"/>
        </w:sectPr>
      </w:pPr>
    </w:p>
    <w:bookmarkStart w:id="89" w:name="page90"/>
    <w:bookmarkEnd w:id="89"/>
    <w:p>
      <w:pPr>
        <w:jc w:val="both"/>
        <w:ind w:right="260"/>
        <w:spacing w:after="0" w:line="252" w:lineRule="auto"/>
        <w:rPr>
          <w:sz w:val="20"/>
          <w:szCs w:val="20"/>
          <w:color w:val="auto"/>
        </w:rPr>
      </w:pPr>
      <w:r>
        <w:rPr>
          <w:rFonts w:ascii="Times New Roman" w:cs="Times New Roman" w:eastAsia="Times New Roman" w:hAnsi="Times New Roman"/>
          <w:sz w:val="20"/>
          <w:szCs w:val="20"/>
          <w:color w:val="231F20"/>
        </w:rPr>
        <w:t>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74" w:lineRule="exact"/>
        <w:rPr>
          <w:sz w:val="20"/>
          <w:szCs w:val="20"/>
          <w:color w:val="auto"/>
        </w:rPr>
      </w:pPr>
    </w:p>
    <w:p>
      <w:pPr>
        <w:ind w:right="8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rights to develop and commercialize our technology and product candidates may be subject, in part, to the terms and conditions of licenses granted to us by others.</w:t>
      </w:r>
    </w:p>
    <w:p>
      <w:pPr>
        <w:spacing w:after="0" w:line="4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74"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8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Our licensors may have relied on third party consultants or collaborators or on funds from third parties such that our licensors are not the sole and exclusive owners of the patents we in-licensed. If other affiliates or third parties have ownership rights to our in-licensed patents, they may be able to hinder our ability to enforce or defend such patents, or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7"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8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68"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231F20"/>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spacing w:after="0" w:line="68" w:lineRule="exact"/>
        <w:rPr>
          <w:sz w:val="20"/>
          <w:szCs w:val="20"/>
          <w:color w:val="auto"/>
        </w:rPr>
      </w:pPr>
    </w:p>
    <w:p>
      <w:pPr>
        <w:ind w:right="360" w:firstLine="720"/>
        <w:spacing w:after="0" w:line="277" w:lineRule="auto"/>
        <w:rPr>
          <w:sz w:val="20"/>
          <w:szCs w:val="20"/>
          <w:color w:val="auto"/>
        </w:rPr>
      </w:pPr>
      <w:r>
        <w:rPr>
          <w:rFonts w:ascii="Times New Roman" w:cs="Times New Roman" w:eastAsia="Times New Roman" w:hAnsi="Times New Roman"/>
          <w:sz w:val="20"/>
          <w:szCs w:val="20"/>
          <w:color w:val="231F20"/>
        </w:rPr>
        <w:t>Moreover, disputes may arise between us and our licensors regarding intellectual property subject to a license agreement, including:</w:t>
      </w:r>
    </w:p>
    <w:p>
      <w:pPr>
        <w:spacing w:after="0" w:line="64" w:lineRule="exact"/>
        <w:rPr>
          <w:sz w:val="20"/>
          <w:szCs w:val="20"/>
          <w:color w:val="auto"/>
        </w:rPr>
      </w:pPr>
    </w:p>
    <w:p>
      <w:pPr>
        <w:ind w:left="1220" w:hanging="500"/>
        <w:spacing w:after="0"/>
        <w:tabs>
          <w:tab w:leader="none" w:pos="122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of rights granted under the license agreement and other interpretation-related issues;</w:t>
      </w:r>
    </w:p>
    <w:p>
      <w:pPr>
        <w:spacing w:after="0" w:line="133" w:lineRule="exact"/>
        <w:rPr>
          <w:rFonts w:ascii="Arial" w:cs="Arial" w:eastAsia="Arial" w:hAnsi="Arial"/>
          <w:sz w:val="20"/>
          <w:szCs w:val="20"/>
          <w:color w:val="231F20"/>
        </w:rPr>
      </w:pPr>
    </w:p>
    <w:p>
      <w:pPr>
        <w:ind w:left="1220" w:right="280" w:hanging="500"/>
        <w:spacing w:after="0" w:line="276" w:lineRule="auto"/>
        <w:tabs>
          <w:tab w:leader="none" w:pos="122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and the extent to which our technology and processes infringe on intellectual property of the licensor that is not subject to the licensing agreement;</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our right to sublicense patents and other rights to third parties;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our diligence obligations under the license agreement and what activities satisfy those diligence obligations;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our right to transfer or assign the license;</w:t>
      </w:r>
    </w:p>
    <w:p>
      <w:pPr>
        <w:spacing w:after="0" w:line="133" w:lineRule="exact"/>
        <w:rPr>
          <w:rFonts w:ascii="Arial" w:cs="Arial" w:eastAsia="Arial" w:hAnsi="Arial"/>
          <w:sz w:val="20"/>
          <w:szCs w:val="20"/>
          <w:color w:val="231F20"/>
        </w:rPr>
      </w:pPr>
    </w:p>
    <w:p>
      <w:pPr>
        <w:ind w:left="1220" w:right="440" w:hanging="500"/>
        <w:spacing w:after="0" w:line="276" w:lineRule="auto"/>
        <w:tabs>
          <w:tab w:leader="none" w:pos="122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inventorship and ownership of inventions and know-how resulting from the joint creation or use of intellectual property by our licensors and us and our partners; and</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priority of invention of patented technology.</w:t>
      </w:r>
    </w:p>
    <w:p>
      <w:pPr>
        <w:spacing w:after="0" w:line="119" w:lineRule="exact"/>
        <w:rPr>
          <w:sz w:val="20"/>
          <w:szCs w:val="20"/>
          <w:color w:val="auto"/>
        </w:rPr>
      </w:pPr>
    </w:p>
    <w:p>
      <w:pPr>
        <w:ind w:right="280" w:firstLine="720"/>
        <w:spacing w:after="0" w:line="305" w:lineRule="auto"/>
        <w:rPr>
          <w:sz w:val="20"/>
          <w:szCs w:val="20"/>
          <w:color w:val="auto"/>
        </w:rPr>
      </w:pPr>
      <w:r>
        <w:rPr>
          <w:rFonts w:ascii="Times New Roman" w:cs="Times New Roman" w:eastAsia="Times New Roman" w:hAnsi="Times New Roman"/>
          <w:sz w:val="19"/>
          <w:szCs w:val="19"/>
          <w:color w:val="231F20"/>
        </w:rPr>
        <w:t>In addition, the agreements under which we license intellectual property or technology from third parties are complex, and certain provisions in such agreements may be susceptible to multiple interpretations. The resolution of any contract interpretation</w:t>
      </w:r>
    </w:p>
    <w:p>
      <w:pPr>
        <w:sectPr>
          <w:pgSz w:w="11880" w:h="15480" w:orient="portrait"/>
          <w:cols w:equalWidth="0" w:num="1">
            <w:col w:w="10800"/>
          </w:cols>
          <w:pgMar w:left="540" w:top="750" w:right="540" w:bottom="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10800"/>
          </w:cols>
          <w:pgMar w:left="540" w:top="750" w:right="540" w:bottom="0" w:gutter="0" w:footer="0" w:header="0"/>
          <w:type w:val="continuous"/>
        </w:sectPr>
      </w:pPr>
    </w:p>
    <w:bookmarkStart w:id="90" w:name="page91"/>
    <w:bookmarkEnd w:id="90"/>
    <w:p>
      <w:pPr>
        <w:ind w:right="140"/>
        <w:spacing w:after="0" w:line="247" w:lineRule="auto"/>
        <w:rPr>
          <w:sz w:val="20"/>
          <w:szCs w:val="20"/>
          <w:color w:val="auto"/>
        </w:rPr>
      </w:pPr>
      <w:r>
        <w:rPr>
          <w:rFonts w:ascii="Times New Roman" w:cs="Times New Roman" w:eastAsia="Times New Roman" w:hAnsi="Times New Roman"/>
          <w:sz w:val="20"/>
          <w:szCs w:val="20"/>
          <w:color w:val="231F20"/>
        </w:rPr>
        <w:t>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spacing w:after="0" w:line="8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(ErbB2) with exon 20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patent protection and patent prosecution for some of our product candidates may be dependent on third parties.</w:t>
      </w:r>
    </w:p>
    <w:p>
      <w:pPr>
        <w:spacing w:after="0" w:line="120" w:lineRule="exact"/>
        <w:rPr>
          <w:sz w:val="20"/>
          <w:szCs w:val="20"/>
          <w:color w:val="auto"/>
        </w:rPr>
      </w:pPr>
    </w:p>
    <w:p>
      <w:pPr>
        <w:ind w:right="60" w:firstLine="720"/>
        <w:spacing w:after="0" w:line="257" w:lineRule="auto"/>
        <w:rPr>
          <w:sz w:val="20"/>
          <w:szCs w:val="20"/>
          <w:color w:val="auto"/>
        </w:rPr>
      </w:pPr>
      <w:r>
        <w:rPr>
          <w:rFonts w:ascii="Times New Roman" w:cs="Times New Roman" w:eastAsia="Times New Roman" w:hAnsi="Times New Roman"/>
          <w:sz w:val="19"/>
          <w:szCs w:val="19"/>
          <w:color w:val="231F20"/>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 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spacing w:after="0" w:line="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8"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As of December 31, 2025, we co-own a pending international patent application filed under the Patent Cooperation Treaty claiming inventions that were generated, in part, through the use of U.S. government funding. In the future, we may acquire or license other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10800"/>
          </w:cols>
          <w:pgMar w:left="540" w:top="750" w:right="54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231F20"/>
        </w:rPr>
        <w:t>Risks related to our dependence on third parties</w:t>
      </w:r>
    </w:p>
    <w:p>
      <w:pPr>
        <w:spacing w:after="0" w:line="120"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depend on third-party suppliers, and the loss of these third-party suppliers or their inability to supply us could harm our business.</w:t>
      </w:r>
    </w:p>
    <w:p>
      <w:pPr>
        <w:spacing w:after="0" w:line="49"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We depend on third-party suppliers, including from certain manufacturers located in China that provide us with active pharmaceutical ingredients (API) required for the production of our product candidates, and we expect to continue to depend on third-party suppliers located in various jurisdictions around the world. Our dependence on these third-party suppliers and the challenges faced in obtaining adequate supplies involve several risks, including supply chain issues caused by the effects of worldwide economic conditions, including disruptions due to public health concerns, national security concerns, export or import restrictions, tariffs, or other geopolitical events, limited control over pricing, the availability of such materials, the quality of such materials, and delivery schedules. To the extent our business relies on suppliers, customers, or vendors in countries where the U.S. government has imposed any of these or other trade restrictions, our business may experience a material adverse effect. We may be unable to fully mitigate the effects of these disruptions or conditions. Any supply interruption could materially harm our ability to manufacture our product candidates, or to manufacture our product candidates on commercially reasonable terms, until a new source of supply, if any, can be identified and qualified. In such an event, we may be unable to find a sufficient alternative supply channel in a reasonable time or on commercially reasonable terms. Any performance failure on the part of the suppliers could delay the development and potential commercialization of our product candidates, including limiting supplies necessary for clinical trials and regulatory approvals, which would have a material adverse effect on our business.</w:t>
      </w:r>
    </w:p>
    <w:p>
      <w:pPr>
        <w:spacing w:after="0" w:line="93"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In particular, there is currently significant uncertainty about the future relationship between the U.S. and various other countries, most significantly China, with respect to trade policies, including sanctions, treaties, tariffs, taxes, regulatory requirements, and other limitations on cross-border operations. The U.S. government has made and continues to make significant additional changes in U.S. trade policy and may continue to take future actions that could negatively impact our business. As an example, since April 2025 the U.S. has imposed a 10% tariff on imports from most U.S. trading partners. In addition, the U.S. has imposed a 20% tariff on virtually all imports of Chinese origin since March 2025, and has also imposed a reciprocal tariff of 125% on most Chinese-origin products since April 2025. While some pharmaceuticals and pharmaceutical products have been exempted from the reciprocal tariff of 125%, the U.S. government is currently undertaking an investigation to determine whether additional tariffs may be necessary on pharmaceuticals and pharmaceutical products in order to attain U.S. national security and foreign policy goals. We cannot predict what actions may ultimately be taken with respect to trade relations between the U.S. and China or other countries, what interactions, including products or services, may be subject to such actions, or what actions may be taken by the other countries in retaliation. We may also be subject to indirect supply chain risks caused by recent and new changes in these policies, including an increased risk of recession, inflation, or a general macroeconomic slowdown. If our interactions with third-party suppliers, including the manufacturers we work with in China that supply API required for the production of our product candidates, are affected by any such governmental actions, our business, liquidity, financial condition, or results of operations could be materially and adversely affected.</w:t>
      </w:r>
    </w:p>
    <w:p>
      <w:pPr>
        <w:spacing w:after="0" w:line="73"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b w:val="1"/>
          <w:bCs w:val="1"/>
          <w:i w:val="1"/>
          <w:iCs w:val="1"/>
          <w:color w:val="231F20"/>
        </w:rPr>
        <w:t>We rely on third parties to conduct our clinical trials and those third parties may not perform satisfactorily, including failing to meet deadlines for the completion of such trials, research and studies.</w:t>
      </w:r>
    </w:p>
    <w:p>
      <w:pPr>
        <w:spacing w:after="0" w:line="6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We do not have the ability to independently conduct our clinical trials. We currently rely on third parties, such as CROs, clinical data management organizations, medical institutions and clinical investigators, to conduct our current and planned clinical trials of our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spacing w:after="0" w:line="82"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19"/>
          <w:szCs w:val="19"/>
          <w:color w:val="231F20"/>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cGMPs regulations. Our failure to comply with these regulations may require us to repeat clinical trials, which would delay the marketing approval process.</w:t>
      </w:r>
    </w:p>
    <w:p>
      <w:pPr>
        <w:spacing w:after="0" w:line="73" w:lineRule="exact"/>
        <w:rPr>
          <w:sz w:val="20"/>
          <w:szCs w:val="20"/>
          <w:color w:val="auto"/>
        </w:rPr>
      </w:pPr>
    </w:p>
    <w:p>
      <w:pPr>
        <w:ind w:firstLine="720"/>
        <w:spacing w:after="0" w:line="305" w:lineRule="auto"/>
        <w:rPr>
          <w:sz w:val="20"/>
          <w:szCs w:val="20"/>
          <w:color w:val="auto"/>
        </w:rPr>
      </w:pPr>
      <w:r>
        <w:rPr>
          <w:rFonts w:ascii="Times New Roman" w:cs="Times New Roman" w:eastAsia="Times New Roman" w:hAnsi="Times New Roman"/>
          <w:sz w:val="19"/>
          <w:szCs w:val="19"/>
          <w:color w:val="231F20"/>
        </w:rPr>
        <w:t>If these third parties do not successfully carry out their contractual duties, meet expected deadlines or conduct our clinical trials in accordance with regulatory requirements or our stated protocols, we will not be able to obtain, or may be delayed in obtaining,</w:t>
      </w:r>
    </w:p>
    <w:p>
      <w:pPr>
        <w:sectPr>
          <w:pgSz w:w="11880" w:h="15480" w:orient="portrait"/>
          <w:cols w:equalWidth="0" w:num="1">
            <w:col w:w="10780"/>
          </w:cols>
          <w:pgMar w:left="540" w:top="727" w:right="560" w:bottom="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10780"/>
          </w:cols>
          <w:pgMar w:left="540" w:top="727" w:right="560" w:bottom="0" w:gutter="0" w:footer="0" w:header="0"/>
          <w:type w:val="continuous"/>
        </w:sectPr>
      </w:pPr>
    </w:p>
    <w:bookmarkStart w:id="92" w:name="page93"/>
    <w:bookmarkEnd w:id="92"/>
    <w:p>
      <w:pPr>
        <w:ind w:right="1200"/>
        <w:spacing w:after="0" w:line="277" w:lineRule="auto"/>
        <w:rPr>
          <w:sz w:val="20"/>
          <w:szCs w:val="20"/>
          <w:color w:val="auto"/>
        </w:rPr>
      </w:pPr>
      <w:r>
        <w:rPr>
          <w:rFonts w:ascii="Times New Roman" w:cs="Times New Roman" w:eastAsia="Times New Roman" w:hAnsi="Times New Roman"/>
          <w:sz w:val="20"/>
          <w:szCs w:val="20"/>
          <w:color w:val="231F20"/>
        </w:rPr>
        <w:t>marketing approvals for our product candidates and will not be able to, or may be delayed in our efforts to, successfully commercialize our product candidates.</w:t>
      </w:r>
    </w:p>
    <w:p>
      <w:pPr>
        <w:spacing w:after="0" w:line="4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We contract with third parties for the production of our product candidates for preclinical studies and, in the case of rinzimetostat and enozertinib, our ongoing clinical trials, and expect to continue to do so for additional clinical trials and ultimately for commercialization.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77"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For each of our product candidates,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any product candidates for any reason, whether as a result of manufacturing, supply or storage issues or otherwise, we could experience delays, disruptions, suspensions or terminations of, or be required to restart or repeat, any pending or ongoing studies or clinical trials.</w:t>
      </w:r>
    </w:p>
    <w:p>
      <w:pPr>
        <w:spacing w:after="0" w:line="86"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231F20"/>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68" w:lineRule="exact"/>
        <w:rPr>
          <w:sz w:val="20"/>
          <w:szCs w:val="20"/>
          <w:color w:val="auto"/>
        </w:rPr>
      </w:pPr>
    </w:p>
    <w:p>
      <w:pPr>
        <w:ind w:left="1220" w:right="160" w:hanging="500"/>
        <w:spacing w:after="0" w:line="236" w:lineRule="auto"/>
        <w:tabs>
          <w:tab w:leader="none" w:pos="122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76" w:lineRule="exact"/>
        <w:rPr>
          <w:rFonts w:ascii="Arial" w:cs="Arial" w:eastAsia="Arial" w:hAnsi="Arial"/>
          <w:sz w:val="20"/>
          <w:szCs w:val="20"/>
          <w:color w:val="231F20"/>
        </w:rPr>
      </w:pPr>
    </w:p>
    <w:p>
      <w:pPr>
        <w:ind w:left="1220" w:right="200" w:hanging="500"/>
        <w:spacing w:after="0" w:line="254" w:lineRule="auto"/>
        <w:tabs>
          <w:tab w:leader="none" w:pos="122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the termination or nonrenewal of arrangements or agreements by our third-party contractors at a time that is costly or inconvenient for us;</w:t>
      </w:r>
    </w:p>
    <w:p>
      <w:pPr>
        <w:spacing w:after="0" w:line="60" w:lineRule="exact"/>
        <w:rPr>
          <w:rFonts w:ascii="Arial" w:cs="Arial" w:eastAsia="Arial" w:hAnsi="Arial"/>
          <w:sz w:val="20"/>
          <w:szCs w:val="20"/>
          <w:color w:val="231F20"/>
        </w:rPr>
      </w:pPr>
    </w:p>
    <w:p>
      <w:pPr>
        <w:ind w:left="1220" w:hanging="500"/>
        <w:spacing w:after="0"/>
        <w:tabs>
          <w:tab w:leader="none" w:pos="122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the breach by the third-party contractors of our agreements with them;</w:t>
      </w:r>
    </w:p>
    <w:p>
      <w:pPr>
        <w:spacing w:after="0" w:line="110" w:lineRule="exact"/>
        <w:rPr>
          <w:rFonts w:ascii="Arial" w:cs="Arial" w:eastAsia="Arial" w:hAnsi="Arial"/>
          <w:sz w:val="20"/>
          <w:szCs w:val="20"/>
          <w:color w:val="231F20"/>
        </w:rPr>
      </w:pPr>
    </w:p>
    <w:p>
      <w:pPr>
        <w:ind w:left="1220" w:hanging="500"/>
        <w:spacing w:after="0"/>
        <w:tabs>
          <w:tab w:leader="none" w:pos="122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the failure of third-party contractors to comply with applicable regulatory requirements, including cGMPs;</w:t>
      </w:r>
    </w:p>
    <w:p>
      <w:pPr>
        <w:spacing w:after="0" w:line="110" w:lineRule="exact"/>
        <w:rPr>
          <w:rFonts w:ascii="Arial" w:cs="Arial" w:eastAsia="Arial" w:hAnsi="Arial"/>
          <w:sz w:val="20"/>
          <w:szCs w:val="20"/>
          <w:color w:val="231F20"/>
        </w:rPr>
      </w:pPr>
    </w:p>
    <w:p>
      <w:pPr>
        <w:ind w:left="1220" w:hanging="500"/>
        <w:spacing w:after="0"/>
        <w:tabs>
          <w:tab w:leader="none" w:pos="122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the failure of the third party to manufacture our product candidates according to our specifications;</w:t>
      </w:r>
    </w:p>
    <w:p>
      <w:pPr>
        <w:spacing w:after="0" w:line="110" w:lineRule="exact"/>
        <w:rPr>
          <w:rFonts w:ascii="Arial" w:cs="Arial" w:eastAsia="Arial" w:hAnsi="Arial"/>
          <w:sz w:val="20"/>
          <w:szCs w:val="20"/>
          <w:color w:val="231F20"/>
        </w:rPr>
      </w:pPr>
    </w:p>
    <w:p>
      <w:pPr>
        <w:ind w:left="1220" w:right="260" w:hanging="500"/>
        <w:spacing w:after="0" w:line="254" w:lineRule="auto"/>
        <w:tabs>
          <w:tab w:leader="none" w:pos="122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the mislabeling of clinical supplies, potentially resulting in the wrong dose amounts being supplied or active drug or placebo not being properly identified;</w:t>
      </w:r>
    </w:p>
    <w:p>
      <w:pPr>
        <w:spacing w:after="0" w:line="60" w:lineRule="exact"/>
        <w:rPr>
          <w:rFonts w:ascii="Arial" w:cs="Arial" w:eastAsia="Arial" w:hAnsi="Arial"/>
          <w:sz w:val="20"/>
          <w:szCs w:val="20"/>
          <w:color w:val="231F20"/>
        </w:rPr>
      </w:pPr>
    </w:p>
    <w:p>
      <w:pPr>
        <w:ind w:left="1220" w:right="200" w:hanging="500"/>
        <w:spacing w:after="0" w:line="254" w:lineRule="auto"/>
        <w:tabs>
          <w:tab w:leader="none" w:pos="122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clinical supplies not being delivered to clinical sites on time, leading to clinical trial interruptions, or of drug supplies not being distributed to commercial vendors in a timely manner, resulting in lost sales; and</w:t>
      </w:r>
    </w:p>
    <w:p>
      <w:pPr>
        <w:spacing w:after="0" w:line="60" w:lineRule="exact"/>
        <w:rPr>
          <w:rFonts w:ascii="Arial" w:cs="Arial" w:eastAsia="Arial" w:hAnsi="Arial"/>
          <w:sz w:val="20"/>
          <w:szCs w:val="20"/>
          <w:color w:val="231F20"/>
        </w:rPr>
      </w:pPr>
    </w:p>
    <w:p>
      <w:pPr>
        <w:ind w:left="1220" w:hanging="500"/>
        <w:spacing w:after="0"/>
        <w:tabs>
          <w:tab w:leader="none" w:pos="122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the misappropriation of our proprietary information, including our trade secrets and know-how.</w:t>
      </w:r>
    </w:p>
    <w:p>
      <w:pPr>
        <w:spacing w:after="0" w:line="11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We do not have complete control over all aspects of the manufacturing process of our contract manufacturing partners and are dependent on these contract manufacturing partners for compliance with cGMPs regulations for manufacturing both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 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spacing w:after="0" w:line="86"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19"/>
          <w:szCs w:val="19"/>
          <w:color w:val="231F20"/>
        </w:rPr>
        <w:t>Third-party manufacturers may not be able to comply with cGMPs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w:t>
      </w:r>
    </w:p>
    <w:p>
      <w:pPr>
        <w:sectPr>
          <w:pgSz w:w="11880" w:h="15480" w:orient="portrait"/>
          <w:cols w:equalWidth="0" w:num="1">
            <w:col w:w="10780"/>
          </w:cols>
          <w:pgMar w:left="540" w:top="750" w:right="560" w:bottom="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10780"/>
          </w:cols>
          <w:pgMar w:left="540" w:top="750" w:right="560" w:bottom="0" w:gutter="0" w:footer="0" w:header="0"/>
          <w:type w:val="continuous"/>
        </w:sectPr>
      </w:pPr>
    </w:p>
    <w:bookmarkStart w:id="93" w:name="page94"/>
    <w:bookmarkEnd w:id="93"/>
    <w:p>
      <w:pPr>
        <w:ind w:right="60"/>
        <w:spacing w:after="0" w:line="277" w:lineRule="auto"/>
        <w:rPr>
          <w:sz w:val="20"/>
          <w:szCs w:val="20"/>
          <w:color w:val="auto"/>
        </w:rPr>
      </w:pPr>
      <w:r>
        <w:rPr>
          <w:rFonts w:ascii="Times New Roman" w:cs="Times New Roman" w:eastAsia="Times New Roman" w:hAnsi="Times New Roman"/>
          <w:sz w:val="20"/>
          <w:szCs w:val="20"/>
          <w:color w:val="231F20"/>
        </w:rPr>
        <w:t>criminal prosecutions, any of which could significantly and adversely affect supplies of our product candidates or drugs and harm our business and results of operations.</w:t>
      </w:r>
    </w:p>
    <w:p>
      <w:pPr>
        <w:spacing w:after="0" w:line="49"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231F20"/>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6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4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and HER2 exon 20 mutation program worldwide (other than in the People’s Republic of China, Hong Kong, Macau and Taiwan). Any such acquisition or strategic partnership may entail numerous risks, including:</w:t>
      </w:r>
    </w:p>
    <w:p>
      <w:pPr>
        <w:spacing w:after="0" w:line="94" w:lineRule="exact"/>
        <w:rPr>
          <w:sz w:val="20"/>
          <w:szCs w:val="20"/>
          <w:color w:val="auto"/>
        </w:rPr>
      </w:pPr>
    </w:p>
    <w:p>
      <w:pPr>
        <w:ind w:left="1220" w:hanging="500"/>
        <w:spacing w:after="0"/>
        <w:tabs>
          <w:tab w:leader="none" w:pos="122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increased operating expenses and cash requirements;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the assumption of additional indebtedness or contingent liabilities;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the issuance of our equity securities;</w:t>
      </w:r>
    </w:p>
    <w:p>
      <w:pPr>
        <w:spacing w:after="0" w:line="133" w:lineRule="exact"/>
        <w:rPr>
          <w:rFonts w:ascii="Arial" w:cs="Arial" w:eastAsia="Arial" w:hAnsi="Arial"/>
          <w:sz w:val="20"/>
          <w:szCs w:val="20"/>
          <w:color w:val="231F20"/>
        </w:rPr>
      </w:pPr>
    </w:p>
    <w:p>
      <w:pPr>
        <w:ind w:left="1220" w:right="60" w:hanging="500"/>
        <w:spacing w:after="0" w:line="276" w:lineRule="auto"/>
        <w:tabs>
          <w:tab w:leader="none" w:pos="122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assimilation of operations, intellectual property and products of an acquired company, including difficulties associated with integrating new personnel;</w:t>
      </w:r>
    </w:p>
    <w:p>
      <w:pPr>
        <w:spacing w:after="0" w:line="64" w:lineRule="exact"/>
        <w:rPr>
          <w:rFonts w:ascii="Arial" w:cs="Arial" w:eastAsia="Arial" w:hAnsi="Arial"/>
          <w:sz w:val="20"/>
          <w:szCs w:val="20"/>
          <w:color w:val="231F20"/>
        </w:rPr>
      </w:pPr>
    </w:p>
    <w:p>
      <w:pPr>
        <w:ind w:left="1220" w:right="340" w:hanging="500"/>
        <w:spacing w:after="0" w:line="276" w:lineRule="auto"/>
        <w:tabs>
          <w:tab w:leader="none" w:pos="122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the diversion of our management’s attention from our existing programs and initiatives in pursuing such a strategic merger or acquisition;</w:t>
      </w:r>
    </w:p>
    <w:p>
      <w:pPr>
        <w:spacing w:after="0" w:line="64" w:lineRule="exact"/>
        <w:rPr>
          <w:rFonts w:ascii="Arial" w:cs="Arial" w:eastAsia="Arial" w:hAnsi="Arial"/>
          <w:sz w:val="20"/>
          <w:szCs w:val="20"/>
          <w:color w:val="231F20"/>
        </w:rPr>
      </w:pPr>
    </w:p>
    <w:p>
      <w:pPr>
        <w:ind w:left="1220" w:right="780" w:hanging="500"/>
        <w:spacing w:after="0" w:line="276" w:lineRule="auto"/>
        <w:tabs>
          <w:tab w:leader="none" w:pos="122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retention of key employees, the loss of key personnel and uncertainties in our ability to maintain key business relationships;</w:t>
      </w:r>
    </w:p>
    <w:p>
      <w:pPr>
        <w:spacing w:after="0" w:line="64" w:lineRule="exact"/>
        <w:rPr>
          <w:rFonts w:ascii="Arial" w:cs="Arial" w:eastAsia="Arial" w:hAnsi="Arial"/>
          <w:sz w:val="20"/>
          <w:szCs w:val="20"/>
          <w:color w:val="231F20"/>
        </w:rPr>
      </w:pPr>
    </w:p>
    <w:p>
      <w:pPr>
        <w:ind w:left="1220" w:right="260" w:hanging="500"/>
        <w:spacing w:after="0" w:line="276" w:lineRule="auto"/>
        <w:tabs>
          <w:tab w:leader="none" w:pos="122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risks and uncertainties associated with the other party to such a transaction, including the prospects of that party and their existing products or product candidates and marketing approvals; and</w:t>
      </w:r>
    </w:p>
    <w:p>
      <w:pPr>
        <w:spacing w:after="0" w:line="64" w:lineRule="exact"/>
        <w:rPr>
          <w:rFonts w:ascii="Arial" w:cs="Arial" w:eastAsia="Arial" w:hAnsi="Arial"/>
          <w:sz w:val="20"/>
          <w:szCs w:val="20"/>
          <w:color w:val="231F20"/>
        </w:rPr>
      </w:pPr>
    </w:p>
    <w:p>
      <w:pPr>
        <w:ind w:left="1220" w:right="700" w:hanging="500"/>
        <w:spacing w:after="0" w:line="276" w:lineRule="auto"/>
        <w:tabs>
          <w:tab w:leader="none" w:pos="122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generate revenue from acquired technology and/or products sufficient to meet our objectives in undertaking the acquisition or even to offset the associated acquisition and maintenance costs.</w:t>
      </w:r>
    </w:p>
    <w:p>
      <w:pPr>
        <w:spacing w:after="0" w:line="50"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spacing w:after="0" w:line="77"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decide to establish additional collaborations, but are not able to establish those collaborations on commercially reasonable terms, we may have to alter our development and commercialization plans.</w:t>
      </w:r>
    </w:p>
    <w:p>
      <w:pPr>
        <w:spacing w:after="0" w:line="49"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231F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For example, we completed a Phase 1b trial of ORIC-533 as a single-agent, in patients with relapsed/refractory multiple myeloma, and intend to evaluate strategic partnerships to develop ORIC-533 in combination with other immune-based antimyeloma therapies. Any of these relationships may require us to incur non-recurring and other charges, increase our near- and long-term expenditures, issue securities that dilute our existing stockholders, or disrupt our management and business.</w:t>
      </w:r>
    </w:p>
    <w:p>
      <w:pPr>
        <w:spacing w:after="0" w:line="8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We would face significant competition in seeking additional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w:t>
      </w:r>
    </w:p>
    <w:p>
      <w:pPr>
        <w:sectPr>
          <w:pgSz w:w="11880" w:h="15480" w:orient="portrait"/>
          <w:cols w:equalWidth="0" w:num="1">
            <w:col w:w="10760"/>
          </w:cols>
          <w:pgMar w:left="540" w:top="750" w:right="580" w:bottom="0" w:gutter="0" w:footer="0" w:header="0"/>
        </w:sect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10760"/>
          </w:cols>
          <w:pgMar w:left="540" w:top="750" w:right="580" w:bottom="0" w:gutter="0" w:footer="0" w:header="0"/>
          <w:type w:val="continuous"/>
        </w:sectPr>
      </w:pPr>
    </w:p>
    <w:bookmarkStart w:id="94" w:name="page95"/>
    <w:bookmarkEnd w:id="94"/>
    <w:p>
      <w:pPr>
        <w:ind w:right="100"/>
        <w:spacing w:after="0" w:line="277" w:lineRule="auto"/>
        <w:rPr>
          <w:sz w:val="20"/>
          <w:szCs w:val="20"/>
          <w:color w:val="auto"/>
        </w:rPr>
      </w:pPr>
      <w:r>
        <w:rPr>
          <w:rFonts w:ascii="Times New Roman" w:cs="Times New Roman" w:eastAsia="Times New Roman" w:hAnsi="Times New Roman"/>
          <w:sz w:val="20"/>
          <w:szCs w:val="20"/>
          <w:color w:val="231F20"/>
        </w:rPr>
        <w:t>may be deemed to be at too early of a stage of development for collaborative effort and third parties may not view them as having the requisite potential to demonstrate safety and efficacy.</w:t>
      </w:r>
    </w:p>
    <w:p>
      <w:pPr>
        <w:spacing w:after="0" w:line="49"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231F20"/>
        </w:rPr>
        <w:t>In addition, there have been a significant number of recent business combinations among large pharmaceutical companies that have resulted in a reduced number of potential future collaborators. Even when we are successful in entering into a collaboration, the terms and conditions of that collaboration may restrict us from entering into future agreements on certain terms with potential collaborators.</w:t>
      </w:r>
    </w:p>
    <w:p>
      <w:pPr>
        <w:spacing w:after="0" w:line="74"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0"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49"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91" w:lineRule="exact"/>
        <w:rPr>
          <w:sz w:val="20"/>
          <w:szCs w:val="20"/>
          <w:color w:val="auto"/>
        </w:rPr>
      </w:pPr>
    </w:p>
    <w:p>
      <w:pPr>
        <w:ind w:left="1220" w:hanging="500"/>
        <w:spacing w:after="0" w:line="304" w:lineRule="auto"/>
        <w:tabs>
          <w:tab w:leader="none" w:pos="1220" w:val="left"/>
        </w:tabs>
        <w:numPr>
          <w:ilvl w:val="0"/>
          <w:numId w:val="52"/>
        </w:numPr>
        <w:rPr>
          <w:rFonts w:ascii="Arial" w:cs="Arial" w:eastAsia="Arial" w:hAnsi="Arial"/>
          <w:sz w:val="19"/>
          <w:szCs w:val="19"/>
          <w:color w:val="231F20"/>
        </w:rPr>
      </w:pPr>
      <w:r>
        <w:rPr>
          <w:rFonts w:ascii="Times New Roman" w:cs="Times New Roman" w:eastAsia="Times New Roman" w:hAnsi="Times New Roman"/>
          <w:sz w:val="19"/>
          <w:szCs w:val="19"/>
          <w:color w:val="231F20"/>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39" w:lineRule="exact"/>
        <w:rPr>
          <w:rFonts w:ascii="Arial" w:cs="Arial" w:eastAsia="Arial" w:hAnsi="Arial"/>
          <w:sz w:val="19"/>
          <w:szCs w:val="19"/>
          <w:color w:val="231F20"/>
        </w:rPr>
      </w:pPr>
    </w:p>
    <w:p>
      <w:pPr>
        <w:jc w:val="both"/>
        <w:ind w:left="1220" w:right="260" w:hanging="500"/>
        <w:spacing w:after="0" w:line="249" w:lineRule="auto"/>
        <w:tabs>
          <w:tab w:leader="none" w:pos="12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90" w:lineRule="exact"/>
        <w:rPr>
          <w:rFonts w:ascii="Arial" w:cs="Arial" w:eastAsia="Arial" w:hAnsi="Arial"/>
          <w:sz w:val="20"/>
          <w:szCs w:val="20"/>
          <w:color w:val="231F20"/>
        </w:rPr>
      </w:pPr>
    </w:p>
    <w:p>
      <w:pPr>
        <w:ind w:left="1220" w:right="300" w:hanging="500"/>
        <w:spacing w:after="0" w:line="258" w:lineRule="auto"/>
        <w:tabs>
          <w:tab w:leader="none" w:pos="12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rely on third parties to conduct development, manufacturing, and/or commercialization activities, and except for remedies available to us under our collaboration agreements, we have limited ability to control the conduct of such activities;</w:t>
      </w:r>
    </w:p>
    <w:p>
      <w:pPr>
        <w:spacing w:after="0" w:line="81" w:lineRule="exact"/>
        <w:rPr>
          <w:rFonts w:ascii="Arial" w:cs="Arial" w:eastAsia="Arial" w:hAnsi="Arial"/>
          <w:sz w:val="20"/>
          <w:szCs w:val="20"/>
          <w:color w:val="231F20"/>
        </w:rPr>
      </w:pPr>
    </w:p>
    <w:p>
      <w:pPr>
        <w:ind w:left="1220" w:right="140" w:hanging="500"/>
        <w:spacing w:after="0" w:line="258" w:lineRule="auto"/>
        <w:tabs>
          <w:tab w:leader="none" w:pos="12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1" w:lineRule="exact"/>
        <w:rPr>
          <w:rFonts w:ascii="Arial" w:cs="Arial" w:eastAsia="Arial" w:hAnsi="Arial"/>
          <w:sz w:val="20"/>
          <w:szCs w:val="20"/>
          <w:color w:val="231F20"/>
        </w:rPr>
      </w:pPr>
    </w:p>
    <w:p>
      <w:pPr>
        <w:ind w:left="1220" w:right="240" w:hanging="500"/>
        <w:spacing w:after="0" w:line="258" w:lineRule="auto"/>
        <w:tabs>
          <w:tab w:leader="none" w:pos="12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1" w:lineRule="exact"/>
        <w:rPr>
          <w:rFonts w:ascii="Arial" w:cs="Arial" w:eastAsia="Arial" w:hAnsi="Arial"/>
          <w:sz w:val="20"/>
          <w:szCs w:val="20"/>
          <w:color w:val="231F20"/>
        </w:rPr>
      </w:pPr>
    </w:p>
    <w:p>
      <w:pPr>
        <w:ind w:left="1220" w:right="240" w:hanging="500"/>
        <w:spacing w:after="0" w:line="276" w:lineRule="auto"/>
        <w:tabs>
          <w:tab w:leader="none" w:pos="12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a collaborator with marketing and distribution rights to multiple products may not commit sufficient resources to the marketing and distribution of our product relative to other products;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grant exclusive rights to our collaborators that would prevent us from collaborating with others;</w:t>
      </w:r>
    </w:p>
    <w:p>
      <w:pPr>
        <w:spacing w:after="0" w:line="133" w:lineRule="exact"/>
        <w:rPr>
          <w:rFonts w:ascii="Arial" w:cs="Arial" w:eastAsia="Arial" w:hAnsi="Arial"/>
          <w:sz w:val="20"/>
          <w:szCs w:val="20"/>
          <w:color w:val="231F20"/>
        </w:rPr>
      </w:pPr>
    </w:p>
    <w:p>
      <w:pPr>
        <w:ind w:left="1220" w:right="140" w:hanging="500"/>
        <w:spacing w:after="0" w:line="252" w:lineRule="auto"/>
        <w:tabs>
          <w:tab w:leader="none" w:pos="12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87" w:lineRule="exact"/>
        <w:rPr>
          <w:rFonts w:ascii="Arial" w:cs="Arial" w:eastAsia="Arial" w:hAnsi="Arial"/>
          <w:sz w:val="20"/>
          <w:szCs w:val="20"/>
          <w:color w:val="231F20"/>
        </w:rPr>
      </w:pPr>
    </w:p>
    <w:p>
      <w:pPr>
        <w:jc w:val="both"/>
        <w:ind w:left="1220" w:right="40" w:hanging="500"/>
        <w:spacing w:after="0" w:line="258" w:lineRule="auto"/>
        <w:tabs>
          <w:tab w:leader="none" w:pos="12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1" w:lineRule="exact"/>
        <w:rPr>
          <w:rFonts w:ascii="Arial" w:cs="Arial" w:eastAsia="Arial" w:hAnsi="Arial"/>
          <w:sz w:val="20"/>
          <w:szCs w:val="20"/>
          <w:color w:val="231F20"/>
        </w:rPr>
      </w:pPr>
    </w:p>
    <w:p>
      <w:pPr>
        <w:ind w:left="1220" w:right="620" w:hanging="500"/>
        <w:spacing w:after="0" w:line="276" w:lineRule="auto"/>
        <w:tabs>
          <w:tab w:leader="none" w:pos="12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collaborations may be terminated and, if terminated, may result in a need for additional capital to pursue further development or commercialization of the applicable product candidates;</w:t>
      </w:r>
    </w:p>
    <w:p>
      <w:pPr>
        <w:spacing w:after="0" w:line="64" w:lineRule="exact"/>
        <w:rPr>
          <w:rFonts w:ascii="Arial" w:cs="Arial" w:eastAsia="Arial" w:hAnsi="Arial"/>
          <w:sz w:val="20"/>
          <w:szCs w:val="20"/>
          <w:color w:val="231F20"/>
        </w:rPr>
      </w:pPr>
    </w:p>
    <w:p>
      <w:pPr>
        <w:ind w:left="1220" w:hanging="500"/>
        <w:spacing w:after="0" w:line="276" w:lineRule="auto"/>
        <w:tabs>
          <w:tab w:leader="none" w:pos="12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collaboration agreements may not lead to development or commercialization of product candidates in the most efficient manner or at all;</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10780"/>
          </w:cols>
          <w:pgMar w:left="540" w:top="750" w:right="560" w:bottom="0" w:gutter="0" w:footer="0" w:header="0"/>
          <w:type w:val="continuous"/>
        </w:sectPr>
      </w:pPr>
    </w:p>
    <w:bookmarkStart w:id="95" w:name="page96"/>
    <w:bookmarkEnd w:id="95"/>
    <w:p>
      <w:pPr>
        <w:jc w:val="both"/>
        <w:ind w:left="1220" w:right="160" w:hanging="500"/>
        <w:spacing w:after="0" w:line="258" w:lineRule="auto"/>
        <w:tabs>
          <w:tab w:leader="none" w:pos="122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81" w:lineRule="exact"/>
        <w:rPr>
          <w:rFonts w:ascii="Arial" w:cs="Arial" w:eastAsia="Arial" w:hAnsi="Arial"/>
          <w:sz w:val="20"/>
          <w:szCs w:val="20"/>
          <w:color w:val="231F20"/>
        </w:rPr>
      </w:pPr>
    </w:p>
    <w:p>
      <w:pPr>
        <w:ind w:left="1220" w:right="80" w:hanging="500"/>
        <w:spacing w:after="0" w:line="258" w:lineRule="auto"/>
        <w:tabs>
          <w:tab w:leader="none" w:pos="122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81" w:lineRule="exact"/>
        <w:rPr>
          <w:rFonts w:ascii="Arial" w:cs="Arial" w:eastAsia="Arial" w:hAnsi="Arial"/>
          <w:sz w:val="20"/>
          <w:szCs w:val="20"/>
          <w:color w:val="231F20"/>
        </w:rPr>
      </w:pPr>
    </w:p>
    <w:p>
      <w:pPr>
        <w:ind w:left="1220" w:right="560" w:hanging="500"/>
        <w:spacing w:after="0" w:line="276" w:lineRule="auto"/>
        <w:tabs>
          <w:tab w:leader="none" w:pos="122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a collaborator’s sales and marketing activities or other operations may not be in compliance with applicable laws resulting in civil or criminal proceedings.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securities markets and ownership of our common stock</w:t>
      </w:r>
    </w:p>
    <w:p>
      <w:pPr>
        <w:spacing w:after="0" w:line="12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do not know whether an active, liquid and orderly trading market will continue for our common stock or what the market price of our common stock will be and as a result it may be difficult for you to sell your shares of our common stock.</w:t>
      </w:r>
    </w:p>
    <w:p>
      <w:pPr>
        <w:spacing w:after="0" w:line="4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Prior to our initial public offering in April 2020, there was no public market for shares of our common stock and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price of our stock is volatile.</w:t>
      </w:r>
    </w:p>
    <w:p>
      <w:pPr>
        <w:spacing w:after="0" w:line="120"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31F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74"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231F20"/>
        </w:rPr>
        <w:t>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83" w:lineRule="exact"/>
        <w:rPr>
          <w:sz w:val="20"/>
          <w:szCs w:val="20"/>
          <w:color w:val="auto"/>
        </w:rPr>
      </w:pPr>
    </w:p>
    <w:p>
      <w:pPr>
        <w:ind w:left="1220" w:right="560" w:hanging="500"/>
        <w:spacing w:after="0" w:line="276" w:lineRule="auto"/>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results of preclinical studies and clinical trials of our product candidates, those conducted by third parties or those of our competitors;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success of competitive products or announcements by potential competitors of their product development efforts;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actions with respect to our products or our competitors’ products;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actual or anticipated changes in our growth rate relative to our competitors;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or legal developments in the United States and other countries;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developments or disputes concerning patent applications, issued patents or other proprietary rights;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recruitment or departure of key personnel;</w:t>
      </w:r>
    </w:p>
    <w:p>
      <w:pPr>
        <w:spacing w:after="0" w:line="133" w:lineRule="exact"/>
        <w:rPr>
          <w:rFonts w:ascii="Arial" w:cs="Arial" w:eastAsia="Arial" w:hAnsi="Arial"/>
          <w:sz w:val="20"/>
          <w:szCs w:val="20"/>
          <w:color w:val="231F20"/>
        </w:rPr>
      </w:pPr>
    </w:p>
    <w:p>
      <w:pPr>
        <w:ind w:left="1220" w:right="1020" w:hanging="500"/>
        <w:spacing w:after="0" w:line="276" w:lineRule="auto"/>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announcements by us or our competitors of significant acquisitions, strategic collaborations, joint ventures, collaborations or capital commitments;</w:t>
      </w:r>
    </w:p>
    <w:p>
      <w:pPr>
        <w:spacing w:after="0" w:line="64" w:lineRule="exact"/>
        <w:rPr>
          <w:rFonts w:ascii="Arial" w:cs="Arial" w:eastAsia="Arial" w:hAnsi="Arial"/>
          <w:sz w:val="20"/>
          <w:szCs w:val="20"/>
          <w:color w:val="231F20"/>
        </w:rPr>
      </w:pPr>
    </w:p>
    <w:p>
      <w:pPr>
        <w:ind w:left="1220" w:right="680" w:hanging="500"/>
        <w:spacing w:after="0" w:line="276" w:lineRule="auto"/>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actual or anticipated changes in estimates as to financial results, development timelines or recommendations by securities analysts;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fluctuations in the valuation of companies perceived by investors to be comparable to us;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market conditions in the pharmaceutical and biotechnology sector;</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structure of healthcare payment systems;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share price and volume fluctuations attributable to inconsistent trading volume levels of our shares;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announcement or expectation of additional financing efforts;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sales of our common stock by us, our insiders or our other stockholders;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expiration of market stand-off or lock-up agreements;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any natural disasters or public health emergencies, such as the COVID-19 pandemic; and</w:t>
      </w:r>
    </w:p>
    <w:p>
      <w:pPr>
        <w:sectPr>
          <w:pgSz w:w="11880" w:h="15480" w:orient="portrait"/>
          <w:cols w:equalWidth="0" w:num="1">
            <w:col w:w="10800"/>
          </w:cols>
          <w:pgMar w:left="540" w:top="764" w:right="540" w:bottom="0"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10800"/>
          </w:cols>
          <w:pgMar w:left="540" w:top="764" w:right="540" w:bottom="0" w:gutter="0" w:footer="0" w:header="0"/>
          <w:type w:val="continuous"/>
        </w:sectPr>
      </w:pPr>
    </w:p>
    <w:bookmarkStart w:id="96" w:name="page97"/>
    <w:bookmarkEnd w:id="96"/>
    <w:p>
      <w:pPr>
        <w:ind w:left="1220" w:right="80" w:hanging="500"/>
        <w:spacing w:after="0" w:line="276" w:lineRule="auto"/>
        <w:tabs>
          <w:tab w:leader="none" w:pos="1220" w:val="left"/>
        </w:tabs>
        <w:numPr>
          <w:ilvl w:val="0"/>
          <w:numId w:val="55"/>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economic, political, industry and market conditions, including international military conflicts and instability in the financial markets and banking industry.</w:t>
      </w:r>
    </w:p>
    <w:p>
      <w:pPr>
        <w:spacing w:after="0" w:line="50" w:lineRule="exact"/>
        <w:rPr>
          <w:sz w:val="20"/>
          <w:szCs w:val="20"/>
          <w:color w:val="auto"/>
        </w:rPr>
      </w:pPr>
    </w:p>
    <w:p>
      <w:pPr>
        <w:ind w:right="620" w:firstLine="720"/>
        <w:spacing w:after="0" w:line="277" w:lineRule="auto"/>
        <w:rPr>
          <w:sz w:val="20"/>
          <w:szCs w:val="20"/>
          <w:color w:val="auto"/>
        </w:rPr>
      </w:pPr>
      <w:r>
        <w:rPr>
          <w:rFonts w:ascii="Times New Roman" w:cs="Times New Roman" w:eastAsia="Times New Roman" w:hAnsi="Times New Roman"/>
          <w:sz w:val="20"/>
          <w:szCs w:val="20"/>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4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securities or industry analysts do not publish research or reports, or if they publish adverse or misleading research or reports, regarding us, our business or our market, our stock price and trading volume could decline.</w:t>
      </w:r>
    </w:p>
    <w:p>
      <w:pPr>
        <w:spacing w:after="0" w:line="4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8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49"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231F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77"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231F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4" w:lineRule="exact"/>
        <w:rPr>
          <w:sz w:val="20"/>
          <w:szCs w:val="20"/>
          <w:color w:val="auto"/>
        </w:rPr>
      </w:pPr>
    </w:p>
    <w:p>
      <w:pPr>
        <w:ind w:right="240" w:firstLine="720"/>
        <w:spacing w:after="0" w:line="277" w:lineRule="auto"/>
        <w:rPr>
          <w:sz w:val="20"/>
          <w:szCs w:val="20"/>
          <w:color w:val="auto"/>
        </w:rPr>
      </w:pPr>
      <w:r>
        <w:rPr>
          <w:rFonts w:ascii="Times New Roman" w:cs="Times New Roman" w:eastAsia="Times New Roman" w:hAnsi="Times New Roman"/>
          <w:sz w:val="20"/>
          <w:szCs w:val="20"/>
          <w:color w:val="231F20"/>
        </w:rPr>
        <w:t>Furthermore, our operating results may fluctuate due to a variety of other factors, many of which are outside of our control and may be difficult to predict, including the following:</w:t>
      </w:r>
    </w:p>
    <w:p>
      <w:pPr>
        <w:spacing w:after="0" w:line="64" w:lineRule="exact"/>
        <w:rPr>
          <w:sz w:val="20"/>
          <w:szCs w:val="20"/>
          <w:color w:val="auto"/>
        </w:rPr>
      </w:pPr>
    </w:p>
    <w:p>
      <w:pPr>
        <w:ind w:left="1220" w:right="220" w:hanging="500"/>
        <w:spacing w:after="0" w:line="304" w:lineRule="auto"/>
        <w:tabs>
          <w:tab w:leader="none" w:pos="1220" w:val="left"/>
        </w:tabs>
        <w:numPr>
          <w:ilvl w:val="0"/>
          <w:numId w:val="56"/>
        </w:numPr>
        <w:rPr>
          <w:rFonts w:ascii="Arial" w:cs="Arial" w:eastAsia="Arial" w:hAnsi="Arial"/>
          <w:sz w:val="19"/>
          <w:szCs w:val="19"/>
          <w:color w:val="231F20"/>
        </w:rPr>
      </w:pPr>
      <w:r>
        <w:rPr>
          <w:rFonts w:ascii="Times New Roman" w:cs="Times New Roman" w:eastAsia="Times New Roman" w:hAnsi="Times New Roman"/>
          <w:sz w:val="19"/>
          <w:szCs w:val="19"/>
          <w:color w:val="231F20"/>
        </w:rPr>
        <w:t>the timing and cost of, and level of investment in, research and development activities relating to our current product candidates and any future product candidates and research-stage programs, which will change from time to time;</w:t>
      </w:r>
    </w:p>
    <w:p>
      <w:pPr>
        <w:spacing w:after="0" w:line="39" w:lineRule="exact"/>
        <w:rPr>
          <w:rFonts w:ascii="Arial" w:cs="Arial" w:eastAsia="Arial" w:hAnsi="Arial"/>
          <w:sz w:val="19"/>
          <w:szCs w:val="19"/>
          <w:color w:val="231F20"/>
        </w:rPr>
      </w:pPr>
    </w:p>
    <w:p>
      <w:pPr>
        <w:ind w:left="1220" w:hanging="500"/>
        <w:spacing w:after="0"/>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enroll patients in clinical trials and the timing of enrollment;</w:t>
      </w:r>
    </w:p>
    <w:p>
      <w:pPr>
        <w:spacing w:after="0" w:line="133" w:lineRule="exact"/>
        <w:rPr>
          <w:rFonts w:ascii="Arial" w:cs="Arial" w:eastAsia="Arial" w:hAnsi="Arial"/>
          <w:sz w:val="20"/>
          <w:szCs w:val="20"/>
          <w:color w:val="231F20"/>
        </w:rPr>
      </w:pPr>
    </w:p>
    <w:p>
      <w:pPr>
        <w:ind w:left="1220" w:hanging="500"/>
        <w:spacing w:after="0" w:line="258" w:lineRule="auto"/>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81" w:lineRule="exact"/>
        <w:rPr>
          <w:rFonts w:ascii="Arial" w:cs="Arial" w:eastAsia="Arial" w:hAnsi="Arial"/>
          <w:sz w:val="20"/>
          <w:szCs w:val="20"/>
          <w:color w:val="231F20"/>
        </w:rPr>
      </w:pPr>
    </w:p>
    <w:p>
      <w:pPr>
        <w:ind w:left="1220" w:right="260" w:hanging="500"/>
        <w:spacing w:after="0" w:line="276" w:lineRule="auto"/>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expenditures that we will or may incur to acquire or develop additional product candidates and technologies or other assets;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outcomes of clinical trials for any of our product candidates, or competing product candidates;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the need to conduct unanticipated clinical trials or trials that are larger or more complex than anticipated;</w:t>
      </w:r>
    </w:p>
    <w:p>
      <w:pPr>
        <w:spacing w:after="0" w:line="133" w:lineRule="exact"/>
        <w:rPr>
          <w:rFonts w:ascii="Arial" w:cs="Arial" w:eastAsia="Arial" w:hAnsi="Arial"/>
          <w:sz w:val="20"/>
          <w:szCs w:val="20"/>
          <w:color w:val="231F20"/>
        </w:rPr>
      </w:pPr>
    </w:p>
    <w:p>
      <w:pPr>
        <w:ind w:left="1220" w:right="140" w:hanging="500"/>
        <w:spacing w:after="0" w:line="276" w:lineRule="auto"/>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competition from existing and potential future products that compete with any of our product candidates, and changes in the competitive landscape of our industry, including consolidation among our competitors or partners;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any delays in regulatory review or approval of any of our product candidates;</w:t>
      </w:r>
    </w:p>
    <w:p>
      <w:pPr>
        <w:spacing w:after="0" w:line="133" w:lineRule="exact"/>
        <w:rPr>
          <w:rFonts w:ascii="Arial" w:cs="Arial" w:eastAsia="Arial" w:hAnsi="Arial"/>
          <w:sz w:val="20"/>
          <w:szCs w:val="20"/>
          <w:color w:val="231F20"/>
        </w:rPr>
      </w:pPr>
    </w:p>
    <w:p>
      <w:pPr>
        <w:ind w:left="1220" w:hanging="500"/>
        <w:spacing w:after="0" w:line="276" w:lineRule="auto"/>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the level of demand for any of our product candidates, if approved, which may fluctuate significantly and be difficult to predict;</w:t>
      </w:r>
    </w:p>
    <w:p>
      <w:pPr>
        <w:spacing w:after="0" w:line="64" w:lineRule="exact"/>
        <w:rPr>
          <w:rFonts w:ascii="Arial" w:cs="Arial" w:eastAsia="Arial" w:hAnsi="Arial"/>
          <w:sz w:val="20"/>
          <w:szCs w:val="20"/>
          <w:color w:val="231F20"/>
        </w:rPr>
      </w:pPr>
    </w:p>
    <w:p>
      <w:pPr>
        <w:ind w:left="1220" w:right="600" w:hanging="500"/>
        <w:spacing w:after="0" w:line="276" w:lineRule="auto"/>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risk/benefit profile, cost and reimbursement policies with respect to our product candidates, if approved, and existing and potential future products that compete with any of our product candidates;</w:t>
      </w:r>
    </w:p>
    <w:p>
      <w:pPr>
        <w:spacing w:after="0" w:line="64" w:lineRule="exact"/>
        <w:rPr>
          <w:rFonts w:ascii="Arial" w:cs="Arial" w:eastAsia="Arial" w:hAnsi="Arial"/>
          <w:sz w:val="20"/>
          <w:szCs w:val="20"/>
          <w:color w:val="231F20"/>
        </w:rPr>
      </w:pPr>
    </w:p>
    <w:p>
      <w:pPr>
        <w:ind w:left="1220" w:right="140" w:hanging="500"/>
        <w:spacing w:after="0" w:line="276" w:lineRule="auto"/>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commercialize any of our product candidates, if approved, inside and outside of the United States, either independently or working with third parties;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establish and maintain collaborations, licensing or other arrangements;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adequately support future growth;</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unforeseen business disruptions that increase our costs or expenses;</w:t>
      </w:r>
    </w:p>
    <w:p>
      <w:pPr>
        <w:sectPr>
          <w:pgSz w:w="11880" w:h="15480" w:orient="portrait"/>
          <w:cols w:equalWidth="0" w:num="1">
            <w:col w:w="10780"/>
          </w:cols>
          <w:pgMar w:left="540" w:top="764" w:right="560" w:bottom="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10780"/>
          </w:cols>
          <w:pgMar w:left="540" w:top="764" w:right="560" w:bottom="0" w:gutter="0" w:footer="0" w:header="0"/>
          <w:type w:val="continuous"/>
        </w:sectPr>
      </w:pPr>
    </w:p>
    <w:bookmarkStart w:id="97" w:name="page98"/>
    <w:bookmarkEnd w:id="97"/>
    <w:p>
      <w:pPr>
        <w:ind w:left="1220" w:hanging="500"/>
        <w:spacing w:after="0"/>
        <w:tabs>
          <w:tab w:leader="none" w:pos="122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future accounting pronouncements or changes in our accounting policies; and</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7"/>
        </w:numPr>
        <w:rPr>
          <w:rFonts w:ascii="Arial" w:cs="Arial" w:eastAsia="Arial" w:hAnsi="Arial"/>
          <w:sz w:val="20"/>
          <w:szCs w:val="20"/>
          <w:color w:val="231F20"/>
        </w:rPr>
      </w:pPr>
      <w:r>
        <w:rPr>
          <w:rFonts w:ascii="Times New Roman" w:cs="Times New Roman" w:eastAsia="Times New Roman" w:hAnsi="Times New Roman"/>
          <w:sz w:val="20"/>
          <w:szCs w:val="20"/>
          <w:color w:val="231F20"/>
        </w:rPr>
        <w:t>the changing and volatile global economic and political environment.</w:t>
      </w:r>
    </w:p>
    <w:p>
      <w:pPr>
        <w:spacing w:after="0" w:line="119"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8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principal stockholders and management own a significant percentage of our stock and will be able to exert significant control over matters subject to stockholder approval.</w:t>
      </w:r>
    </w:p>
    <w:p>
      <w:pPr>
        <w:spacing w:after="0" w:line="49"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231F20"/>
        </w:rPr>
        <w:t>As of December 31, 2025, our executive officers, directors, holders of 5% or more of our common stock and their respective affiliates beneficially owned a significant percentage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Sales of a substantial number of shares of our common stock in the public market could cause our stock price to fall.</w:t>
      </w:r>
    </w:p>
    <w:p>
      <w:pPr>
        <w:spacing w:after="0" w:line="120"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231F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6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For example, on June 11, 2025, we filed a Form S-3 registration statement, which the SEC declared effective on June 20, 2025, registering 14,130,313 shares of our common stock and 5,100,532 shares of our common stock underlying pre-funded warrants sold in a private placement on May 29, 2025. On December 15, 2023, we filed a Form S-3 registration statement, which the SEC declared effective on December 28, 2023, registering 9,285,710 shares of our common stock and 2,857,142 shares of our common stock underlying pre-funded warrants sold in a private placement on June 27, 2023. In addition, on January 26, 2024, we filed a Form S-3 registration statement, which the SEC declared effective on February 2, 2024, registering 12,500,000 shares of our common stock sold in a private placement on January 23, 2024. Any sales of securities by these stockholders could have a material adverse effect on the market price for our common stock.</w:t>
      </w:r>
    </w:p>
    <w:p>
      <w:pPr>
        <w:spacing w:after="0" w:line="89"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spacing w:after="0" w:line="6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As a public company, we incur significant legal, accounting and other expenses that we did not incur as a private company, and these expenses may increase even more now that we are no longer an “emerging growth company” or a “smaller reporting company” as of December 31, 2025. We are subject to the reporting requirements of the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6" w:lineRule="exact"/>
        <w:rPr>
          <w:sz w:val="20"/>
          <w:szCs w:val="20"/>
          <w:color w:val="auto"/>
        </w:rPr>
      </w:pPr>
    </w:p>
    <w:p>
      <w:pPr>
        <w:ind w:right="100" w:firstLine="720"/>
        <w:spacing w:after="0" w:line="265" w:lineRule="auto"/>
        <w:rPr>
          <w:sz w:val="20"/>
          <w:szCs w:val="20"/>
          <w:color w:val="auto"/>
        </w:rPr>
      </w:pPr>
      <w:r>
        <w:rPr>
          <w:rFonts w:ascii="Times New Roman" w:cs="Times New Roman" w:eastAsia="Times New Roman" w:hAnsi="Times New Roman"/>
          <w:sz w:val="19"/>
          <w:szCs w:val="19"/>
          <w:color w:val="231F20"/>
        </w:rPr>
        <w:t>In addition, 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 non-accelerated filer,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w:t>
      </w:r>
    </w:p>
    <w:p>
      <w:pPr>
        <w:sectPr>
          <w:pgSz w:w="11880" w:h="15480" w:orient="portrait"/>
          <w:cols w:equalWidth="0" w:num="1">
            <w:col w:w="10780"/>
          </w:cols>
          <w:pgMar w:left="540" w:top="764" w:right="560" w:bottom="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10780"/>
          </w:cols>
          <w:pgMar w:left="540" w:top="764" w:right="560" w:bottom="0" w:gutter="0" w:footer="0" w:header="0"/>
          <w:type w:val="continuous"/>
        </w:sectPr>
      </w:pPr>
    </w:p>
    <w:bookmarkStart w:id="98" w:name="page99"/>
    <w:bookmarkEnd w:id="98"/>
    <w:p>
      <w:pPr>
        <w:ind w:right="160"/>
        <w:spacing w:after="0" w:line="249" w:lineRule="auto"/>
        <w:rPr>
          <w:sz w:val="20"/>
          <w:szCs w:val="20"/>
          <w:color w:val="auto"/>
        </w:rPr>
      </w:pPr>
      <w:r>
        <w:rPr>
          <w:rFonts w:ascii="Times New Roman" w:cs="Times New Roman" w:eastAsia="Times New Roman" w:hAnsi="Times New Roman"/>
          <w:sz w:val="20"/>
          <w:szCs w:val="20"/>
          <w:color w:val="231F20"/>
        </w:rPr>
        <w:t>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77"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2"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disclosure controls and procedures may not prevent or detect all errors or acts of fraud.</w:t>
      </w:r>
    </w:p>
    <w:p>
      <w:pPr>
        <w:spacing w:after="0" w:line="120"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7"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subject to securities litigation, which is expensive and could divert management attention.</w:t>
      </w:r>
    </w:p>
    <w:p>
      <w:pPr>
        <w:spacing w:after="0" w:line="120"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231F20"/>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do not intend to pay dividends on our common stock so any returns will be limited to the value of our stock.</w:t>
      </w:r>
    </w:p>
    <w:p>
      <w:pPr>
        <w:spacing w:after="0" w:line="120" w:lineRule="exact"/>
        <w:rPr>
          <w:sz w:val="20"/>
          <w:szCs w:val="20"/>
          <w:color w:val="auto"/>
        </w:rPr>
      </w:pPr>
    </w:p>
    <w:p>
      <w:pPr>
        <w:jc w:val="both"/>
        <w:ind w:right="180" w:firstLine="720"/>
        <w:spacing w:after="0" w:line="278" w:lineRule="auto"/>
        <w:rPr>
          <w:sz w:val="20"/>
          <w:szCs w:val="20"/>
          <w:color w:val="auto"/>
        </w:rPr>
      </w:pPr>
      <w:r>
        <w:rPr>
          <w:rFonts w:ascii="Times New Roman" w:cs="Times New Roman" w:eastAsia="Times New Roman" w:hAnsi="Times New Roman"/>
          <w:sz w:val="19"/>
          <w:szCs w:val="19"/>
          <w:color w:val="231F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5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68" w:lineRule="exact"/>
        <w:rPr>
          <w:sz w:val="20"/>
          <w:szCs w:val="20"/>
          <w:color w:val="auto"/>
        </w:rPr>
      </w:pPr>
    </w:p>
    <w:p>
      <w:pPr>
        <w:jc w:val="both"/>
        <w:ind w:right="40" w:firstLine="720"/>
        <w:spacing w:after="0" w:line="258" w:lineRule="auto"/>
        <w:rPr>
          <w:sz w:val="20"/>
          <w:szCs w:val="20"/>
          <w:color w:val="auto"/>
        </w:rPr>
      </w:pPr>
      <w:r>
        <w:rPr>
          <w:rFonts w:ascii="Times New Roman" w:cs="Times New Roman" w:eastAsia="Times New Roman" w:hAnsi="Times New Roman"/>
          <w:sz w:val="20"/>
          <w:szCs w:val="20"/>
          <w:color w:val="231F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83" w:lineRule="exact"/>
        <w:rPr>
          <w:sz w:val="20"/>
          <w:szCs w:val="20"/>
          <w:color w:val="auto"/>
        </w:rPr>
      </w:pPr>
    </w:p>
    <w:p>
      <w:pPr>
        <w:ind w:left="1220" w:hanging="500"/>
        <w:spacing w:after="0"/>
        <w:tabs>
          <w:tab w:leader="none" w:pos="122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a classified board of directors so that not all members of our board are elected at one time;</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permit only the board of directors to establish the number of directors and fill vacancies on the board;</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provide that directors may only be removed “for cause” and only with the approval of two-thirds of our stockholders;</w:t>
      </w:r>
    </w:p>
    <w:p>
      <w:pPr>
        <w:spacing w:after="0" w:line="133" w:lineRule="exact"/>
        <w:rPr>
          <w:rFonts w:ascii="Arial" w:cs="Arial" w:eastAsia="Arial" w:hAnsi="Arial"/>
          <w:sz w:val="20"/>
          <w:szCs w:val="20"/>
          <w:color w:val="231F20"/>
        </w:rPr>
      </w:pPr>
    </w:p>
    <w:p>
      <w:pPr>
        <w:ind w:left="1220" w:right="40" w:hanging="500"/>
        <w:spacing w:after="0" w:line="276" w:lineRule="auto"/>
        <w:tabs>
          <w:tab w:leader="none" w:pos="122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authorize the issuance of “blank check” preferred stock that our board could use to implement a stockholder rights plan (also known as a “poison pill”);</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color w:val="231F20"/>
        </w:rPr>
        <w:t>eliminate the ability of our stockholders to call special meetings of stockholders;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10800"/>
          </w:cols>
          <w:pgMar w:left="540" w:top="750" w:right="540" w:bottom="0" w:gutter="0" w:footer="0" w:header="0"/>
          <w:type w:val="continuous"/>
        </w:sectPr>
      </w:pPr>
    </w:p>
    <w:bookmarkStart w:id="99" w:name="page100"/>
    <w:bookmarkEnd w:id="99"/>
    <w:p>
      <w:pPr>
        <w:ind w:left="1220" w:right="260" w:hanging="500"/>
        <w:spacing w:after="0" w:line="276" w:lineRule="auto"/>
        <w:tabs>
          <w:tab w:leader="none" w:pos="122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prohibit stockholder action by written consent, which requires all stockholder actions to be taken at a meeting of our stockholders;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prohibit cumulative voting;</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authorize our board of directors to amend the bylaws;</w:t>
      </w:r>
    </w:p>
    <w:p>
      <w:pPr>
        <w:spacing w:after="0" w:line="133" w:lineRule="exact"/>
        <w:rPr>
          <w:rFonts w:ascii="Arial" w:cs="Arial" w:eastAsia="Arial" w:hAnsi="Arial"/>
          <w:sz w:val="20"/>
          <w:szCs w:val="20"/>
          <w:color w:val="231F20"/>
        </w:rPr>
      </w:pPr>
    </w:p>
    <w:p>
      <w:pPr>
        <w:ind w:left="1220" w:right="300" w:hanging="500"/>
        <w:spacing w:after="0" w:line="276" w:lineRule="auto"/>
        <w:tabs>
          <w:tab w:leader="none" w:pos="122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advance notice requirements for nominations for election to our board or for proposing matters that can be acted upon by stockholders at annual stockholder meetings; and</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 a super-majority vote of stockholders to amend some provisions described above.</w:t>
      </w:r>
    </w:p>
    <w:p>
      <w:pPr>
        <w:spacing w:after="0" w:line="119" w:lineRule="exact"/>
        <w:rPr>
          <w:sz w:val="20"/>
          <w:szCs w:val="20"/>
          <w:color w:val="auto"/>
        </w:rPr>
      </w:pPr>
    </w:p>
    <w:p>
      <w:pPr>
        <w:ind w:firstLine="720"/>
        <w:spacing w:after="0" w:line="270" w:lineRule="auto"/>
        <w:rPr>
          <w:sz w:val="20"/>
          <w:szCs w:val="20"/>
          <w:color w:val="auto"/>
        </w:rPr>
      </w:pPr>
      <w:r>
        <w:rPr>
          <w:rFonts w:ascii="Times New Roman" w:cs="Times New Roman" w:eastAsia="Times New Roman" w:hAnsi="Times New Roman"/>
          <w:sz w:val="19"/>
          <w:szCs w:val="19"/>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57" w:lineRule="exact"/>
        <w:rPr>
          <w:sz w:val="20"/>
          <w:szCs w:val="20"/>
          <w:color w:val="auto"/>
        </w:rPr>
      </w:pPr>
    </w:p>
    <w:p>
      <w:pPr>
        <w:jc w:val="both"/>
        <w:ind w:right="160" w:firstLine="720"/>
        <w:spacing w:after="0" w:line="258" w:lineRule="auto"/>
        <w:rPr>
          <w:sz w:val="20"/>
          <w:szCs w:val="20"/>
          <w:color w:val="auto"/>
        </w:rPr>
      </w:pPr>
      <w:r>
        <w:rPr>
          <w:rFonts w:ascii="Times New Roman" w:cs="Times New Roman" w:eastAsia="Times New Roman" w:hAnsi="Times New Roman"/>
          <w:sz w:val="20"/>
          <w:szCs w:val="20"/>
          <w:color w:val="231F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spacing w:after="0" w:line="6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94" w:lineRule="exact"/>
        <w:rPr>
          <w:sz w:val="20"/>
          <w:szCs w:val="20"/>
          <w:color w:val="auto"/>
        </w:rPr>
      </w:pPr>
    </w:p>
    <w:p>
      <w:pPr>
        <w:ind w:left="1220" w:hanging="500"/>
        <w:spacing w:after="0"/>
        <w:tabs>
          <w:tab w:leader="none" w:pos="122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color w:val="231F20"/>
        </w:rPr>
        <w:t>any derivative action or proceeding brought on our behalf;</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color w:val="231F20"/>
        </w:rPr>
        <w:t>any action asserting a claim of breach of fiduciary duty;</w:t>
      </w:r>
    </w:p>
    <w:p>
      <w:pPr>
        <w:spacing w:after="0" w:line="133" w:lineRule="exact"/>
        <w:rPr>
          <w:rFonts w:ascii="Arial" w:cs="Arial" w:eastAsia="Arial" w:hAnsi="Arial"/>
          <w:sz w:val="20"/>
          <w:szCs w:val="20"/>
          <w:color w:val="231F20"/>
        </w:rPr>
      </w:pPr>
    </w:p>
    <w:p>
      <w:pPr>
        <w:ind w:left="1220" w:right="180" w:hanging="500"/>
        <w:spacing w:after="0" w:line="276" w:lineRule="auto"/>
        <w:tabs>
          <w:tab w:leader="none" w:pos="122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color w:val="231F20"/>
        </w:rPr>
        <w:t>any action asserting a claim against us arising under the DGCL, our amended and restated certificate of incorporation or our amended and restated bylaws; and</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color w:val="231F20"/>
        </w:rPr>
        <w:t>any action asserting a claim against us that is governed by the internal-affairs doctrine.</w:t>
      </w:r>
    </w:p>
    <w:p>
      <w:pPr>
        <w:spacing w:after="0" w:line="119" w:lineRule="exact"/>
        <w:rPr>
          <w:sz w:val="20"/>
          <w:szCs w:val="20"/>
          <w:color w:val="auto"/>
        </w:rPr>
      </w:pPr>
    </w:p>
    <w:p>
      <w:pPr>
        <w:ind w:right="240" w:firstLine="720"/>
        <w:spacing w:after="0" w:line="277" w:lineRule="auto"/>
        <w:rPr>
          <w:sz w:val="20"/>
          <w:szCs w:val="20"/>
          <w:color w:val="auto"/>
        </w:rPr>
      </w:pPr>
      <w:r>
        <w:rPr>
          <w:rFonts w:ascii="Times New Roman" w:cs="Times New Roman" w:eastAsia="Times New Roman" w:hAnsi="Times New Roman"/>
          <w:sz w:val="20"/>
          <w:szCs w:val="20"/>
          <w:color w:val="231F20"/>
        </w:rPr>
        <w:t>This provision does not apply to suits brought to enforce a duty or liability created by the Exchange Act or any other claim for which the U.S. federal courts have exclusive jurisdiction.</w:t>
      </w:r>
    </w:p>
    <w:p>
      <w:pPr>
        <w:spacing w:after="0" w:line="49" w:lineRule="exact"/>
        <w:rPr>
          <w:sz w:val="20"/>
          <w:szCs w:val="20"/>
          <w:color w:val="auto"/>
        </w:rPr>
      </w:pPr>
    </w:p>
    <w:p>
      <w:pPr>
        <w:ind w:right="220" w:firstLine="720"/>
        <w:spacing w:after="0" w:line="277" w:lineRule="auto"/>
        <w:rPr>
          <w:sz w:val="20"/>
          <w:szCs w:val="20"/>
          <w:color w:val="auto"/>
        </w:rPr>
      </w:pPr>
      <w:r>
        <w:rPr>
          <w:rFonts w:ascii="Times New Roman" w:cs="Times New Roman" w:eastAsia="Times New Roman" w:hAnsi="Times New Roman"/>
          <w:sz w:val="20"/>
          <w:szCs w:val="20"/>
          <w:color w:val="231F20"/>
        </w:rPr>
        <w:t>Our amended and restated bylaws further provide that the federal district courts of the United States of America will be the exclusive forum for resolving any complaint asserting a cause of action arising under the Securities Act.</w:t>
      </w:r>
    </w:p>
    <w:p>
      <w:pPr>
        <w:spacing w:after="0" w:line="49"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77" w:lineRule="exact"/>
        <w:rPr>
          <w:sz w:val="20"/>
          <w:szCs w:val="20"/>
          <w:color w:val="auto"/>
        </w:rPr>
      </w:pPr>
    </w:p>
    <w:p>
      <w:pPr>
        <w:jc w:val="both"/>
        <w:ind w:right="140" w:firstLine="720"/>
        <w:spacing w:after="0" w:line="258" w:lineRule="auto"/>
        <w:rPr>
          <w:sz w:val="20"/>
          <w:szCs w:val="20"/>
          <w:color w:val="auto"/>
        </w:rPr>
      </w:pPr>
      <w:r>
        <w:rPr>
          <w:rFonts w:ascii="Times New Roman" w:cs="Times New Roman" w:eastAsia="Times New Roman" w:hAnsi="Times New Roman"/>
          <w:sz w:val="20"/>
          <w:szCs w:val="20"/>
          <w:color w:val="231F20"/>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1B. Unresolved Staff Comments.</w:t>
      </w:r>
    </w:p>
    <w:p>
      <w:pPr>
        <w:spacing w:after="0" w:line="1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780"/>
          </w:cols>
          <w:pgMar w:left="540" w:top="76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10780"/>
          </w:cols>
          <w:pgMar w:left="540" w:top="764" w:right="56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b w:val="1"/>
          <w:bCs w:val="1"/>
          <w:color w:val="231F20"/>
        </w:rPr>
        <w:t>Item 1C. Cybersecurity.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Management and Strategy</w:t>
      </w:r>
    </w:p>
    <w:p>
      <w:pPr>
        <w:spacing w:after="0" w:line="124"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We have established policies and processes for assessing, identifying, and managing material risk from cybersecurity threats, and have integrated these processes into our overall risk management systems and processes. We periodically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77"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231F20"/>
        </w:rPr>
        <w:t>We conduct annual risk assessments and penetration tests to identify cybersecurity threats, including assessments and tests with the assistance of independent third-party cybersecurity consultants. We also conduct assessments in the event of a material change in our business practices that may affect key information systems that are vulnerable to such cybersecurity threats. These assessments and tests are designed to assist in the identification of reasonably foreseeable internal and external risks, the likelihood and potential damage that could result from such risks, and the sufficiency of existing policies, procedures, systems, and safeguards in place to manage such risks. Following risk assessments and penetration tests, we work to re-design, implement, update, and maintain reasonable safeguards to minimize identified risks; reasonably address any identified gaps in existing safeguards; and monitor the effectiveness of our safeguards.</w:t>
      </w:r>
    </w:p>
    <w:p>
      <w:pPr>
        <w:spacing w:after="0" w:line="82" w:lineRule="exact"/>
        <w:rPr>
          <w:sz w:val="20"/>
          <w:szCs w:val="20"/>
          <w:color w:val="auto"/>
        </w:rPr>
      </w:pPr>
    </w:p>
    <w:p>
      <w:pPr>
        <w:ind w:right="100" w:firstLine="720"/>
        <w:spacing w:after="0" w:line="305" w:lineRule="auto"/>
        <w:rPr>
          <w:sz w:val="20"/>
          <w:szCs w:val="20"/>
          <w:color w:val="auto"/>
        </w:rPr>
      </w:pPr>
      <w:r>
        <w:rPr>
          <w:rFonts w:ascii="Times New Roman" w:cs="Times New Roman" w:eastAsia="Times New Roman" w:hAnsi="Times New Roman"/>
          <w:sz w:val="19"/>
          <w:szCs w:val="19"/>
          <w:color w:val="231F20"/>
        </w:rPr>
        <w:t>As part of our risk management system, we also periodically provide company-wide cybersecurity training to our employees on these safeguards. Personnel at all levels and departments are made aware of our cybersecurity policies through trainings.</w:t>
      </w:r>
    </w:p>
    <w:p>
      <w:pPr>
        <w:spacing w:after="0" w:line="25"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231F20"/>
        </w:rPr>
        <w:t>We engage with external cybersecurity consultants to help design and implement our cybersecurity policies and procedures, as well as to monitor and test the effectiveness of our safeguards. The head of information technology (IT), supported by external cybersecurity consultants and the IT Department, implements our cybersecurity risk management system. The head of IT regularly reports on cybersecurity matters to the Chief Financial Officer.</w:t>
      </w:r>
    </w:p>
    <w:p>
      <w:pPr>
        <w:spacing w:after="0" w:line="74"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231F20"/>
        </w:rPr>
        <w:t>We evaluate the security practices of certain third-party service providers to identify potential cybersecurity risks, including by reviewing documentation concerning their security measures. Where appropriate, including for third-party contracts under which our data will be stored, we contractually obligate providers to implement and maintain reasonable administrative, technical, and physical safeguards and other security measures designed to maintain the confidentiality, security and integrity of our data, and to promptly report any suspected breach of its security measures that may affect our company.</w:t>
      </w:r>
    </w:p>
    <w:p>
      <w:pPr>
        <w:spacing w:after="0" w:line="77"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 entitled “Our internal computer systems, or those of any of our CROs, manufacturers, other contractors or consultants or potential future collaborators, may fail or suffer security or data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12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has ultimate responsibility for oversight of cybersecurity risks, but primary responsibility for cybersecurity risk oversight has been delegated to the audit committee.</w:t>
      </w:r>
    </w:p>
    <w:p>
      <w:pPr>
        <w:spacing w:after="0" w:line="77"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231F20"/>
        </w:rPr>
        <w:t>Our Chief Financial Officer and head of IT, advised by external cybersecurity consultants, are primarily responsible for assessing and managing our material risks from cybersecurity threats. Our head of IT has over 25 years of experience in information technology roles and over 8 years of experience in security roles in the biotechnology industry. Our Chief Financial Officer has approximately 7 years of experience overseeing IT-related processes (including cybersecurity processes).</w:t>
      </w:r>
    </w:p>
    <w:p>
      <w:pPr>
        <w:spacing w:after="0" w:line="74"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19"/>
          <w:szCs w:val="19"/>
          <w:color w:val="231F20"/>
        </w:rPr>
        <w:t>The processes by which our Chief Financial Officer and our senior management are informed about and monitor the prevention, detection, mitigation, and remediation of cybersecurity incidents includes regular updates from the head of IT to the Chief Financial Officer, as well as periodic reports, as needed, from the Chief Financial Officer and the head of IT to senior management.</w:t>
      </w:r>
    </w:p>
    <w:p>
      <w:pPr>
        <w:spacing w:after="0" w:line="51" w:lineRule="exact"/>
        <w:rPr>
          <w:sz w:val="20"/>
          <w:szCs w:val="20"/>
          <w:color w:val="auto"/>
        </w:rPr>
      </w:pPr>
    </w:p>
    <w:p>
      <w:pPr>
        <w:ind w:right="300" w:firstLine="720"/>
        <w:spacing w:after="0" w:line="258" w:lineRule="auto"/>
        <w:rPr>
          <w:sz w:val="20"/>
          <w:szCs w:val="20"/>
          <w:color w:val="auto"/>
        </w:rPr>
      </w:pPr>
      <w:r>
        <w:rPr>
          <w:rFonts w:ascii="Times New Roman" w:cs="Times New Roman" w:eastAsia="Times New Roman" w:hAnsi="Times New Roman"/>
          <w:sz w:val="20"/>
          <w:szCs w:val="20"/>
          <w:color w:val="231F20"/>
        </w:rPr>
        <w:t>Our Chief Financial Officer and head of IT provide periodic briefings to the audit committee regarding our company’s cybersecurity risks and activities, including any recent cybersecurity incidents and related responses, cybersecurity systems testing, activities of third parties, and the like. Our audit committee provides updates to the board of directors on such reports.</w:t>
      </w:r>
    </w:p>
    <w:p>
      <w:pPr>
        <w:sectPr>
          <w:pgSz w:w="11880" w:h="15480" w:orient="portrait"/>
          <w:cols w:equalWidth="0" w:num="1">
            <w:col w:w="10800"/>
          </w:cols>
          <w:pgMar w:left="540" w:top="74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10800"/>
          </w:cols>
          <w:pgMar w:left="540" w:top="743" w:right="54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b w:val="1"/>
          <w:bCs w:val="1"/>
          <w:color w:val="231F20"/>
        </w:rPr>
        <w:t>Item 2. Properties.</w:t>
      </w:r>
    </w:p>
    <w:p>
      <w:pPr>
        <w:spacing w:after="0" w:line="127"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Our corporate headquarters are located in South San Francisco, California, where we lease 33,663 square feet of office, research and laboratory space, under a non-cancelable lease that expires in May 2028 with an option to renew for an additional one-year term. We are also under agreement to lease 13,041 square feet of office space and research and development space in San Diego, California through February 2028 with an option to renew for one period of two years. We believe that these existing facilities will be adequate for our near-term needs. If required, we believe that suitable additional or alternative space would be available in the future on commercially reasonable terms.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3. Legal Proceedings.</w:t>
      </w:r>
    </w:p>
    <w:p>
      <w:pPr>
        <w:spacing w:after="0" w:line="12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4. Mine Safety Disclosures.</w:t>
      </w:r>
    </w:p>
    <w:p>
      <w:pPr>
        <w:spacing w:after="0" w:line="1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740"/>
          </w:cols>
          <w:pgMar w:left="540" w:top="74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10740"/>
          </w:cols>
          <w:pgMar w:left="540" w:top="743" w:right="600" w:bottom="0" w:gutter="0" w:footer="0" w:header="0"/>
          <w:type w:val="continuous"/>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37"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2"/>
          <w:szCs w:val="22"/>
          <w:b w:val="1"/>
          <w:bCs w:val="1"/>
          <w:color w:val="231F20"/>
        </w:rPr>
        <w:t>Item 5. Market for Registrant’s Common Equity, Related Stockholder Matters and Issuer Purchases of Equity Securities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 Information for Our Common Stock</w:t>
      </w:r>
    </w:p>
    <w:p>
      <w:pPr>
        <w:spacing w:after="0" w:line="124" w:lineRule="exact"/>
        <w:rPr>
          <w:sz w:val="20"/>
          <w:szCs w:val="20"/>
          <w:color w:val="auto"/>
        </w:rPr>
      </w:pPr>
    </w:p>
    <w:p>
      <w:pPr>
        <w:jc w:val="both"/>
        <w:ind w:right="200" w:firstLine="720"/>
        <w:spacing w:after="0" w:line="277" w:lineRule="auto"/>
        <w:rPr>
          <w:sz w:val="20"/>
          <w:szCs w:val="20"/>
          <w:color w:val="auto"/>
        </w:rPr>
      </w:pPr>
      <w:r>
        <w:rPr>
          <w:rFonts w:ascii="Times New Roman" w:cs="Times New Roman" w:eastAsia="Times New Roman" w:hAnsi="Times New Roman"/>
          <w:sz w:val="20"/>
          <w:szCs w:val="20"/>
          <w:color w:val="231F20"/>
        </w:rPr>
        <w:t>Our common stock has been publicly traded on the Nasdaq Global Select Market under the symbol “ORIC” since April 24, 2020. Prior to that date, there was no public trading market for our common stock.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Holders of Record</w:t>
      </w:r>
    </w:p>
    <w:p>
      <w:pPr>
        <w:spacing w:after="0" w:line="124" w:lineRule="exact"/>
        <w:rPr>
          <w:sz w:val="20"/>
          <w:szCs w:val="20"/>
          <w:color w:val="auto"/>
        </w:rPr>
      </w:pPr>
    </w:p>
    <w:p>
      <w:pPr>
        <w:jc w:val="both"/>
        <w:ind w:right="180" w:firstLine="720"/>
        <w:spacing w:after="0" w:line="258" w:lineRule="auto"/>
        <w:rPr>
          <w:sz w:val="20"/>
          <w:szCs w:val="20"/>
          <w:color w:val="auto"/>
        </w:rPr>
      </w:pPr>
      <w:r>
        <w:rPr>
          <w:rFonts w:ascii="Times New Roman" w:cs="Times New Roman" w:eastAsia="Times New Roman" w:hAnsi="Times New Roman"/>
          <w:sz w:val="20"/>
          <w:szCs w:val="20"/>
          <w:color w:val="231F20"/>
        </w:rPr>
        <w:t>As of December 31, 2025, there were approximately 23 stockholders of record of our common stock. The actual number of stockholders is greater than this number of record holders and includes stockholders who are beneficial owners but whose shares are held in street name by brokers and other nominees.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 Policy</w:t>
      </w:r>
    </w:p>
    <w:p>
      <w:pPr>
        <w:spacing w:after="0" w:line="12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Sales of Unregistered Securities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Use of Proceeds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Purchases of Equity Securities by the Issuer and Affiliated Purchasers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6. [Reserved]</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10780"/>
          </w:cols>
          <w:pgMar w:left="540" w:top="746" w:right="56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b w:val="1"/>
          <w:bCs w:val="1"/>
          <w:color w:val="231F20"/>
        </w:rPr>
        <w:t>Item 7. Management’s Discussion and Analysis of Financial Condition and Results of Operations.</w:t>
      </w:r>
    </w:p>
    <w:p>
      <w:pPr>
        <w:spacing w:after="0" w:line="140"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i w:val="1"/>
          <w:iCs w:val="1"/>
          <w:color w:val="231F20"/>
        </w:rPr>
        <w:t>You should read the following discussion and analysis of our financial condition and results of operations together with our financial statements and related notes included elsewhere in this Annual Report on Form 10-K. This discussion contains forward-looking statements that involve risks and uncertainties, including those described in the section titled “Special Note Regarding Forward-Looking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F4F51"/>
        </w:rPr>
        <w:t>Overview</w:t>
      </w:r>
    </w:p>
    <w:p>
      <w:pPr>
        <w:spacing w:after="0" w:line="124" w:lineRule="exact"/>
        <w:rPr>
          <w:sz w:val="20"/>
          <w:szCs w:val="20"/>
          <w:color w:val="auto"/>
        </w:rPr>
      </w:pPr>
    </w:p>
    <w:p>
      <w:pPr>
        <w:ind w:right="140" w:firstLine="720"/>
        <w:spacing w:after="0" w:line="277" w:lineRule="auto"/>
        <w:rPr>
          <w:sz w:val="20"/>
          <w:szCs w:val="20"/>
          <w:color w:val="auto"/>
        </w:rPr>
      </w:pPr>
      <w:r>
        <w:rPr>
          <w:rFonts w:ascii="Times New Roman" w:cs="Times New Roman" w:eastAsia="Times New Roman" w:hAnsi="Times New Roman"/>
          <w:sz w:val="20"/>
          <w:szCs w:val="20"/>
          <w:color w:val="231F20"/>
        </w:rPr>
        <w:t xml:space="preserve">ORIC Pharmaceuticals is a clinical-stage biopharmaceutical company dedicated to improving patients’ lives by </w:t>
      </w:r>
      <w:r>
        <w:rPr>
          <w:rFonts w:ascii="Times New Roman" w:cs="Times New Roman" w:eastAsia="Times New Roman" w:hAnsi="Times New Roman"/>
          <w:sz w:val="20"/>
          <w:szCs w:val="20"/>
          <w:i w:val="1"/>
          <w:iCs w:val="1"/>
          <w:u w:val="single" w:color="auto"/>
          <w:color w:val="231F20"/>
        </w:rPr>
        <w:t>O</w:t>
      </w:r>
      <w:r>
        <w:rPr>
          <w:rFonts w:ascii="Times New Roman" w:cs="Times New Roman" w:eastAsia="Times New Roman" w:hAnsi="Times New Roman"/>
          <w:sz w:val="20"/>
          <w:szCs w:val="20"/>
          <w:i w:val="1"/>
          <w:iCs w:val="1"/>
          <w:color w:val="231F20"/>
        </w:rPr>
        <w:t>vercoming</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u w:val="single" w:color="auto"/>
          <w:color w:val="231F20"/>
        </w:rPr>
        <w:t>R</w:t>
      </w:r>
      <w:r>
        <w:rPr>
          <w:rFonts w:ascii="Times New Roman" w:cs="Times New Roman" w:eastAsia="Times New Roman" w:hAnsi="Times New Roman"/>
          <w:sz w:val="20"/>
          <w:szCs w:val="20"/>
          <w:i w:val="1"/>
          <w:iCs w:val="1"/>
          <w:color w:val="231F20"/>
        </w:rPr>
        <w:t xml:space="preserve">esistance </w:t>
      </w:r>
      <w:r>
        <w:rPr>
          <w:rFonts w:ascii="Times New Roman" w:cs="Times New Roman" w:eastAsia="Times New Roman" w:hAnsi="Times New Roman"/>
          <w:sz w:val="20"/>
          <w:szCs w:val="20"/>
          <w:i w:val="1"/>
          <w:iCs w:val="1"/>
          <w:u w:val="single" w:color="auto"/>
          <w:color w:val="231F20"/>
        </w:rPr>
        <w:t>I</w:t>
      </w:r>
      <w:r>
        <w:rPr>
          <w:rFonts w:ascii="Times New Roman" w:cs="Times New Roman" w:eastAsia="Times New Roman" w:hAnsi="Times New Roman"/>
          <w:sz w:val="20"/>
          <w:szCs w:val="20"/>
          <w:i w:val="1"/>
          <w:iCs w:val="1"/>
          <w:color w:val="231F20"/>
        </w:rPr>
        <w:t xml:space="preserve">n </w:t>
      </w:r>
      <w:r>
        <w:rPr>
          <w:rFonts w:ascii="Times New Roman" w:cs="Times New Roman" w:eastAsia="Times New Roman" w:hAnsi="Times New Roman"/>
          <w:sz w:val="20"/>
          <w:szCs w:val="20"/>
          <w:i w:val="1"/>
          <w:iCs w:val="1"/>
          <w:u w:val="single" w:color="auto"/>
          <w:color w:val="231F20"/>
        </w:rPr>
        <w:t>C</w:t>
      </w:r>
      <w:r>
        <w:rPr>
          <w:rFonts w:ascii="Times New Roman" w:cs="Times New Roman" w:eastAsia="Times New Roman" w:hAnsi="Times New Roman"/>
          <w:sz w:val="20"/>
          <w:szCs w:val="20"/>
          <w:i w:val="1"/>
          <w:iCs w:val="1"/>
          <w:color w:val="231F20"/>
        </w:rPr>
        <w:t>ancer.</w:t>
      </w:r>
    </w:p>
    <w:p>
      <w:pPr>
        <w:spacing w:after="0" w:line="49"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231F20"/>
        </w:rPr>
        <w:t>Our fully integrated research and development team is advancing a diverse pipeline of innovative clinical therapies designed to counter resistance mechanisms in cancer by leveraging our expertise within three specific areas: hormone-dependent cancers, precision oncology and key tumor dependencies.</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Our clinical stage product candidates include:</w:t>
      </w:r>
    </w:p>
    <w:p>
      <w:pPr>
        <w:spacing w:after="0" w:line="134" w:lineRule="exact"/>
        <w:rPr>
          <w:sz w:val="20"/>
          <w:szCs w:val="20"/>
          <w:color w:val="auto"/>
        </w:rPr>
      </w:pPr>
    </w:p>
    <w:p>
      <w:pPr>
        <w:ind w:left="1200" w:right="20" w:hanging="480"/>
        <w:spacing w:after="0" w:line="236" w:lineRule="auto"/>
        <w:tabs>
          <w:tab w:leader="none" w:pos="120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Rinzimetostat (formerly ORIC-944), an allosteric inhibitor of the PRC2 via the EED subunit, for which we licensed development and commercialization rights from Mirati with the Mirati License Agreement. We filed and cleared an IND with the FDA for rinzimetostat in the fourth quarter of 2021. We completed a Phase 1b trial of rinzimetostat as a single-agent, in patients with advanced prostate cancer and reported initial Phase 1b data from this trial in January 2024, demonstrating potential best-in-class drug properties, including an approximate 20-hour clinical half-life, robust target engagement and a favorable safety profile. In July 2024, we announced that in the first half of 2024 we initiated dosing of rinzimetostat in combination with apalutamide as well as in combination with darolutamide, as part of the ongoing Phase 1b trial in patients with mCRPC. We also announced that we entered into clinical trial collaboration and supply agreements with Johnson &amp; Johnson and Bayer, to evaluate rinzimetostat in combination with Erleada</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(apalutamide), Johnson &amp; Johnson’s AR inhibitor, and Nubeqa</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(darolutamide), Bayer’s AR inhibitor. In November 2025, we announced the completion of the dose exploration portion of the Phase 1b trial and the selection of RP2Ds of rinzimetostat to be tested in combination with the approved doses of darolutamide and apalutamide in the dose optimization portion of the Phase 1b trial: 400 mg and 600 mg QD of rinzimetostat in combination with 600 mg BID of darolutamide; and 600 mg, 800 mg and 1,200 mg QD of rinzimetostat in combination with 240 mg QD of apalutamide. Also, in November 2025, we reported Phase 1b dose exploration data in 20 patients with mCRPC, who were treated with rinzimetostat in combination with 240 mg QD of apalutamide or with 600 mg BID of darolutamide. The November 2025 data set (cutoff date of September 22, 2025) demonstrated PSA responses and ctDNA reductions across all rinzimetostat dose levels and at comparable rates in combination with apalutamide or with darolutamide. Broad and deep PSA responses were demonstrated, with 55% of patients achieving a PSA50 response rate (confirmed in 40%), and 20% of patients achieving a PSA90 response rate (all confirmed). Rapid and deep ctDNA responses were observed in patients across a breadth of AR mutations and other gene alterations, with 76% of patients achieving greater than 50% ctDNA reduction, and 59% of patients achieving ctDNA clearance. Both combination regimens demonstrated a safety profile compatible with long-term dosing, with the vast majority of TRAEs Grade 1 or 2 in severity and consistent with PRC2 and AR inhibition. As of the September 22, 2025 cutoff date, only one patient experienced a Grade 3 TRAE, and there were no Grade 4 or Grade 5 AEs attributed to rinzimetostat, apalutamide or darolutamide. We expect to report dose optimization data in the first quarter of 2026, and we expect to initiate our first global Phase 3 registrational trial for rinzimetostat in mCRPC in the first half of 2026.</w:t>
      </w:r>
    </w:p>
    <w:p>
      <w:pPr>
        <w:spacing w:after="0" w:line="101" w:lineRule="exact"/>
        <w:rPr>
          <w:rFonts w:ascii="Arial" w:cs="Arial" w:eastAsia="Arial" w:hAnsi="Arial"/>
          <w:sz w:val="20"/>
          <w:szCs w:val="20"/>
          <w:color w:val="231F20"/>
        </w:rPr>
      </w:pPr>
    </w:p>
    <w:p>
      <w:pPr>
        <w:ind w:left="1200" w:hanging="480"/>
        <w:spacing w:after="0" w:line="242" w:lineRule="auto"/>
        <w:tabs>
          <w:tab w:leader="none" w:pos="120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Enozertinib (formerly ORIC-114), a brain-penetrant, orally bioavailable, irreversible inhibitor targeting EGFR exon 20 and EGFR atypical mutations, for which we licensed development and commercialization rights from Voronoi with the Voronoi License Agreement. In the fourth quarter of 2021, we filed a CTA in South Korea for enozertinib, which was cleared in the first quarter of 2022. We also filed and cleared an IND with the FDA for enozertinib in the third quarter of 2022. Enozertinib is being evaluated in Phase 1b trials in EGFR exon 20 and PACC mutated NSCLC, which allow enrollment of patients with CNS metastases that are either treated or untreated but asymptomatic. We reported initial Phase 1b data with enozertinib as a monotherapy in patients with EGFR exon 20 mutations at the ESMO Congress in October 2023, which demonstrated both systemic and intracranial activity across multiple dose levels in a heavily pre-treated patient population. In April 2024, we announced the selection of two provisional RP2Ds of enozertinib at 80 mg and 120 mg QD. In December 2025, we reported additional Phase 1b data at the 2025 ESMO Asia Congress in treatment-naïve and in previously treated NSCLC patients with EGFR exon 20 and EGFR atypical mutations. EGFR atypical mutations are a heterogeneous group of non-classical mutations, with PACC mutations comprising the largest subset. Enozertinib achieved highly competitive systemic response rates as well as profound antitumor activity in the CNS in EGFR exon 20 and EGFR PACC patients. Enozertinib also demonstrated a well-tolerated safety profile in</w:t>
      </w:r>
    </w:p>
    <w:p>
      <w:pPr>
        <w:sectPr>
          <w:pgSz w:w="11880" w:h="15480" w:orient="portrait"/>
          <w:cols w:equalWidth="0" w:num="1">
            <w:col w:w="10800"/>
          </w:cols>
          <w:pgMar w:left="540" w:top="743" w:right="540" w:bottom="0" w:gutter="0" w:footer="0" w:header="0"/>
        </w:sect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98</w:t>
      </w:r>
    </w:p>
    <w:p>
      <w:pPr>
        <w:sectPr>
          <w:pgSz w:w="11880" w:h="15480" w:orient="portrait"/>
          <w:cols w:equalWidth="0" w:num="1">
            <w:col w:w="10800"/>
          </w:cols>
          <w:pgMar w:left="540" w:top="743" w:right="540" w:bottom="0" w:gutter="0" w:footer="0" w:header="0"/>
          <w:type w:val="continuous"/>
        </w:sectPr>
      </w:pPr>
    </w:p>
    <w:bookmarkStart w:id="104" w:name="page105"/>
    <w:bookmarkEnd w:id="104"/>
    <w:p>
      <w:pPr>
        <w:ind w:left="1200"/>
        <w:spacing w:after="0" w:line="244" w:lineRule="auto"/>
        <w:rPr>
          <w:sz w:val="20"/>
          <w:szCs w:val="20"/>
          <w:color w:val="auto"/>
        </w:rPr>
      </w:pPr>
      <w:r>
        <w:rPr>
          <w:rFonts w:ascii="Times New Roman" w:cs="Times New Roman" w:eastAsia="Times New Roman" w:hAnsi="Times New Roman"/>
          <w:sz w:val="20"/>
          <w:szCs w:val="20"/>
          <w:color w:val="231F20"/>
        </w:rPr>
        <w:t>EGFR exon 20 and EGFR atypical patients, with no significant off-target toxicity and manageable on-target toxicity, resulting in low rate of discontinuations. Based on these data, 80 mg QD oral enozertinib has been selected as the monotherapy dose for potential Phase 3 development. In January 2025, we announced that we entered into a clinical trial and supply agreement with Johnson &amp; Johnson to evaluate enozertinib in combination with SC amivantamab for the first line treatment of patients with advanced NSCLC with EGFR exon 20 mutations, and we initiated a Phase 1b trial in the first quarter of 2025. Dosing and follow-up continues in NSCLC patients with exon 20 mutations, including as a monotherapy, in combination with SC amivantamab and in combination with chemotherapy, as well as in NSCLC patients with EGFR PACC mutations as a monotherapy. We expect to report data in the second half of 2026 in 1L NSCLC patients with EGFR exon 20 mutations as a monotherapy and in combination with SC amivantamab, as well as in 1L NSCLC patients with EGFR PACC mutations as a monotherapy.</w:t>
      </w:r>
    </w:p>
    <w:p>
      <w:pPr>
        <w:spacing w:after="0" w:line="202"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Beyond these clinical stage product candidates, we have historically engaged in the research and development of multiple discovery stage precision medicines targeting other hallmark cancer resistance mechanisms. On August 12, 2025, we announced a strategic pipeline prioritization to focus operational and financial resources on the continued advancement of our two lead clinical programs, rinzimetostat and enozertinib. This initiative has resulted in a substantial decrease in preclinical research, primarily from the elimination of our discovery research group.</w:t>
      </w:r>
    </w:p>
    <w:p>
      <w:pPr>
        <w:spacing w:after="0" w:line="77"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We have incurred significant losses since the commencement of our operations. Our net loss for the year ended December 31, 2025, was $ 129.5 million and we had an accumulated deficit of $692.2 million as of December 31, 2025. Our losses and accumulated deficit have resulted primarily from costs incurred in connection with research and development activities including in-licensing and to a lesser extent from general and administrative costs associated with our operations. We expect to incur significant losses for the foreseeable future, and we anticipate these losses will increase significantly as we continue our development of rinzimetostat and enozertinib and any future product candidates through preclinical development and into clinical trials as we seek regulatory approval for these product candidates. Our net losses may fluctuate significantly from period to period, depending on the timing of and expenditures on our planned research and development activities.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Components of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120" w:lineRule="exact"/>
        <w:rPr>
          <w:sz w:val="20"/>
          <w:szCs w:val="20"/>
          <w:color w:val="auto"/>
        </w:rPr>
      </w:pPr>
    </w:p>
    <w:p>
      <w:pPr>
        <w:ind w:right="440" w:firstLine="720"/>
        <w:spacing w:after="0" w:line="277" w:lineRule="auto"/>
        <w:rPr>
          <w:sz w:val="20"/>
          <w:szCs w:val="20"/>
          <w:color w:val="auto"/>
        </w:rPr>
      </w:pPr>
      <w:r>
        <w:rPr>
          <w:rFonts w:ascii="Times New Roman" w:cs="Times New Roman" w:eastAsia="Times New Roman" w:hAnsi="Times New Roman"/>
          <w:sz w:val="20"/>
          <w:szCs w:val="20"/>
          <w:color w:val="231F20"/>
        </w:rPr>
        <w:t>Research and development expenses account for a significant portion of our operating expenses and consist primarily of external and internal costs incurred in connection with the discovery and development of our product candidates.</w:t>
      </w:r>
    </w:p>
    <w:p>
      <w:pPr>
        <w:spacing w:after="0" w:line="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External expenses include:</w:t>
      </w:r>
    </w:p>
    <w:p>
      <w:pPr>
        <w:spacing w:after="0" w:line="134" w:lineRule="exact"/>
        <w:rPr>
          <w:sz w:val="20"/>
          <w:szCs w:val="20"/>
          <w:color w:val="auto"/>
        </w:rPr>
      </w:pPr>
    </w:p>
    <w:p>
      <w:pPr>
        <w:ind w:left="1200" w:right="400" w:hanging="480"/>
        <w:spacing w:after="0" w:line="276" w:lineRule="auto"/>
        <w:tabs>
          <w:tab w:leader="none" w:pos="120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payments to third parties in connection with the clinical development of our product candidates, including contract research organizations (CROs) and consultants;</w:t>
      </w:r>
    </w:p>
    <w:p>
      <w:pPr>
        <w:spacing w:after="0" w:line="64" w:lineRule="exact"/>
        <w:rPr>
          <w:rFonts w:ascii="Arial" w:cs="Arial" w:eastAsia="Arial" w:hAnsi="Arial"/>
          <w:sz w:val="20"/>
          <w:szCs w:val="20"/>
          <w:color w:val="231F20"/>
        </w:rPr>
      </w:pPr>
    </w:p>
    <w:p>
      <w:pPr>
        <w:ind w:left="1200" w:right="160" w:hanging="480"/>
        <w:spacing w:after="0" w:line="276" w:lineRule="auto"/>
        <w:tabs>
          <w:tab w:leader="none" w:pos="120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of manufacturing products for use in our preclinical studies and clinical trials, including payments to contract manufacturing organizations (CMOs) and consultants;</w:t>
      </w:r>
    </w:p>
    <w:p>
      <w:pPr>
        <w:spacing w:after="0" w:line="64" w:lineRule="exact"/>
        <w:rPr>
          <w:rFonts w:ascii="Arial" w:cs="Arial" w:eastAsia="Arial" w:hAnsi="Arial"/>
          <w:sz w:val="20"/>
          <w:szCs w:val="20"/>
          <w:color w:val="231F20"/>
        </w:rPr>
      </w:pPr>
    </w:p>
    <w:p>
      <w:pPr>
        <w:ind w:left="1200" w:right="40" w:hanging="480"/>
        <w:spacing w:after="0" w:line="258" w:lineRule="auto"/>
        <w:tabs>
          <w:tab w:leader="none" w:pos="120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payments to third parties in connection with the preclinical development of our product candidates, including outsourced professional scientific development services, consulting research fees and sponsored research arrangements with third parties;</w:t>
      </w:r>
    </w:p>
    <w:p>
      <w:pPr>
        <w:spacing w:after="0" w:line="81" w:lineRule="exact"/>
        <w:rPr>
          <w:rFonts w:ascii="Arial" w:cs="Arial" w:eastAsia="Arial" w:hAnsi="Arial"/>
          <w:sz w:val="20"/>
          <w:szCs w:val="20"/>
          <w:color w:val="231F20"/>
        </w:rPr>
      </w:pPr>
    </w:p>
    <w:p>
      <w:pPr>
        <w:ind w:left="1200" w:hanging="480"/>
        <w:spacing w:after="0"/>
        <w:tabs>
          <w:tab w:leader="none" w:pos="120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laboratory supplies; and</w:t>
      </w:r>
    </w:p>
    <w:p>
      <w:pPr>
        <w:spacing w:after="0" w:line="133" w:lineRule="exact"/>
        <w:rPr>
          <w:rFonts w:ascii="Arial" w:cs="Arial" w:eastAsia="Arial" w:hAnsi="Arial"/>
          <w:sz w:val="20"/>
          <w:szCs w:val="20"/>
          <w:color w:val="231F20"/>
        </w:rPr>
      </w:pPr>
    </w:p>
    <w:p>
      <w:pPr>
        <w:ind w:left="1200" w:right="680" w:hanging="480"/>
        <w:spacing w:after="0" w:line="276" w:lineRule="auto"/>
        <w:tabs>
          <w:tab w:leader="none" w:pos="1200" w:val="left"/>
        </w:tabs>
        <w:numPr>
          <w:ilvl w:val="0"/>
          <w:numId w:val="62"/>
        </w:numPr>
        <w:rPr>
          <w:rFonts w:ascii="Arial" w:cs="Arial" w:eastAsia="Arial" w:hAnsi="Arial"/>
          <w:sz w:val="20"/>
          <w:szCs w:val="20"/>
          <w:color w:val="231F20"/>
        </w:rPr>
      </w:pPr>
      <w:r>
        <w:rPr>
          <w:rFonts w:ascii="Times New Roman" w:cs="Times New Roman" w:eastAsia="Times New Roman" w:hAnsi="Times New Roman"/>
          <w:sz w:val="20"/>
          <w:szCs w:val="20"/>
          <w:color w:val="231F20"/>
        </w:rPr>
        <w:t>allocated facilities, depreciation and other expenses, which include direct or allocated expenses for IT, rent and maintenance of facilities.</w:t>
      </w:r>
    </w:p>
    <w:p>
      <w:pPr>
        <w:spacing w:after="0" w:line="170" w:lineRule="exact"/>
        <w:rPr>
          <w:sz w:val="20"/>
          <w:szCs w:val="20"/>
          <w:color w:val="auto"/>
        </w:rPr>
      </w:pPr>
    </w:p>
    <w:p>
      <w:pPr>
        <w:jc w:val="both"/>
        <w:ind w:right="540" w:firstLine="720"/>
        <w:spacing w:after="0" w:line="252" w:lineRule="auto"/>
        <w:rPr>
          <w:sz w:val="20"/>
          <w:szCs w:val="20"/>
          <w:color w:val="auto"/>
        </w:rPr>
      </w:pPr>
      <w:r>
        <w:rPr>
          <w:rFonts w:ascii="Times New Roman" w:cs="Times New Roman" w:eastAsia="Times New Roman" w:hAnsi="Times New Roman"/>
          <w:sz w:val="20"/>
          <w:szCs w:val="20"/>
          <w:color w:val="231F20"/>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w:t>
      </w:r>
    </w:p>
    <w:p>
      <w:pPr>
        <w:spacing w:after="0" w:line="74" w:lineRule="exact"/>
        <w:rPr>
          <w:sz w:val="20"/>
          <w:szCs w:val="20"/>
          <w:color w:val="auto"/>
        </w:rPr>
      </w:pPr>
    </w:p>
    <w:p>
      <w:pPr>
        <w:ind w:right="260" w:firstLine="720"/>
        <w:spacing w:after="0" w:line="277" w:lineRule="auto"/>
        <w:rPr>
          <w:sz w:val="20"/>
          <w:szCs w:val="20"/>
          <w:color w:val="auto"/>
        </w:rPr>
      </w:pPr>
      <w:r>
        <w:rPr>
          <w:rFonts w:ascii="Times New Roman" w:cs="Times New Roman" w:eastAsia="Times New Roman" w:hAnsi="Times New Roman"/>
          <w:sz w:val="20"/>
          <w:szCs w:val="20"/>
          <w:color w:val="231F20"/>
        </w:rPr>
        <w:t>Internal expenses include employee-related costs such as salaries, related benefits and non-cash stock-based compensation expense for employees engaged in research and development functions.</w:t>
      </w:r>
    </w:p>
    <w:p>
      <w:pPr>
        <w:spacing w:after="0" w:line="49"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99</w:t>
      </w:r>
    </w:p>
    <w:p>
      <w:pPr>
        <w:sectPr>
          <w:pgSz w:w="11880" w:h="15480" w:orient="portrait"/>
          <w:cols w:equalWidth="0" w:num="1">
            <w:col w:w="10780"/>
          </w:cols>
          <w:pgMar w:left="540" w:top="750" w:right="560" w:bottom="0" w:gutter="0" w:footer="0" w:header="0"/>
          <w:type w:val="continuous"/>
        </w:sectPr>
      </w:pPr>
    </w:p>
    <w:bookmarkStart w:id="105" w:name="page106"/>
    <w:bookmarkEnd w:id="105"/>
    <w:p>
      <w:pPr>
        <w:ind w:firstLine="720"/>
        <w:spacing w:after="0" w:line="247" w:lineRule="auto"/>
        <w:rPr>
          <w:sz w:val="20"/>
          <w:szCs w:val="20"/>
          <w:color w:val="auto"/>
        </w:rPr>
      </w:pPr>
      <w:r>
        <w:rPr>
          <w:rFonts w:ascii="Times New Roman" w:cs="Times New Roman" w:eastAsia="Times New Roman" w:hAnsi="Times New Roman"/>
          <w:sz w:val="20"/>
          <w:szCs w:val="20"/>
          <w:color w:val="231F20"/>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continue to invest in research and development activities related to developing our product candidates, including investments in manufacturing, advance our programs into later stages of development, conduct additional clinical trials, maintain, expand, protect and enforce our intellectual property portfolio, and hire additional personnel.</w:t>
      </w:r>
    </w:p>
    <w:p>
      <w:pPr>
        <w:spacing w:after="0" w:line="80"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231F20"/>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spacing w:after="0" w:line="96" w:lineRule="exact"/>
        <w:rPr>
          <w:sz w:val="20"/>
          <w:szCs w:val="20"/>
          <w:color w:val="auto"/>
        </w:rPr>
      </w:pPr>
    </w:p>
    <w:p>
      <w:pPr>
        <w:ind w:left="1200" w:hanging="480"/>
        <w:spacing w:after="0"/>
        <w:tabs>
          <w:tab w:leader="none" w:pos="120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progress of preclinical and clinical development activities;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and scope of preclinical and clinical programs we decide to pursue;</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maintain our current research and development programs and to establish new ones;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establishing an appropriate safety profile with IND-enabling toxicology studies;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successful patient enrollment in, and the initiation and completion of, clinical trials;</w:t>
      </w:r>
    </w:p>
    <w:p>
      <w:pPr>
        <w:spacing w:after="0" w:line="133" w:lineRule="exact"/>
        <w:rPr>
          <w:rFonts w:ascii="Arial" w:cs="Arial" w:eastAsia="Arial" w:hAnsi="Arial"/>
          <w:sz w:val="20"/>
          <w:szCs w:val="20"/>
          <w:color w:val="231F20"/>
        </w:rPr>
      </w:pPr>
    </w:p>
    <w:p>
      <w:pPr>
        <w:ind w:left="1220" w:right="40" w:hanging="500"/>
        <w:spacing w:after="0" w:line="276" w:lineRule="auto"/>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successful completion of clinical trials with safety, tolerability and efficacy profiles that are satisfactory to the FDA or any comparable foreign regulatory authority;</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receipt of regulatory approvals from applicable regulatory authorities;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receipt and terms of any marketing approvals from applicable regulatory authorities;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establish licensing or collaboration arrangements;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the performance of our future collaborators, if any;</w:t>
      </w:r>
    </w:p>
    <w:p>
      <w:pPr>
        <w:spacing w:after="0" w:line="116"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obtaining and retaining research and development personnel;</w:t>
      </w:r>
    </w:p>
    <w:p>
      <w:pPr>
        <w:spacing w:after="0" w:line="114"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establishing commercial manufacturing capabilities or making arrangements with third-party manufacturers;</w:t>
      </w:r>
    </w:p>
    <w:p>
      <w:pPr>
        <w:spacing w:after="0" w:line="114" w:lineRule="exact"/>
        <w:rPr>
          <w:rFonts w:ascii="Arial" w:cs="Arial" w:eastAsia="Arial" w:hAnsi="Arial"/>
          <w:sz w:val="20"/>
          <w:szCs w:val="20"/>
          <w:color w:val="231F20"/>
        </w:rPr>
      </w:pPr>
    </w:p>
    <w:p>
      <w:pPr>
        <w:ind w:left="1220" w:right="320" w:hanging="500"/>
        <w:spacing w:after="0" w:line="258" w:lineRule="auto"/>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 and timely delivery of commercial-grade product formulations that can be used in our planned clinical trials and for commercial launch;</w:t>
      </w:r>
    </w:p>
    <w:p>
      <w:pPr>
        <w:spacing w:after="0" w:line="60"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obtaining, maintaining, defending and enforcing patent claims and other intellectual property rights;</w:t>
      </w:r>
    </w:p>
    <w:p>
      <w:pPr>
        <w:spacing w:after="0" w:line="114"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launching commercial sales of our product candidates, if approved, whether alone or in collaboration with others; and</w:t>
      </w:r>
    </w:p>
    <w:p>
      <w:pPr>
        <w:spacing w:after="0" w:line="114" w:lineRule="exact"/>
        <w:rPr>
          <w:rFonts w:ascii="Arial" w:cs="Arial" w:eastAsia="Arial" w:hAnsi="Arial"/>
          <w:sz w:val="20"/>
          <w:szCs w:val="20"/>
          <w:color w:val="231F20"/>
        </w:rPr>
      </w:pPr>
    </w:p>
    <w:p>
      <w:pPr>
        <w:ind w:left="1220" w:hanging="500"/>
        <w:spacing w:after="0"/>
        <w:tabs>
          <w:tab w:leader="none" w:pos="12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maintaining a continued acceptable safety profile of our products following approval.</w:t>
      </w:r>
    </w:p>
    <w:p>
      <w:pPr>
        <w:spacing w:after="0" w:line="237" w:lineRule="exact"/>
        <w:rPr>
          <w:sz w:val="20"/>
          <w:szCs w:val="20"/>
          <w:color w:val="auto"/>
        </w:rPr>
      </w:pPr>
    </w:p>
    <w:p>
      <w:pPr>
        <w:ind w:right="140" w:firstLine="720"/>
        <w:spacing w:after="0" w:line="277" w:lineRule="auto"/>
        <w:rPr>
          <w:sz w:val="20"/>
          <w:szCs w:val="20"/>
          <w:color w:val="auto"/>
        </w:rPr>
      </w:pPr>
      <w:r>
        <w:rPr>
          <w:rFonts w:ascii="Times New Roman" w:cs="Times New Roman" w:eastAsia="Times New Roman" w:hAnsi="Times New Roman"/>
          <w:sz w:val="20"/>
          <w:szCs w:val="20"/>
          <w:color w:val="231F20"/>
        </w:rPr>
        <w:t>Any changes in the outcome of any of these factors could significantly impact the costs, timing and viability associated with the development of our product candidates.</w:t>
      </w:r>
    </w:p>
    <w:p>
      <w:pPr>
        <w:spacing w:after="0" w:line="49" w:lineRule="exact"/>
        <w:rPr>
          <w:sz w:val="20"/>
          <w:szCs w:val="20"/>
          <w:color w:val="auto"/>
        </w:rPr>
      </w:pPr>
    </w:p>
    <w:p>
      <w:pPr>
        <w:ind w:right="260" w:firstLine="720"/>
        <w:spacing w:after="0" w:line="249" w:lineRule="auto"/>
        <w:rPr>
          <w:sz w:val="20"/>
          <w:szCs w:val="20"/>
          <w:color w:val="auto"/>
        </w:rPr>
      </w:pPr>
      <w:r>
        <w:rPr>
          <w:rFonts w:ascii="Times New Roman" w:cs="Times New Roman" w:eastAsia="Times New Roman" w:hAnsi="Times New Roman"/>
          <w:sz w:val="20"/>
          <w:szCs w:val="20"/>
          <w:color w:val="231F20"/>
        </w:rPr>
        <w:t>On August 12, 2025, we announced a strategic pipeline prioritization to focus operational and financial resources on the continued advancement of our two lead clinical programs, rinzimetostat and enozertinib. This initiative has resulted in a substantial decrease in preclinical research, primarily from the elimination of our discovery research group. This resulted in an approximately 20% workforce reduction and we have incurred a one-time cost of approximately $1.9 million primarily related to termination benefits, including severance and healthcare-related benefits. The workforce reduction was completed in the fourth quarter of 2025.</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General and Administrative Expenses</w:t>
      </w:r>
    </w:p>
    <w:p>
      <w:pPr>
        <w:spacing w:after="0" w:line="120" w:lineRule="exact"/>
        <w:rPr>
          <w:sz w:val="20"/>
          <w:szCs w:val="20"/>
          <w:color w:val="auto"/>
        </w:rPr>
      </w:pPr>
    </w:p>
    <w:p>
      <w:pPr>
        <w:ind w:right="20" w:firstLine="720"/>
        <w:spacing w:after="0" w:line="265" w:lineRule="auto"/>
        <w:rPr>
          <w:sz w:val="20"/>
          <w:szCs w:val="20"/>
          <w:color w:val="auto"/>
        </w:rPr>
      </w:pPr>
      <w:r>
        <w:rPr>
          <w:rFonts w:ascii="Times New Roman" w:cs="Times New Roman" w:eastAsia="Times New Roman" w:hAnsi="Times New Roman"/>
          <w:sz w:val="19"/>
          <w:szCs w:val="19"/>
          <w:color w:val="231F20"/>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100</w:t>
      </w:r>
    </w:p>
    <w:p>
      <w:pPr>
        <w:sectPr>
          <w:pgSz w:w="11880" w:h="15480" w:orient="portrait"/>
          <w:cols w:equalWidth="0" w:num="1">
            <w:col w:w="10800"/>
          </w:cols>
          <w:pgMar w:left="540" w:top="750" w:right="540" w:bottom="0" w:gutter="0" w:footer="0" w:header="0"/>
          <w:type w:val="continuous"/>
        </w:sectPr>
      </w:pPr>
    </w:p>
    <w:bookmarkStart w:id="106" w:name="page107"/>
    <w:bookmarkEnd w:id="106"/>
    <w:p>
      <w:pPr>
        <w:spacing w:after="0" w:line="277" w:lineRule="auto"/>
        <w:rPr>
          <w:sz w:val="20"/>
          <w:szCs w:val="20"/>
          <w:color w:val="auto"/>
        </w:rPr>
      </w:pPr>
      <w:r>
        <w:rPr>
          <w:rFonts w:ascii="Times New Roman" w:cs="Times New Roman" w:eastAsia="Times New Roman" w:hAnsi="Times New Roman"/>
          <w:sz w:val="20"/>
          <w:szCs w:val="20"/>
          <w:color w:val="231F20"/>
        </w:rPr>
        <w:t>foreseeable future as we increase our headcount to support the continued research and development of our programs and the growth of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Income, Net</w:t>
      </w:r>
    </w:p>
    <w:p>
      <w:pPr>
        <w:spacing w:after="0" w:line="120" w:lineRule="exact"/>
        <w:rPr>
          <w:sz w:val="20"/>
          <w:szCs w:val="20"/>
          <w:color w:val="auto"/>
        </w:rPr>
      </w:pPr>
    </w:p>
    <w:p>
      <w:pPr>
        <w:ind w:right="460" w:firstLine="720"/>
        <w:spacing w:after="0" w:line="277" w:lineRule="auto"/>
        <w:rPr>
          <w:sz w:val="20"/>
          <w:szCs w:val="20"/>
          <w:color w:val="auto"/>
        </w:rPr>
      </w:pPr>
      <w:r>
        <w:rPr>
          <w:rFonts w:ascii="Times New Roman" w:cs="Times New Roman" w:eastAsia="Times New Roman" w:hAnsi="Times New Roman"/>
          <w:sz w:val="20"/>
          <w:szCs w:val="20"/>
          <w:color w:val="231F20"/>
        </w:rPr>
        <w:t>Other income, net primarily consists of interest income generated from our interest-bearing money market accounts and investments.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supplements the discussion below and summarizes our results of operations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2025 and 2024 (in thousands):</w:t>
      </w:r>
    </w:p>
    <w:p>
      <w:pPr>
        <w:spacing w:after="0" w:line="309" w:lineRule="exact"/>
        <w:rPr>
          <w:sz w:val="20"/>
          <w:szCs w:val="20"/>
          <w:color w:val="auto"/>
        </w:rPr>
      </w:pPr>
    </w:p>
    <w:tbl>
      <w:tblPr>
        <w:tblLayout w:type="fixed"/>
        <w:tblInd w:w="540" w:type="dxa"/>
        <w:tblCellMar>
          <w:top w:w="0" w:type="dxa"/>
          <w:left w:w="0" w:type="dxa"/>
          <w:bottom w:w="0" w:type="dxa"/>
          <w:right w:w="0" w:type="dxa"/>
        </w:tblCellMar>
      </w:tblPr>
      <w:tr>
        <w:trPr>
          <w:trHeight w:val="227"/>
        </w:trPr>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231F20"/>
              </w:rPr>
              <w:t>Years Ended December 31,</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4"/>
        </w:trPr>
        <w:tc>
          <w:tcPr>
            <w:tcW w:w="4860" w:type="dxa"/>
            <w:vAlign w:val="bottom"/>
          </w:tcPr>
          <w:p>
            <w:pPr>
              <w:spacing w:after="0"/>
              <w:rPr>
                <w:sz w:val="22"/>
                <w:szCs w:val="22"/>
                <w:color w:val="auto"/>
              </w:rPr>
            </w:pPr>
          </w:p>
        </w:tc>
        <w:tc>
          <w:tcPr>
            <w:tcW w:w="300" w:type="dxa"/>
            <w:vAlign w:val="bottom"/>
            <w:tcBorders>
              <w:top w:val="single" w:sz="8" w:color="231F20"/>
            </w:tcBorders>
          </w:tcPr>
          <w:p>
            <w:pPr>
              <w:spacing w:after="0"/>
              <w:rPr>
                <w:sz w:val="22"/>
                <w:szCs w:val="22"/>
                <w:color w:val="auto"/>
              </w:rPr>
            </w:pPr>
          </w:p>
        </w:tc>
        <w:tc>
          <w:tcPr>
            <w:tcW w:w="1120" w:type="dxa"/>
            <w:vAlign w:val="bottom"/>
            <w:tcBorders>
              <w:top w:val="single" w:sz="8" w:color="231F20"/>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60" w:type="dxa"/>
            <w:vAlign w:val="bottom"/>
            <w:tcBorders>
              <w:top w:val="single" w:sz="8" w:color="231F20"/>
            </w:tcBorders>
          </w:tcPr>
          <w:p>
            <w:pPr>
              <w:spacing w:after="0"/>
              <w:rPr>
                <w:sz w:val="22"/>
                <w:szCs w:val="22"/>
                <w:color w:val="auto"/>
              </w:rPr>
            </w:pPr>
          </w:p>
        </w:tc>
        <w:tc>
          <w:tcPr>
            <w:tcW w:w="300" w:type="dxa"/>
            <w:vAlign w:val="bottom"/>
            <w:tcBorders>
              <w:top w:val="single" w:sz="8" w:color="231F20"/>
            </w:tcBorders>
          </w:tcPr>
          <w:p>
            <w:pPr>
              <w:spacing w:after="0"/>
              <w:rPr>
                <w:sz w:val="22"/>
                <w:szCs w:val="22"/>
                <w:color w:val="auto"/>
              </w:rPr>
            </w:pPr>
          </w:p>
        </w:tc>
        <w:tc>
          <w:tcPr>
            <w:tcW w:w="1100" w:type="dxa"/>
            <w:vAlign w:val="bottom"/>
            <w:tcBorders>
              <w:top w:val="single" w:sz="8" w:color="231F20"/>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231F20"/>
              </w:rPr>
              <w:t>Change</w:t>
            </w:r>
          </w:p>
        </w:tc>
      </w:tr>
      <w:tr>
        <w:trPr>
          <w:trHeight w:val="225"/>
        </w:trPr>
        <w:tc>
          <w:tcPr>
            <w:tcW w:w="4860" w:type="dxa"/>
            <w:vAlign w:val="bottom"/>
            <w:tcBorders>
              <w:top w:val="single" w:sz="8" w:color="EBECEC"/>
            </w:tcBorders>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Operating expenses:</w:t>
            </w:r>
          </w:p>
        </w:tc>
        <w:tc>
          <w:tcPr>
            <w:tcW w:w="300" w:type="dxa"/>
            <w:vAlign w:val="bottom"/>
            <w:tcBorders>
              <w:top w:val="single" w:sz="8" w:color="231F20"/>
            </w:tcBorders>
            <w:shd w:val="clear" w:color="auto" w:fill="EBECEC"/>
          </w:tcPr>
          <w:p>
            <w:pPr>
              <w:spacing w:after="0"/>
              <w:rPr>
                <w:sz w:val="19"/>
                <w:szCs w:val="19"/>
                <w:color w:val="auto"/>
              </w:rPr>
            </w:pPr>
          </w:p>
        </w:tc>
        <w:tc>
          <w:tcPr>
            <w:tcW w:w="1120" w:type="dxa"/>
            <w:vAlign w:val="bottom"/>
            <w:tcBorders>
              <w:top w:val="single" w:sz="8" w:color="231F20"/>
            </w:tcBorders>
            <w:shd w:val="clear" w:color="auto" w:fill="EBECEC"/>
          </w:tcPr>
          <w:p>
            <w:pPr>
              <w:spacing w:after="0"/>
              <w:rPr>
                <w:sz w:val="19"/>
                <w:szCs w:val="19"/>
                <w:color w:val="auto"/>
              </w:rPr>
            </w:pPr>
          </w:p>
        </w:tc>
        <w:tc>
          <w:tcPr>
            <w:tcW w:w="260" w:type="dxa"/>
            <w:vAlign w:val="bottom"/>
            <w:tcBorders>
              <w:top w:val="single" w:sz="8" w:color="EBECEC"/>
            </w:tcBorders>
            <w:shd w:val="clear" w:color="auto" w:fill="EBECEC"/>
          </w:tcPr>
          <w:p>
            <w:pPr>
              <w:spacing w:after="0"/>
              <w:rPr>
                <w:sz w:val="19"/>
                <w:szCs w:val="19"/>
                <w:color w:val="auto"/>
              </w:rPr>
            </w:pPr>
          </w:p>
        </w:tc>
        <w:tc>
          <w:tcPr>
            <w:tcW w:w="300" w:type="dxa"/>
            <w:vAlign w:val="bottom"/>
            <w:tcBorders>
              <w:top w:val="single" w:sz="8" w:color="231F20"/>
            </w:tcBorders>
            <w:shd w:val="clear" w:color="auto" w:fill="EBECEC"/>
          </w:tcPr>
          <w:p>
            <w:pPr>
              <w:spacing w:after="0"/>
              <w:rPr>
                <w:sz w:val="19"/>
                <w:szCs w:val="19"/>
                <w:color w:val="auto"/>
              </w:rPr>
            </w:pPr>
          </w:p>
        </w:tc>
        <w:tc>
          <w:tcPr>
            <w:tcW w:w="1100" w:type="dxa"/>
            <w:vAlign w:val="bottom"/>
            <w:tcBorders>
              <w:top w:val="single" w:sz="8" w:color="231F20"/>
            </w:tcBorders>
            <w:shd w:val="clear" w:color="auto" w:fill="EBECEC"/>
          </w:tcPr>
          <w:p>
            <w:pPr>
              <w:spacing w:after="0"/>
              <w:rPr>
                <w:sz w:val="19"/>
                <w:szCs w:val="19"/>
                <w:color w:val="auto"/>
              </w:rPr>
            </w:pPr>
          </w:p>
        </w:tc>
        <w:tc>
          <w:tcPr>
            <w:tcW w:w="260" w:type="dxa"/>
            <w:vAlign w:val="bottom"/>
            <w:tcBorders>
              <w:top w:val="single" w:sz="8" w:color="EBECEC"/>
            </w:tcBorders>
            <w:shd w:val="clear" w:color="auto" w:fill="EBECEC"/>
          </w:tcPr>
          <w:p>
            <w:pPr>
              <w:spacing w:after="0"/>
              <w:rPr>
                <w:sz w:val="19"/>
                <w:szCs w:val="19"/>
                <w:color w:val="auto"/>
              </w:rPr>
            </w:pPr>
          </w:p>
        </w:tc>
        <w:tc>
          <w:tcPr>
            <w:tcW w:w="260" w:type="dxa"/>
            <w:vAlign w:val="bottom"/>
            <w:tcBorders>
              <w:top w:val="single" w:sz="8" w:color="231F20"/>
            </w:tcBorders>
            <w:shd w:val="clear" w:color="auto" w:fill="EBECEC"/>
          </w:tcPr>
          <w:p>
            <w:pPr>
              <w:spacing w:after="0"/>
              <w:rPr>
                <w:sz w:val="19"/>
                <w:szCs w:val="19"/>
                <w:color w:val="auto"/>
              </w:rPr>
            </w:pPr>
          </w:p>
        </w:tc>
        <w:tc>
          <w:tcPr>
            <w:tcW w:w="1180" w:type="dxa"/>
            <w:vAlign w:val="bottom"/>
            <w:tcBorders>
              <w:top w:val="single" w:sz="8" w:color="231F20"/>
            </w:tcBorders>
            <w:shd w:val="clear" w:color="auto" w:fill="EBECEC"/>
          </w:tcPr>
          <w:p>
            <w:pPr>
              <w:spacing w:after="0"/>
              <w:rPr>
                <w:sz w:val="19"/>
                <w:szCs w:val="19"/>
                <w:color w:val="auto"/>
              </w:rPr>
            </w:pPr>
          </w:p>
        </w:tc>
        <w:tc>
          <w:tcPr>
            <w:tcW w:w="80" w:type="dxa"/>
            <w:vAlign w:val="bottom"/>
            <w:tcBorders>
              <w:top w:val="single" w:sz="8" w:color="EBECEC"/>
            </w:tcBorders>
            <w:shd w:val="clear" w:color="auto" w:fill="EBECEC"/>
          </w:tcPr>
          <w:p>
            <w:pPr>
              <w:spacing w:after="0"/>
              <w:rPr>
                <w:sz w:val="19"/>
                <w:szCs w:val="19"/>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109,818</w:t>
            </w:r>
          </w:p>
        </w:tc>
        <w:tc>
          <w:tcPr>
            <w:tcW w:w="26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114,072</w:t>
            </w:r>
          </w:p>
        </w:tc>
        <w:tc>
          <w:tcPr>
            <w:tcW w:w="26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(4,254)</w:t>
            </w:r>
          </w:p>
        </w:tc>
        <w:tc>
          <w:tcPr>
            <w:tcW w:w="80" w:type="dxa"/>
            <w:vAlign w:val="bottom"/>
          </w:tcPr>
          <w:p>
            <w:pPr>
              <w:spacing w:after="0"/>
              <w:rPr>
                <w:sz w:val="20"/>
                <w:szCs w:val="20"/>
                <w:color w:val="auto"/>
              </w:rPr>
            </w:pPr>
          </w:p>
        </w:tc>
      </w:tr>
      <w:tr>
        <w:trPr>
          <w:trHeight w:val="250"/>
        </w:trPr>
        <w:tc>
          <w:tcPr>
            <w:tcW w:w="486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300" w:type="dxa"/>
            <w:vAlign w:val="bottom"/>
            <w:shd w:val="clear" w:color="auto" w:fill="EBECEC"/>
          </w:tcPr>
          <w:p>
            <w:pPr>
              <w:spacing w:after="0"/>
              <w:rPr>
                <w:sz w:val="21"/>
                <w:szCs w:val="21"/>
                <w:color w:val="auto"/>
              </w:rPr>
            </w:pPr>
          </w:p>
        </w:tc>
        <w:tc>
          <w:tcPr>
            <w:tcW w:w="1380" w:type="dxa"/>
            <w:vAlign w:val="bottom"/>
            <w:gridSpan w:val="2"/>
            <w:shd w:val="clear" w:color="auto" w:fill="EBECEC"/>
          </w:tcPr>
          <w:p>
            <w:pPr>
              <w:jc w:val="right"/>
              <w:ind w:right="260"/>
              <w:spacing w:after="0"/>
              <w:rPr>
                <w:sz w:val="20"/>
                <w:szCs w:val="20"/>
                <w:color w:val="auto"/>
              </w:rPr>
            </w:pPr>
            <w:r>
              <w:rPr>
                <w:rFonts w:ascii="Times New Roman" w:cs="Times New Roman" w:eastAsia="Times New Roman" w:hAnsi="Times New Roman"/>
                <w:sz w:val="20"/>
                <w:szCs w:val="20"/>
                <w:color w:val="231F20"/>
              </w:rPr>
              <w:t>33,186</w:t>
            </w:r>
          </w:p>
        </w:tc>
        <w:tc>
          <w:tcPr>
            <w:tcW w:w="300" w:type="dxa"/>
            <w:vAlign w:val="bottom"/>
            <w:shd w:val="clear" w:color="auto" w:fill="EBECEC"/>
          </w:tcPr>
          <w:p>
            <w:pPr>
              <w:spacing w:after="0"/>
              <w:rPr>
                <w:sz w:val="21"/>
                <w:szCs w:val="21"/>
                <w:color w:val="auto"/>
              </w:rPr>
            </w:pPr>
          </w:p>
        </w:tc>
        <w:tc>
          <w:tcPr>
            <w:tcW w:w="1360" w:type="dxa"/>
            <w:vAlign w:val="bottom"/>
            <w:gridSpan w:val="2"/>
            <w:shd w:val="clear" w:color="auto" w:fill="EBECEC"/>
          </w:tcPr>
          <w:p>
            <w:pPr>
              <w:jc w:val="right"/>
              <w:ind w:right="260"/>
              <w:spacing w:after="0"/>
              <w:rPr>
                <w:sz w:val="20"/>
                <w:szCs w:val="20"/>
                <w:color w:val="auto"/>
              </w:rPr>
            </w:pPr>
            <w:r>
              <w:rPr>
                <w:rFonts w:ascii="Times New Roman" w:cs="Times New Roman" w:eastAsia="Times New Roman" w:hAnsi="Times New Roman"/>
                <w:sz w:val="20"/>
                <w:szCs w:val="20"/>
                <w:color w:val="231F20"/>
              </w:rPr>
              <w:t>28,823</w:t>
            </w:r>
          </w:p>
        </w:tc>
        <w:tc>
          <w:tcPr>
            <w:tcW w:w="260" w:type="dxa"/>
            <w:vAlign w:val="bottom"/>
            <w:shd w:val="clear" w:color="auto" w:fill="EBECEC"/>
          </w:tcPr>
          <w:p>
            <w:pPr>
              <w:spacing w:after="0"/>
              <w:rPr>
                <w:sz w:val="21"/>
                <w:szCs w:val="21"/>
                <w:color w:val="auto"/>
              </w:rPr>
            </w:pPr>
          </w:p>
        </w:tc>
        <w:tc>
          <w:tcPr>
            <w:tcW w:w="126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4,363</w:t>
            </w:r>
          </w:p>
        </w:tc>
      </w:tr>
      <w:tr>
        <w:trPr>
          <w:trHeight w:val="205"/>
        </w:trPr>
        <w:tc>
          <w:tcPr>
            <w:tcW w:w="4860" w:type="dxa"/>
            <w:vAlign w:val="bottom"/>
            <w:tcBorders>
              <w:top w:val="single" w:sz="8" w:color="EBECEC"/>
              <w:bottom w:val="single" w:sz="8" w:color="EBECEC"/>
            </w:tcBorders>
          </w:tcPr>
          <w:p>
            <w:pPr>
              <w:ind w:left="400"/>
              <w:spacing w:after="0" w:line="205" w:lineRule="exact"/>
              <w:rPr>
                <w:sz w:val="20"/>
                <w:szCs w:val="20"/>
                <w:color w:val="auto"/>
              </w:rPr>
            </w:pPr>
            <w:r>
              <w:rPr>
                <w:rFonts w:ascii="Times New Roman" w:cs="Times New Roman" w:eastAsia="Times New Roman" w:hAnsi="Times New Roman"/>
                <w:sz w:val="20"/>
                <w:szCs w:val="20"/>
                <w:color w:val="231F20"/>
              </w:rPr>
              <w:t>Total operating expenses</w:t>
            </w:r>
          </w:p>
        </w:tc>
        <w:tc>
          <w:tcPr>
            <w:tcW w:w="300" w:type="dxa"/>
            <w:vAlign w:val="bottom"/>
            <w:tcBorders>
              <w:top w:val="single" w:sz="8" w:color="231F20"/>
              <w:bottom w:val="single" w:sz="8" w:color="231F20"/>
            </w:tcBorders>
          </w:tcPr>
          <w:p>
            <w:pPr>
              <w:spacing w:after="0"/>
              <w:rPr>
                <w:sz w:val="17"/>
                <w:szCs w:val="17"/>
                <w:color w:val="auto"/>
              </w:rPr>
            </w:pPr>
          </w:p>
        </w:tc>
        <w:tc>
          <w:tcPr>
            <w:tcW w:w="112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143,004</w:t>
            </w:r>
          </w:p>
        </w:tc>
        <w:tc>
          <w:tcPr>
            <w:tcW w:w="260" w:type="dxa"/>
            <w:vAlign w:val="bottom"/>
            <w:tcBorders>
              <w:top w:val="single" w:sz="8" w:color="EBECEC"/>
              <w:bottom w:val="single" w:sz="8" w:color="EBECEC"/>
            </w:tcBorders>
          </w:tcPr>
          <w:p>
            <w:pPr>
              <w:spacing w:after="0"/>
              <w:rPr>
                <w:sz w:val="17"/>
                <w:szCs w:val="17"/>
                <w:color w:val="auto"/>
              </w:rPr>
            </w:pPr>
          </w:p>
        </w:tc>
        <w:tc>
          <w:tcPr>
            <w:tcW w:w="300" w:type="dxa"/>
            <w:vAlign w:val="bottom"/>
            <w:tcBorders>
              <w:top w:val="single" w:sz="8" w:color="231F20"/>
              <w:bottom w:val="single" w:sz="8" w:color="231F20"/>
            </w:tcBorders>
          </w:tcPr>
          <w:p>
            <w:pPr>
              <w:spacing w:after="0"/>
              <w:rPr>
                <w:sz w:val="17"/>
                <w:szCs w:val="17"/>
                <w:color w:val="auto"/>
              </w:rPr>
            </w:pPr>
          </w:p>
        </w:tc>
        <w:tc>
          <w:tcPr>
            <w:tcW w:w="110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142,895</w:t>
            </w:r>
          </w:p>
        </w:tc>
        <w:tc>
          <w:tcPr>
            <w:tcW w:w="260" w:type="dxa"/>
            <w:vAlign w:val="bottom"/>
            <w:tcBorders>
              <w:top w:val="single" w:sz="8" w:color="EBECEC"/>
              <w:bottom w:val="single" w:sz="8" w:color="EBECEC"/>
            </w:tcBorders>
          </w:tcPr>
          <w:p>
            <w:pPr>
              <w:spacing w:after="0"/>
              <w:rPr>
                <w:sz w:val="17"/>
                <w:szCs w:val="17"/>
                <w:color w:val="auto"/>
              </w:rPr>
            </w:pPr>
          </w:p>
        </w:tc>
        <w:tc>
          <w:tcPr>
            <w:tcW w:w="260" w:type="dxa"/>
            <w:vAlign w:val="bottom"/>
            <w:tcBorders>
              <w:top w:val="single" w:sz="8" w:color="231F20"/>
              <w:bottom w:val="single" w:sz="8" w:color="231F20"/>
            </w:tcBorders>
          </w:tcPr>
          <w:p>
            <w:pPr>
              <w:spacing w:after="0"/>
              <w:rPr>
                <w:sz w:val="17"/>
                <w:szCs w:val="17"/>
                <w:color w:val="auto"/>
              </w:rPr>
            </w:pPr>
          </w:p>
        </w:tc>
        <w:tc>
          <w:tcPr>
            <w:tcW w:w="118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109</w:t>
            </w:r>
          </w:p>
        </w:tc>
        <w:tc>
          <w:tcPr>
            <w:tcW w:w="80" w:type="dxa"/>
            <w:vAlign w:val="bottom"/>
            <w:tcBorders>
              <w:top w:val="single" w:sz="8" w:color="EBECEC"/>
              <w:bottom w:val="single" w:sz="8" w:color="EBECEC"/>
            </w:tcBorders>
          </w:tcPr>
          <w:p>
            <w:pPr>
              <w:spacing w:after="0"/>
              <w:rPr>
                <w:sz w:val="17"/>
                <w:szCs w:val="17"/>
                <w:color w:val="auto"/>
              </w:rPr>
            </w:pPr>
          </w:p>
        </w:tc>
      </w:tr>
      <w:tr>
        <w:trPr>
          <w:trHeight w:val="225"/>
        </w:trPr>
        <w:tc>
          <w:tcPr>
            <w:tcW w:w="486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Loss from operations</w:t>
            </w:r>
          </w:p>
        </w:tc>
        <w:tc>
          <w:tcPr>
            <w:tcW w:w="300" w:type="dxa"/>
            <w:vAlign w:val="bottom"/>
            <w:shd w:val="clear" w:color="auto" w:fill="EBECEC"/>
          </w:tcPr>
          <w:p>
            <w:pPr>
              <w:spacing w:after="0"/>
              <w:rPr>
                <w:sz w:val="19"/>
                <w:szCs w:val="19"/>
                <w:color w:val="auto"/>
              </w:rPr>
            </w:pPr>
          </w:p>
        </w:tc>
        <w:tc>
          <w:tcPr>
            <w:tcW w:w="112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(143,004)</w:t>
            </w:r>
          </w:p>
        </w:tc>
        <w:tc>
          <w:tcPr>
            <w:tcW w:w="260" w:type="dxa"/>
            <w:vAlign w:val="bottom"/>
            <w:shd w:val="clear" w:color="auto" w:fill="EBECEC"/>
          </w:tcPr>
          <w:p>
            <w:pPr>
              <w:spacing w:after="0"/>
              <w:rPr>
                <w:sz w:val="19"/>
                <w:szCs w:val="19"/>
                <w:color w:val="auto"/>
              </w:rPr>
            </w:pPr>
          </w:p>
        </w:tc>
        <w:tc>
          <w:tcPr>
            <w:tcW w:w="300" w:type="dxa"/>
            <w:vAlign w:val="bottom"/>
            <w:shd w:val="clear" w:color="auto" w:fill="EBECEC"/>
          </w:tcPr>
          <w:p>
            <w:pPr>
              <w:spacing w:after="0"/>
              <w:rPr>
                <w:sz w:val="19"/>
                <w:szCs w:val="19"/>
                <w:color w:val="auto"/>
              </w:rPr>
            </w:pPr>
          </w:p>
        </w:tc>
        <w:tc>
          <w:tcPr>
            <w:tcW w:w="110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(142,895)</w:t>
            </w:r>
          </w:p>
        </w:tc>
        <w:tc>
          <w:tcPr>
            <w:tcW w:w="26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118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(109)</w:t>
            </w:r>
          </w:p>
        </w:tc>
        <w:tc>
          <w:tcPr>
            <w:tcW w:w="80" w:type="dxa"/>
            <w:vAlign w:val="bottom"/>
            <w:shd w:val="clear" w:color="auto" w:fill="EBECEC"/>
          </w:tcPr>
          <w:p>
            <w:pPr>
              <w:spacing w:after="0"/>
              <w:rPr>
                <w:sz w:val="19"/>
                <w:szCs w:val="19"/>
                <w:color w:val="auto"/>
              </w:rPr>
            </w:pPr>
          </w:p>
        </w:tc>
      </w:tr>
      <w:tr>
        <w:trPr>
          <w:trHeight w:val="230"/>
        </w:trPr>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spacing w:after="0"/>
              <w:rPr>
                <w:sz w:val="20"/>
                <w:szCs w:val="20"/>
                <w:color w:val="auto"/>
              </w:rPr>
            </w:pPr>
          </w:p>
        </w:tc>
      </w:tr>
      <w:tr>
        <w:trPr>
          <w:trHeight w:val="230"/>
        </w:trPr>
        <w:tc>
          <w:tcPr>
            <w:tcW w:w="48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Other income, net</w:t>
            </w:r>
          </w:p>
        </w:tc>
        <w:tc>
          <w:tcPr>
            <w:tcW w:w="300" w:type="dxa"/>
            <w:vAlign w:val="bottom"/>
            <w:shd w:val="clear" w:color="auto" w:fill="EBECEC"/>
          </w:tcPr>
          <w:p>
            <w:pPr>
              <w:spacing w:after="0"/>
              <w:rPr>
                <w:sz w:val="19"/>
                <w:szCs w:val="19"/>
                <w:color w:val="auto"/>
              </w:rPr>
            </w:pPr>
          </w:p>
        </w:tc>
        <w:tc>
          <w:tcPr>
            <w:tcW w:w="11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13,536</w:t>
            </w:r>
          </w:p>
        </w:tc>
        <w:tc>
          <w:tcPr>
            <w:tcW w:w="260" w:type="dxa"/>
            <w:vAlign w:val="bottom"/>
            <w:shd w:val="clear" w:color="auto" w:fill="EBECEC"/>
          </w:tcPr>
          <w:p>
            <w:pPr>
              <w:spacing w:after="0"/>
              <w:rPr>
                <w:sz w:val="19"/>
                <w:szCs w:val="19"/>
                <w:color w:val="auto"/>
              </w:rPr>
            </w:pPr>
          </w:p>
        </w:tc>
        <w:tc>
          <w:tcPr>
            <w:tcW w:w="300" w:type="dxa"/>
            <w:vAlign w:val="bottom"/>
            <w:shd w:val="clear" w:color="auto" w:fill="EBECEC"/>
          </w:tcPr>
          <w:p>
            <w:pPr>
              <w:spacing w:after="0"/>
              <w:rPr>
                <w:sz w:val="19"/>
                <w:szCs w:val="19"/>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15,048</w:t>
            </w:r>
          </w:p>
        </w:tc>
        <w:tc>
          <w:tcPr>
            <w:tcW w:w="26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126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rPr>
              <w:t>(1,512)</w:t>
            </w:r>
          </w:p>
        </w:tc>
      </w:tr>
      <w:tr>
        <w:trPr>
          <w:trHeight w:val="225"/>
        </w:trPr>
        <w:tc>
          <w:tcPr>
            <w:tcW w:w="4860" w:type="dxa"/>
            <w:vAlign w:val="bottom"/>
            <w:tcBorders>
              <w:top w:val="single" w:sz="8" w:color="EBECEC"/>
            </w:tcBorders>
          </w:tcPr>
          <w:p>
            <w:pPr>
              <w:spacing w:after="0"/>
              <w:rPr>
                <w:sz w:val="19"/>
                <w:szCs w:val="19"/>
                <w:color w:val="auto"/>
              </w:rPr>
            </w:pPr>
          </w:p>
        </w:tc>
        <w:tc>
          <w:tcPr>
            <w:tcW w:w="300" w:type="dxa"/>
            <w:vAlign w:val="bottom"/>
            <w:tcBorders>
              <w:top w:val="single" w:sz="8" w:color="231F20"/>
            </w:tcBorders>
          </w:tcPr>
          <w:p>
            <w:pPr>
              <w:spacing w:after="0"/>
              <w:rPr>
                <w:sz w:val="19"/>
                <w:szCs w:val="19"/>
                <w:color w:val="auto"/>
              </w:rPr>
            </w:pPr>
          </w:p>
        </w:tc>
        <w:tc>
          <w:tcPr>
            <w:tcW w:w="1120" w:type="dxa"/>
            <w:vAlign w:val="bottom"/>
            <w:tcBorders>
              <w:top w:val="single" w:sz="8" w:color="231F20"/>
            </w:tcBorders>
          </w:tcPr>
          <w:p>
            <w:pPr>
              <w:spacing w:after="0"/>
              <w:rPr>
                <w:sz w:val="19"/>
                <w:szCs w:val="19"/>
                <w:color w:val="auto"/>
              </w:rPr>
            </w:pPr>
          </w:p>
        </w:tc>
        <w:tc>
          <w:tcPr>
            <w:tcW w:w="260" w:type="dxa"/>
            <w:vAlign w:val="bottom"/>
            <w:tcBorders>
              <w:top w:val="single" w:sz="8" w:color="EBECEC"/>
            </w:tcBorders>
          </w:tcPr>
          <w:p>
            <w:pPr>
              <w:spacing w:after="0"/>
              <w:rPr>
                <w:sz w:val="19"/>
                <w:szCs w:val="19"/>
                <w:color w:val="auto"/>
              </w:rPr>
            </w:pPr>
          </w:p>
        </w:tc>
        <w:tc>
          <w:tcPr>
            <w:tcW w:w="300" w:type="dxa"/>
            <w:vAlign w:val="bottom"/>
            <w:tcBorders>
              <w:top w:val="single" w:sz="8" w:color="231F20"/>
            </w:tcBorders>
          </w:tcPr>
          <w:p>
            <w:pPr>
              <w:spacing w:after="0"/>
              <w:rPr>
                <w:sz w:val="19"/>
                <w:szCs w:val="19"/>
                <w:color w:val="auto"/>
              </w:rPr>
            </w:pPr>
          </w:p>
        </w:tc>
        <w:tc>
          <w:tcPr>
            <w:tcW w:w="1100" w:type="dxa"/>
            <w:vAlign w:val="bottom"/>
            <w:tcBorders>
              <w:top w:val="single" w:sz="8" w:color="231F20"/>
            </w:tcBorders>
          </w:tcPr>
          <w:p>
            <w:pPr>
              <w:spacing w:after="0"/>
              <w:rPr>
                <w:sz w:val="19"/>
                <w:szCs w:val="19"/>
                <w:color w:val="auto"/>
              </w:rPr>
            </w:pPr>
          </w:p>
        </w:tc>
        <w:tc>
          <w:tcPr>
            <w:tcW w:w="260" w:type="dxa"/>
            <w:vAlign w:val="bottom"/>
            <w:tcBorders>
              <w:top w:val="single" w:sz="8" w:color="EBECEC"/>
            </w:tcBorders>
          </w:tcPr>
          <w:p>
            <w:pPr>
              <w:spacing w:after="0"/>
              <w:rPr>
                <w:sz w:val="19"/>
                <w:szCs w:val="19"/>
                <w:color w:val="auto"/>
              </w:rPr>
            </w:pPr>
          </w:p>
        </w:tc>
        <w:tc>
          <w:tcPr>
            <w:tcW w:w="260" w:type="dxa"/>
            <w:vAlign w:val="bottom"/>
            <w:tcBorders>
              <w:top w:val="single" w:sz="8" w:color="231F20"/>
            </w:tcBorders>
          </w:tcPr>
          <w:p>
            <w:pPr>
              <w:spacing w:after="0"/>
              <w:rPr>
                <w:sz w:val="19"/>
                <w:szCs w:val="19"/>
                <w:color w:val="auto"/>
              </w:rPr>
            </w:pPr>
          </w:p>
        </w:tc>
        <w:tc>
          <w:tcPr>
            <w:tcW w:w="1180" w:type="dxa"/>
            <w:vAlign w:val="bottom"/>
            <w:tcBorders>
              <w:top w:val="single" w:sz="8" w:color="231F20"/>
            </w:tcBorders>
          </w:tcPr>
          <w:p>
            <w:pPr>
              <w:spacing w:after="0"/>
              <w:rPr>
                <w:sz w:val="19"/>
                <w:szCs w:val="19"/>
                <w:color w:val="auto"/>
              </w:rPr>
            </w:pPr>
          </w:p>
        </w:tc>
        <w:tc>
          <w:tcPr>
            <w:tcW w:w="80" w:type="dxa"/>
            <w:vAlign w:val="bottom"/>
            <w:tcBorders>
              <w:top w:val="single" w:sz="8" w:color="EBECEC"/>
            </w:tcBorders>
          </w:tcPr>
          <w:p>
            <w:pPr>
              <w:spacing w:after="0"/>
              <w:rPr>
                <w:sz w:val="19"/>
                <w:szCs w:val="19"/>
                <w:color w:val="auto"/>
              </w:rPr>
            </w:pPr>
          </w:p>
        </w:tc>
      </w:tr>
      <w:tr>
        <w:trPr>
          <w:trHeight w:val="250"/>
        </w:trPr>
        <w:tc>
          <w:tcPr>
            <w:tcW w:w="48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Net loss</w:t>
            </w:r>
          </w:p>
        </w:tc>
        <w:tc>
          <w:tcPr>
            <w:tcW w:w="300" w:type="dxa"/>
            <w:vAlign w:val="bottom"/>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380" w:type="dxa"/>
            <w:vAlign w:val="bottom"/>
            <w:gridSpan w:val="2"/>
            <w:shd w:val="clear" w:color="auto" w:fill="EBECEC"/>
          </w:tcPr>
          <w:p>
            <w:pPr>
              <w:jc w:val="right"/>
              <w:ind w:right="200"/>
              <w:spacing w:after="0"/>
              <w:rPr>
                <w:sz w:val="20"/>
                <w:szCs w:val="20"/>
                <w:color w:val="auto"/>
              </w:rPr>
            </w:pPr>
            <w:r>
              <w:rPr>
                <w:rFonts w:ascii="Times New Roman" w:cs="Times New Roman" w:eastAsia="Times New Roman" w:hAnsi="Times New Roman"/>
                <w:sz w:val="20"/>
                <w:szCs w:val="20"/>
                <w:color w:val="231F20"/>
              </w:rPr>
              <w:t>(129,468)</w:t>
            </w:r>
          </w:p>
        </w:tc>
        <w:tc>
          <w:tcPr>
            <w:tcW w:w="300" w:type="dxa"/>
            <w:vAlign w:val="bottom"/>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gridSpan w:val="2"/>
            <w:shd w:val="clear" w:color="auto" w:fill="EBECEC"/>
          </w:tcPr>
          <w:p>
            <w:pPr>
              <w:jc w:val="right"/>
              <w:ind w:right="180"/>
              <w:spacing w:after="0"/>
              <w:rPr>
                <w:sz w:val="20"/>
                <w:szCs w:val="20"/>
                <w:color w:val="auto"/>
              </w:rPr>
            </w:pPr>
            <w:r>
              <w:rPr>
                <w:rFonts w:ascii="Times New Roman" w:cs="Times New Roman" w:eastAsia="Times New Roman" w:hAnsi="Times New Roman"/>
                <w:sz w:val="20"/>
                <w:szCs w:val="20"/>
                <w:color w:val="231F20"/>
              </w:rPr>
              <w:t>(127,847)</w:t>
            </w: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26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rPr>
              <w:t>(1,621)</w:t>
            </w:r>
          </w:p>
        </w:tc>
      </w:tr>
      <w:tr>
        <w:trPr>
          <w:trHeight w:val="20"/>
        </w:trPr>
        <w:tc>
          <w:tcPr>
            <w:tcW w:w="4860" w:type="dxa"/>
            <w:vAlign w:val="bottom"/>
            <w:tcBorders>
              <w:top w:val="single" w:sz="8" w:color="EBECEC"/>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EBECEC"/>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EBECEC"/>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BECEC"/>
            </w:tcBorders>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12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Research and development expenses were $109.8 million for the year ended December 31, 2025, compared to $114.1 million for 2024, a decrease of $4.3 million. The decrease was driven by lower rinzimetostat drug manufacturing costs and lower costs from discontinued programs, offset by higher personnel costs of $7.5 million, including additional non-cash stock-based compensation of $2.1 million, and costs related to the advancement of enozertinib.</w:t>
      </w:r>
    </w:p>
    <w:p>
      <w:pPr>
        <w:spacing w:after="0" w:line="194" w:lineRule="exact"/>
        <w:rPr>
          <w:sz w:val="20"/>
          <w:szCs w:val="20"/>
          <w:color w:val="auto"/>
        </w:rPr>
      </w:pPr>
    </w:p>
    <w:p>
      <w:pPr>
        <w:ind w:right="740" w:firstLine="72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our external and internal costs for the years ended December 31, 2025 and 2024 (in thousands):</w:t>
      </w:r>
    </w:p>
    <w:p>
      <w:pPr>
        <w:spacing w:after="0" w:line="204"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231F20"/>
              </w:rPr>
              <w:t>Years Ended December 31,</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5120" w:type="dxa"/>
            <w:vAlign w:val="bottom"/>
          </w:tcPr>
          <w:p>
            <w:pPr>
              <w:spacing w:after="0"/>
              <w:rPr>
                <w:sz w:val="19"/>
                <w:szCs w:val="19"/>
                <w:color w:val="auto"/>
              </w:rPr>
            </w:pPr>
          </w:p>
        </w:tc>
        <w:tc>
          <w:tcPr>
            <w:tcW w:w="340" w:type="dxa"/>
            <w:vAlign w:val="bottom"/>
            <w:tcBorders>
              <w:top w:val="single" w:sz="8" w:color="231F20"/>
            </w:tcBorders>
          </w:tcPr>
          <w:p>
            <w:pPr>
              <w:spacing w:after="0"/>
              <w:rPr>
                <w:sz w:val="19"/>
                <w:szCs w:val="19"/>
                <w:color w:val="auto"/>
              </w:rPr>
            </w:pPr>
          </w:p>
        </w:tc>
        <w:tc>
          <w:tcPr>
            <w:tcW w:w="1180" w:type="dxa"/>
            <w:vAlign w:val="bottom"/>
            <w:tcBorders>
              <w:top w:val="single" w:sz="8" w:color="231F20"/>
            </w:tcBorders>
          </w:tcPr>
          <w:p>
            <w:pPr>
              <w:jc w:val="right"/>
              <w:ind w:right="48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60" w:type="dxa"/>
            <w:vAlign w:val="bottom"/>
            <w:tcBorders>
              <w:top w:val="single" w:sz="8" w:color="231F20"/>
            </w:tcBorders>
          </w:tcPr>
          <w:p>
            <w:pPr>
              <w:spacing w:after="0"/>
              <w:rPr>
                <w:sz w:val="19"/>
                <w:szCs w:val="19"/>
                <w:color w:val="auto"/>
              </w:rPr>
            </w:pPr>
          </w:p>
        </w:tc>
        <w:tc>
          <w:tcPr>
            <w:tcW w:w="340" w:type="dxa"/>
            <w:vAlign w:val="bottom"/>
            <w:tcBorders>
              <w:top w:val="single" w:sz="8" w:color="231F20"/>
            </w:tcBorders>
          </w:tcPr>
          <w:p>
            <w:pPr>
              <w:spacing w:after="0"/>
              <w:rPr>
                <w:sz w:val="19"/>
                <w:szCs w:val="19"/>
                <w:color w:val="auto"/>
              </w:rPr>
            </w:pPr>
          </w:p>
        </w:tc>
        <w:tc>
          <w:tcPr>
            <w:tcW w:w="1160" w:type="dxa"/>
            <w:vAlign w:val="bottom"/>
            <w:tcBorders>
              <w:top w:val="single" w:sz="8" w:color="231F20"/>
            </w:tcBorders>
          </w:tcPr>
          <w:p>
            <w:pPr>
              <w:ind w:left="24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231F20"/>
              </w:rPr>
              <w:t>Change</w:t>
            </w:r>
          </w:p>
        </w:tc>
      </w:tr>
      <w:tr>
        <w:trPr>
          <w:trHeight w:val="225"/>
        </w:trPr>
        <w:tc>
          <w:tcPr>
            <w:tcW w:w="5120" w:type="dxa"/>
            <w:vAlign w:val="bottom"/>
            <w:tcBorders>
              <w:top w:val="single" w:sz="8" w:color="EBECEC"/>
            </w:tcBorders>
            <w:shd w:val="clear" w:color="auto" w:fill="EBECEC"/>
          </w:tcPr>
          <w:p>
            <w:pPr>
              <w:ind w:left="100"/>
              <w:spacing w:after="0" w:line="225" w:lineRule="exact"/>
              <w:rPr>
                <w:sz w:val="20"/>
                <w:szCs w:val="20"/>
                <w:color w:val="auto"/>
              </w:rPr>
            </w:pPr>
            <w:r>
              <w:rPr>
                <w:rFonts w:ascii="Times New Roman" w:cs="Times New Roman" w:eastAsia="Times New Roman" w:hAnsi="Times New Roman"/>
                <w:sz w:val="20"/>
                <w:szCs w:val="20"/>
                <w:color w:val="231F20"/>
              </w:rPr>
              <w:t>External costs:</w:t>
            </w:r>
          </w:p>
        </w:tc>
        <w:tc>
          <w:tcPr>
            <w:tcW w:w="340" w:type="dxa"/>
            <w:vAlign w:val="bottom"/>
            <w:tcBorders>
              <w:top w:val="single" w:sz="8" w:color="231F20"/>
            </w:tcBorders>
            <w:shd w:val="clear" w:color="auto" w:fill="EBECEC"/>
          </w:tcPr>
          <w:p>
            <w:pPr>
              <w:spacing w:after="0"/>
              <w:rPr>
                <w:sz w:val="19"/>
                <w:szCs w:val="19"/>
                <w:color w:val="auto"/>
              </w:rPr>
            </w:pPr>
          </w:p>
        </w:tc>
        <w:tc>
          <w:tcPr>
            <w:tcW w:w="1180" w:type="dxa"/>
            <w:vAlign w:val="bottom"/>
            <w:tcBorders>
              <w:top w:val="single" w:sz="8" w:color="231F20"/>
            </w:tcBorders>
            <w:shd w:val="clear" w:color="auto" w:fill="EBECEC"/>
          </w:tcPr>
          <w:p>
            <w:pPr>
              <w:spacing w:after="0"/>
              <w:rPr>
                <w:sz w:val="19"/>
                <w:szCs w:val="19"/>
                <w:color w:val="auto"/>
              </w:rPr>
            </w:pPr>
          </w:p>
        </w:tc>
        <w:tc>
          <w:tcPr>
            <w:tcW w:w="260" w:type="dxa"/>
            <w:vAlign w:val="bottom"/>
            <w:tcBorders>
              <w:top w:val="single" w:sz="8" w:color="EBECEC"/>
            </w:tcBorders>
            <w:shd w:val="clear" w:color="auto" w:fill="EBECEC"/>
          </w:tcPr>
          <w:p>
            <w:pPr>
              <w:spacing w:after="0"/>
              <w:rPr>
                <w:sz w:val="19"/>
                <w:szCs w:val="19"/>
                <w:color w:val="auto"/>
              </w:rPr>
            </w:pPr>
          </w:p>
        </w:tc>
        <w:tc>
          <w:tcPr>
            <w:tcW w:w="340" w:type="dxa"/>
            <w:vAlign w:val="bottom"/>
            <w:tcBorders>
              <w:top w:val="single" w:sz="8" w:color="231F20"/>
            </w:tcBorders>
            <w:shd w:val="clear" w:color="auto" w:fill="EBECEC"/>
          </w:tcPr>
          <w:p>
            <w:pPr>
              <w:spacing w:after="0"/>
              <w:rPr>
                <w:sz w:val="19"/>
                <w:szCs w:val="19"/>
                <w:color w:val="auto"/>
              </w:rPr>
            </w:pPr>
          </w:p>
        </w:tc>
        <w:tc>
          <w:tcPr>
            <w:tcW w:w="1160" w:type="dxa"/>
            <w:vAlign w:val="bottom"/>
            <w:tcBorders>
              <w:top w:val="single" w:sz="8" w:color="231F20"/>
            </w:tcBorders>
            <w:shd w:val="clear" w:color="auto" w:fill="EBECEC"/>
          </w:tcPr>
          <w:p>
            <w:pPr>
              <w:spacing w:after="0"/>
              <w:rPr>
                <w:sz w:val="19"/>
                <w:szCs w:val="19"/>
                <w:color w:val="auto"/>
              </w:rPr>
            </w:pPr>
          </w:p>
        </w:tc>
        <w:tc>
          <w:tcPr>
            <w:tcW w:w="280" w:type="dxa"/>
            <w:vAlign w:val="bottom"/>
            <w:tcBorders>
              <w:top w:val="single" w:sz="8" w:color="EBECEC"/>
            </w:tcBorders>
            <w:shd w:val="clear" w:color="auto" w:fill="EBECEC"/>
          </w:tcPr>
          <w:p>
            <w:pPr>
              <w:spacing w:after="0"/>
              <w:rPr>
                <w:sz w:val="19"/>
                <w:szCs w:val="19"/>
                <w:color w:val="auto"/>
              </w:rPr>
            </w:pPr>
          </w:p>
        </w:tc>
        <w:tc>
          <w:tcPr>
            <w:tcW w:w="280" w:type="dxa"/>
            <w:vAlign w:val="bottom"/>
            <w:tcBorders>
              <w:top w:val="single" w:sz="8" w:color="231F20"/>
            </w:tcBorders>
            <w:shd w:val="clear" w:color="auto" w:fill="EBECEC"/>
          </w:tcPr>
          <w:p>
            <w:pPr>
              <w:spacing w:after="0"/>
              <w:rPr>
                <w:sz w:val="19"/>
                <w:szCs w:val="19"/>
                <w:color w:val="auto"/>
              </w:rPr>
            </w:pPr>
          </w:p>
        </w:tc>
        <w:tc>
          <w:tcPr>
            <w:tcW w:w="1200" w:type="dxa"/>
            <w:vAlign w:val="bottom"/>
            <w:tcBorders>
              <w:top w:val="single" w:sz="8" w:color="231F20"/>
            </w:tcBorders>
            <w:shd w:val="clear" w:color="auto" w:fill="EBECEC"/>
          </w:tcPr>
          <w:p>
            <w:pPr>
              <w:spacing w:after="0"/>
              <w:rPr>
                <w:sz w:val="19"/>
                <w:szCs w:val="19"/>
                <w:color w:val="auto"/>
              </w:rPr>
            </w:pPr>
          </w:p>
        </w:tc>
        <w:tc>
          <w:tcPr>
            <w:tcW w:w="80" w:type="dxa"/>
            <w:vAlign w:val="bottom"/>
            <w:tcBorders>
              <w:top w:val="single" w:sz="8" w:color="EBECEC"/>
            </w:tcBorders>
            <w:shd w:val="clear" w:color="auto" w:fill="EBECEC"/>
          </w:tcPr>
          <w:p>
            <w:pPr>
              <w:spacing w:after="0"/>
              <w:rPr>
                <w:sz w:val="19"/>
                <w:szCs w:val="19"/>
                <w:color w:val="auto"/>
              </w:rPr>
            </w:pPr>
          </w:p>
        </w:tc>
      </w:tr>
      <w:tr>
        <w:trPr>
          <w:trHeight w:val="230"/>
        </w:trPr>
        <w:tc>
          <w:tcPr>
            <w:tcW w:w="512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rinzimetostat</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25,090</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231F20"/>
              </w:rPr>
              <w:t>32,106</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(7,016)</w:t>
            </w:r>
          </w:p>
        </w:tc>
      </w:tr>
      <w:tr>
        <w:trPr>
          <w:trHeight w:val="230"/>
        </w:trPr>
        <w:tc>
          <w:tcPr>
            <w:tcW w:w="5120" w:type="dxa"/>
            <w:vAlign w:val="bottom"/>
            <w:shd w:val="clear" w:color="auto" w:fill="EBECEC"/>
          </w:tcPr>
          <w:p>
            <w:pPr>
              <w:ind w:left="300"/>
              <w:spacing w:after="0"/>
              <w:rPr>
                <w:sz w:val="20"/>
                <w:szCs w:val="20"/>
                <w:color w:val="auto"/>
              </w:rPr>
            </w:pPr>
            <w:r>
              <w:rPr>
                <w:rFonts w:ascii="Times New Roman" w:cs="Times New Roman" w:eastAsia="Times New Roman" w:hAnsi="Times New Roman"/>
                <w:sz w:val="20"/>
                <w:szCs w:val="20"/>
                <w:color w:val="231F20"/>
              </w:rPr>
              <w:t>enozertinib</w:t>
            </w:r>
          </w:p>
        </w:tc>
        <w:tc>
          <w:tcPr>
            <w:tcW w:w="340" w:type="dxa"/>
            <w:vAlign w:val="bottom"/>
            <w:shd w:val="clear" w:color="auto" w:fill="EBECEC"/>
          </w:tcPr>
          <w:p>
            <w:pPr>
              <w:spacing w:after="0"/>
              <w:rPr>
                <w:sz w:val="20"/>
                <w:szCs w:val="20"/>
                <w:color w:val="auto"/>
              </w:rPr>
            </w:pPr>
          </w:p>
        </w:tc>
        <w:tc>
          <w:tcPr>
            <w:tcW w:w="1440" w:type="dxa"/>
            <w:vAlign w:val="bottom"/>
            <w:gridSpan w:val="2"/>
            <w:shd w:val="clear" w:color="auto" w:fill="EBECEC"/>
          </w:tcPr>
          <w:p>
            <w:pPr>
              <w:jc w:val="right"/>
              <w:ind w:right="260"/>
              <w:spacing w:after="0"/>
              <w:rPr>
                <w:sz w:val="20"/>
                <w:szCs w:val="20"/>
                <w:color w:val="auto"/>
              </w:rPr>
            </w:pPr>
            <w:r>
              <w:rPr>
                <w:rFonts w:ascii="Times New Roman" w:cs="Times New Roman" w:eastAsia="Times New Roman" w:hAnsi="Times New Roman"/>
                <w:sz w:val="20"/>
                <w:szCs w:val="20"/>
                <w:color w:val="231F20"/>
              </w:rPr>
              <w:t>30,780</w:t>
            </w:r>
          </w:p>
        </w:tc>
        <w:tc>
          <w:tcPr>
            <w:tcW w:w="340" w:type="dxa"/>
            <w:vAlign w:val="bottom"/>
            <w:shd w:val="clear" w:color="auto" w:fill="EBECEC"/>
          </w:tcPr>
          <w:p>
            <w:pPr>
              <w:spacing w:after="0"/>
              <w:rPr>
                <w:sz w:val="20"/>
                <w:szCs w:val="20"/>
                <w:color w:val="auto"/>
              </w:rPr>
            </w:pPr>
          </w:p>
        </w:tc>
        <w:tc>
          <w:tcPr>
            <w:tcW w:w="1440" w:type="dxa"/>
            <w:vAlign w:val="bottom"/>
            <w:gridSpan w:val="2"/>
            <w:shd w:val="clear" w:color="auto" w:fill="EBECEC"/>
          </w:tcPr>
          <w:p>
            <w:pPr>
              <w:ind w:left="620"/>
              <w:spacing w:after="0"/>
              <w:rPr>
                <w:sz w:val="20"/>
                <w:szCs w:val="20"/>
                <w:color w:val="auto"/>
              </w:rPr>
            </w:pPr>
            <w:r>
              <w:rPr>
                <w:rFonts w:ascii="Times New Roman" w:cs="Times New Roman" w:eastAsia="Times New Roman" w:hAnsi="Times New Roman"/>
                <w:sz w:val="20"/>
                <w:szCs w:val="20"/>
                <w:color w:val="231F20"/>
              </w:rPr>
              <w:t>29,313</w:t>
            </w:r>
          </w:p>
        </w:tc>
        <w:tc>
          <w:tcPr>
            <w:tcW w:w="280" w:type="dxa"/>
            <w:vAlign w:val="bottom"/>
            <w:shd w:val="clear" w:color="auto" w:fill="EBECEC"/>
          </w:tcPr>
          <w:p>
            <w:pPr>
              <w:spacing w:after="0"/>
              <w:rPr>
                <w:sz w:val="20"/>
                <w:szCs w:val="20"/>
                <w:color w:val="auto"/>
              </w:rPr>
            </w:pPr>
          </w:p>
        </w:tc>
        <w:tc>
          <w:tcPr>
            <w:tcW w:w="128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1,467</w:t>
            </w:r>
          </w:p>
        </w:tc>
      </w:tr>
      <w:tr>
        <w:trPr>
          <w:trHeight w:val="230"/>
        </w:trPr>
        <w:tc>
          <w:tcPr>
            <w:tcW w:w="512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Preclinical, other unallocated costs and discontinued costs</w:t>
            </w: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15,324</w:t>
            </w:r>
          </w:p>
        </w:tc>
        <w:tc>
          <w:tcPr>
            <w:tcW w:w="340" w:type="dxa"/>
            <w:vAlign w:val="bottom"/>
          </w:tcPr>
          <w:p>
            <w:pPr>
              <w:spacing w:after="0"/>
              <w:rPr>
                <w:sz w:val="19"/>
                <w:szCs w:val="19"/>
                <w:color w:val="auto"/>
              </w:rPr>
            </w:pPr>
          </w:p>
        </w:tc>
        <w:tc>
          <w:tcPr>
            <w:tcW w:w="144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231F20"/>
              </w:rPr>
              <w:t>21,528</w:t>
            </w:r>
          </w:p>
        </w:tc>
        <w:tc>
          <w:tcPr>
            <w:tcW w:w="2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(6,204)</w:t>
            </w:r>
          </w:p>
        </w:tc>
      </w:tr>
      <w:tr>
        <w:trPr>
          <w:trHeight w:val="245"/>
        </w:trPr>
        <w:tc>
          <w:tcPr>
            <w:tcW w:w="5120" w:type="dxa"/>
            <w:vAlign w:val="bottom"/>
            <w:tcBorders>
              <w:top w:val="single" w:sz="8" w:color="EBECEC"/>
              <w:bottom w:val="single" w:sz="8" w:color="EBECEC"/>
            </w:tcBorders>
            <w:shd w:val="clear" w:color="auto" w:fill="EBECEC"/>
          </w:tcPr>
          <w:p>
            <w:pPr>
              <w:ind w:left="400"/>
              <w:spacing w:after="0" w:line="225" w:lineRule="exact"/>
              <w:rPr>
                <w:sz w:val="20"/>
                <w:szCs w:val="20"/>
                <w:color w:val="auto"/>
              </w:rPr>
            </w:pPr>
            <w:r>
              <w:rPr>
                <w:rFonts w:ascii="Times New Roman" w:cs="Times New Roman" w:eastAsia="Times New Roman" w:hAnsi="Times New Roman"/>
                <w:sz w:val="20"/>
                <w:szCs w:val="20"/>
                <w:color w:val="231F20"/>
              </w:rPr>
              <w:t>Total external costs</w:t>
            </w:r>
          </w:p>
        </w:tc>
        <w:tc>
          <w:tcPr>
            <w:tcW w:w="340" w:type="dxa"/>
            <w:vAlign w:val="bottom"/>
            <w:tcBorders>
              <w:top w:val="single" w:sz="8" w:color="231F20"/>
              <w:bottom w:val="single" w:sz="8" w:color="231F20"/>
            </w:tcBorders>
            <w:shd w:val="clear" w:color="auto" w:fill="EBECEC"/>
          </w:tcPr>
          <w:p>
            <w:pPr>
              <w:spacing w:after="0"/>
              <w:rPr>
                <w:sz w:val="21"/>
                <w:szCs w:val="21"/>
                <w:color w:val="auto"/>
              </w:rPr>
            </w:pPr>
          </w:p>
        </w:tc>
        <w:tc>
          <w:tcPr>
            <w:tcW w:w="1180" w:type="dxa"/>
            <w:vAlign w:val="bottom"/>
            <w:tcBorders>
              <w:top w:val="single" w:sz="8" w:color="231F20"/>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71,194</w:t>
            </w:r>
          </w:p>
        </w:tc>
        <w:tc>
          <w:tcPr>
            <w:tcW w:w="260" w:type="dxa"/>
            <w:vAlign w:val="bottom"/>
            <w:tcBorders>
              <w:top w:val="single" w:sz="8" w:color="EBECEC"/>
              <w:bottom w:val="single" w:sz="8" w:color="EBECEC"/>
            </w:tcBorders>
            <w:shd w:val="clear" w:color="auto" w:fill="EBECEC"/>
          </w:tcPr>
          <w:p>
            <w:pPr>
              <w:spacing w:after="0"/>
              <w:rPr>
                <w:sz w:val="21"/>
                <w:szCs w:val="21"/>
                <w:color w:val="auto"/>
              </w:rPr>
            </w:pPr>
          </w:p>
        </w:tc>
        <w:tc>
          <w:tcPr>
            <w:tcW w:w="340" w:type="dxa"/>
            <w:vAlign w:val="bottom"/>
            <w:tcBorders>
              <w:top w:val="single" w:sz="8" w:color="231F20"/>
              <w:bottom w:val="single" w:sz="8" w:color="231F20"/>
            </w:tcBorders>
            <w:shd w:val="clear" w:color="auto" w:fill="EBECEC"/>
          </w:tcPr>
          <w:p>
            <w:pPr>
              <w:spacing w:after="0"/>
              <w:rPr>
                <w:sz w:val="21"/>
                <w:szCs w:val="21"/>
                <w:color w:val="auto"/>
              </w:rPr>
            </w:pPr>
          </w:p>
        </w:tc>
        <w:tc>
          <w:tcPr>
            <w:tcW w:w="1160" w:type="dxa"/>
            <w:vAlign w:val="bottom"/>
            <w:tcBorders>
              <w:top w:val="single" w:sz="8" w:color="231F20"/>
              <w:bottom w:val="single" w:sz="8" w:color="231F20"/>
            </w:tcBorders>
            <w:shd w:val="clear" w:color="auto" w:fill="EBECEC"/>
          </w:tcPr>
          <w:p>
            <w:pPr>
              <w:ind w:left="620"/>
              <w:spacing w:after="0" w:line="225" w:lineRule="exact"/>
              <w:rPr>
                <w:sz w:val="20"/>
                <w:szCs w:val="20"/>
                <w:color w:val="auto"/>
              </w:rPr>
            </w:pPr>
            <w:r>
              <w:rPr>
                <w:rFonts w:ascii="Times New Roman" w:cs="Times New Roman" w:eastAsia="Times New Roman" w:hAnsi="Times New Roman"/>
                <w:sz w:val="20"/>
                <w:szCs w:val="20"/>
                <w:color w:val="231F20"/>
                <w:w w:val="94"/>
              </w:rPr>
              <w:t>82,947</w:t>
            </w:r>
          </w:p>
        </w:tc>
        <w:tc>
          <w:tcPr>
            <w:tcW w:w="280" w:type="dxa"/>
            <w:vAlign w:val="bottom"/>
            <w:tcBorders>
              <w:top w:val="single" w:sz="8" w:color="EBECEC"/>
              <w:bottom w:val="single" w:sz="8" w:color="EBECEC"/>
            </w:tcBorders>
            <w:shd w:val="clear" w:color="auto" w:fill="EBECEC"/>
          </w:tcPr>
          <w:p>
            <w:pPr>
              <w:spacing w:after="0"/>
              <w:rPr>
                <w:sz w:val="21"/>
                <w:szCs w:val="21"/>
                <w:color w:val="auto"/>
              </w:rPr>
            </w:pPr>
          </w:p>
        </w:tc>
        <w:tc>
          <w:tcPr>
            <w:tcW w:w="280" w:type="dxa"/>
            <w:vAlign w:val="bottom"/>
            <w:tcBorders>
              <w:top w:val="single" w:sz="8" w:color="231F20"/>
              <w:bottom w:val="single" w:sz="8" w:color="231F20"/>
            </w:tcBorders>
            <w:shd w:val="clear" w:color="auto" w:fill="EBECEC"/>
          </w:tcPr>
          <w:p>
            <w:pPr>
              <w:spacing w:after="0"/>
              <w:rPr>
                <w:sz w:val="21"/>
                <w:szCs w:val="21"/>
                <w:color w:val="auto"/>
              </w:rPr>
            </w:pPr>
          </w:p>
        </w:tc>
        <w:tc>
          <w:tcPr>
            <w:tcW w:w="1200" w:type="dxa"/>
            <w:vAlign w:val="bottom"/>
            <w:tcBorders>
              <w:top w:val="single" w:sz="8" w:color="231F20"/>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(11,753)</w:t>
            </w:r>
          </w:p>
        </w:tc>
        <w:tc>
          <w:tcPr>
            <w:tcW w:w="80" w:type="dxa"/>
            <w:vAlign w:val="bottom"/>
            <w:tcBorders>
              <w:top w:val="single" w:sz="8" w:color="EBECEC"/>
              <w:bottom w:val="single" w:sz="8" w:color="EBECEC"/>
            </w:tcBorders>
            <w:shd w:val="clear" w:color="auto" w:fill="EBECEC"/>
          </w:tcPr>
          <w:p>
            <w:pPr>
              <w:spacing w:after="0"/>
              <w:rPr>
                <w:sz w:val="21"/>
                <w:szCs w:val="21"/>
                <w:color w:val="auto"/>
              </w:rPr>
            </w:pPr>
          </w:p>
        </w:tc>
      </w:tr>
      <w:tr>
        <w:trPr>
          <w:trHeight w:val="205"/>
        </w:trPr>
        <w:tc>
          <w:tcPr>
            <w:tcW w:w="5120" w:type="dxa"/>
            <w:vAlign w:val="bottom"/>
            <w:tcBorders>
              <w:bottom w:val="single" w:sz="8" w:color="EBECEC"/>
            </w:tcBorders>
          </w:tcPr>
          <w:p>
            <w:pPr>
              <w:ind w:left="100"/>
              <w:spacing w:after="0" w:line="205" w:lineRule="exact"/>
              <w:rPr>
                <w:sz w:val="20"/>
                <w:szCs w:val="20"/>
                <w:color w:val="auto"/>
              </w:rPr>
            </w:pPr>
            <w:r>
              <w:rPr>
                <w:rFonts w:ascii="Times New Roman" w:cs="Times New Roman" w:eastAsia="Times New Roman" w:hAnsi="Times New Roman"/>
                <w:sz w:val="20"/>
                <w:szCs w:val="20"/>
                <w:color w:val="231F20"/>
              </w:rPr>
              <w:t>Internal costs</w:t>
            </w:r>
          </w:p>
        </w:tc>
        <w:tc>
          <w:tcPr>
            <w:tcW w:w="34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38,624</w:t>
            </w:r>
          </w:p>
        </w:tc>
        <w:tc>
          <w:tcPr>
            <w:tcW w:w="260" w:type="dxa"/>
            <w:vAlign w:val="bottom"/>
            <w:tcBorders>
              <w:bottom w:val="single" w:sz="8" w:color="EBECEC"/>
            </w:tcBorders>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ind w:left="620"/>
              <w:spacing w:after="0" w:line="205" w:lineRule="exact"/>
              <w:rPr>
                <w:sz w:val="20"/>
                <w:szCs w:val="20"/>
                <w:color w:val="auto"/>
              </w:rPr>
            </w:pPr>
            <w:r>
              <w:rPr>
                <w:rFonts w:ascii="Times New Roman" w:cs="Times New Roman" w:eastAsia="Times New Roman" w:hAnsi="Times New Roman"/>
                <w:sz w:val="20"/>
                <w:szCs w:val="20"/>
                <w:color w:val="231F20"/>
                <w:w w:val="94"/>
              </w:rPr>
              <w:t>31,125</w:t>
            </w:r>
          </w:p>
        </w:tc>
        <w:tc>
          <w:tcPr>
            <w:tcW w:w="280" w:type="dxa"/>
            <w:vAlign w:val="bottom"/>
            <w:tcBorders>
              <w:bottom w:val="single" w:sz="8" w:color="EBECEC"/>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7,499</w:t>
            </w:r>
          </w:p>
        </w:tc>
        <w:tc>
          <w:tcPr>
            <w:tcW w:w="80" w:type="dxa"/>
            <w:vAlign w:val="bottom"/>
            <w:tcBorders>
              <w:bottom w:val="single" w:sz="8" w:color="EBECEC"/>
            </w:tcBorders>
          </w:tcPr>
          <w:p>
            <w:pPr>
              <w:spacing w:after="0"/>
              <w:rPr>
                <w:sz w:val="17"/>
                <w:szCs w:val="17"/>
                <w:color w:val="auto"/>
              </w:rPr>
            </w:pPr>
          </w:p>
        </w:tc>
      </w:tr>
      <w:tr>
        <w:trPr>
          <w:trHeight w:val="225"/>
        </w:trPr>
        <w:tc>
          <w:tcPr>
            <w:tcW w:w="5120" w:type="dxa"/>
            <w:vAlign w:val="bottom"/>
            <w:shd w:val="clear" w:color="auto" w:fill="EBECEC"/>
          </w:tcPr>
          <w:p>
            <w:pPr>
              <w:ind w:left="100"/>
              <w:spacing w:after="0" w:line="225" w:lineRule="exact"/>
              <w:rPr>
                <w:sz w:val="20"/>
                <w:szCs w:val="20"/>
                <w:color w:val="auto"/>
              </w:rPr>
            </w:pPr>
            <w:r>
              <w:rPr>
                <w:rFonts w:ascii="Times New Roman" w:cs="Times New Roman" w:eastAsia="Times New Roman" w:hAnsi="Times New Roman"/>
                <w:sz w:val="20"/>
                <w:szCs w:val="20"/>
                <w:color w:val="231F20"/>
              </w:rPr>
              <w:t>Total research and development expenses</w:t>
            </w:r>
          </w:p>
        </w:tc>
        <w:tc>
          <w:tcPr>
            <w:tcW w:w="340" w:type="dxa"/>
            <w:vAlign w:val="bottom"/>
            <w:tcBorders>
              <w:bottom w:val="single" w:sz="8" w:color="231F20"/>
            </w:tcBorders>
            <w:shd w:val="clear" w:color="auto" w:fill="EBECEC"/>
          </w:tcPr>
          <w:p>
            <w:pPr>
              <w:jc w:val="right"/>
              <w:ind w:right="1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109,818</w:t>
            </w:r>
          </w:p>
        </w:tc>
        <w:tc>
          <w:tcPr>
            <w:tcW w:w="260" w:type="dxa"/>
            <w:vAlign w:val="bottom"/>
            <w:shd w:val="clear" w:color="auto" w:fill="EBECEC"/>
          </w:tcPr>
          <w:p>
            <w:pPr>
              <w:spacing w:after="0"/>
              <w:rPr>
                <w:sz w:val="19"/>
                <w:szCs w:val="19"/>
                <w:color w:val="auto"/>
              </w:rPr>
            </w:pPr>
          </w:p>
        </w:tc>
        <w:tc>
          <w:tcPr>
            <w:tcW w:w="340" w:type="dxa"/>
            <w:vAlign w:val="bottom"/>
            <w:tcBorders>
              <w:bottom w:val="single" w:sz="8" w:color="231F20"/>
            </w:tcBorders>
            <w:shd w:val="clear" w:color="auto" w:fill="EBECEC"/>
          </w:tcPr>
          <w:p>
            <w:pPr>
              <w:jc w:val="right"/>
              <w:ind w:right="1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bottom w:val="single" w:sz="8" w:color="231F20"/>
            </w:tcBorders>
            <w:shd w:val="clear" w:color="auto" w:fill="EBECEC"/>
          </w:tcPr>
          <w:p>
            <w:pPr>
              <w:ind w:left="520"/>
              <w:spacing w:after="0" w:line="225" w:lineRule="exact"/>
              <w:rPr>
                <w:sz w:val="20"/>
                <w:szCs w:val="20"/>
                <w:color w:val="auto"/>
              </w:rPr>
            </w:pPr>
            <w:r>
              <w:rPr>
                <w:rFonts w:ascii="Times New Roman" w:cs="Times New Roman" w:eastAsia="Times New Roman" w:hAnsi="Times New Roman"/>
                <w:sz w:val="20"/>
                <w:szCs w:val="20"/>
                <w:color w:val="231F20"/>
                <w:w w:val="95"/>
              </w:rPr>
              <w:t>114,072</w:t>
            </w:r>
          </w:p>
        </w:tc>
        <w:tc>
          <w:tcPr>
            <w:tcW w:w="280" w:type="dxa"/>
            <w:vAlign w:val="bottom"/>
            <w:shd w:val="clear" w:color="auto" w:fill="EBECEC"/>
          </w:tcPr>
          <w:p>
            <w:pPr>
              <w:spacing w:after="0"/>
              <w:rPr>
                <w:sz w:val="19"/>
                <w:szCs w:val="19"/>
                <w:color w:val="auto"/>
              </w:rPr>
            </w:pPr>
          </w:p>
        </w:tc>
        <w:tc>
          <w:tcPr>
            <w:tcW w:w="280" w:type="dxa"/>
            <w:vAlign w:val="bottom"/>
            <w:tcBorders>
              <w:bottom w:val="single" w:sz="8" w:color="231F20"/>
            </w:tcBorders>
            <w:shd w:val="clear" w:color="auto" w:fill="EBECEC"/>
          </w:tcPr>
          <w:p>
            <w:pPr>
              <w:jc w:val="right"/>
              <w:ind w:right="8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(4,254)</w:t>
            </w:r>
          </w:p>
        </w:tc>
        <w:tc>
          <w:tcPr>
            <w:tcW w:w="80" w:type="dxa"/>
            <w:vAlign w:val="bottom"/>
            <w:shd w:val="clear" w:color="auto" w:fill="EBECE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231F20"/>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General and Administrative Expenses</w:t>
      </w:r>
    </w:p>
    <w:p>
      <w:pPr>
        <w:spacing w:after="0" w:line="120" w:lineRule="exact"/>
        <w:rPr>
          <w:sz w:val="20"/>
          <w:szCs w:val="20"/>
          <w:color w:val="auto"/>
        </w:rPr>
      </w:pPr>
    </w:p>
    <w:p>
      <w:pPr>
        <w:jc w:val="both"/>
        <w:ind w:right="200" w:firstLine="720"/>
        <w:spacing w:after="0" w:line="258" w:lineRule="auto"/>
        <w:rPr>
          <w:sz w:val="20"/>
          <w:szCs w:val="20"/>
          <w:color w:val="auto"/>
        </w:rPr>
      </w:pPr>
      <w:r>
        <w:rPr>
          <w:rFonts w:ascii="Times New Roman" w:cs="Times New Roman" w:eastAsia="Times New Roman" w:hAnsi="Times New Roman"/>
          <w:sz w:val="20"/>
          <w:szCs w:val="20"/>
          <w:color w:val="231F20"/>
        </w:rPr>
        <w:t>General and administrative expenses were $33.2 million for the year ended December 31, 2025, compared to $28.8 million for 2024, an increase of $4.4 million. This increase was primarily due to higher personnel costs and professional services, including additional non-cash stock-based compensation of $2.7 million.</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101</w:t>
      </w:r>
    </w:p>
    <w:p>
      <w:pPr>
        <w:sectPr>
          <w:pgSz w:w="11880" w:h="15480" w:orient="portrait"/>
          <w:cols w:equalWidth="0" w:num="1">
            <w:col w:w="10760"/>
          </w:cols>
          <w:pgMar w:left="540" w:top="750" w:right="58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Sources of Liquidity</w:t>
      </w:r>
    </w:p>
    <w:p>
      <w:pPr>
        <w:spacing w:after="0" w:line="120"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We previously entered into an ATM sales agreement with Jefferies LLC as our sales agent, to sell shares of our common stock. On March 11, 2024, pursuant to the terms of the ATM sales agreement, we filed a Form S-3ASR and prospectus supplement, to allow us to sell from time to time up to $200.0 million of shares of our common stock in negotiated transactions or transactions deemed to be an ATM offering. During the year ended December 31, 2025, we raised net proceeds in ATM offerings, including participation form healthcare specialist funds, of approximately $ 117.6 million through the sale of 11,780,032 shares at a weighted average purchase price of $10.13. In January 2026, we raised net proceeds in an ATM offering with participation from a healthcare specialist fund of approximately $20.0 million. We did not raise proceeds under an ATM offering in 2024.</w:t>
      </w:r>
    </w:p>
    <w:p>
      <w:pPr>
        <w:spacing w:after="0" w:line="80"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231F20"/>
        </w:rPr>
        <w:t>On May 23, 2025, we entered into a securities purchase agreement with a select group of institutional and accredited healthcare specialist investors for the private placement of 14,130,313 shares of common stock at a price of $6.50 per share and pre-funded warrants to purchase 5,100,532 shares of common stock at a purchase price of $6.4999 per pre-funded warrant, resulting in gross proceeds of $125.0 million. The private placement closed on May 29, 2025.</w:t>
      </w:r>
    </w:p>
    <w:p>
      <w:pPr>
        <w:spacing w:after="0" w:line="74"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231F20"/>
        </w:rPr>
        <w:t>On January 20, 2024, we entered into a securities purchase agreement with a select group of institutional and accredited healthcare specialist investors for the private placement of 12,500,000 shares of common stock at a price of $10.00 per share, resulting in gross proceeds of $125.0 million. The private placement closed on January 23, 2024.</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Future Funding Requirements</w:t>
      </w:r>
    </w:p>
    <w:p>
      <w:pPr>
        <w:spacing w:after="0" w:line="12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spacing w:after="0" w:line="94" w:lineRule="exact"/>
        <w:rPr>
          <w:sz w:val="20"/>
          <w:szCs w:val="20"/>
          <w:color w:val="auto"/>
        </w:rPr>
      </w:pPr>
    </w:p>
    <w:p>
      <w:pPr>
        <w:ind w:left="1220" w:hanging="500"/>
        <w:spacing w:after="0"/>
        <w:tabs>
          <w:tab w:leader="none" w:pos="12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advance our product candidates through preclinical and clinical development;</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seek regulatory approvals for any product candidates that successfully complete clinical trials;</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seek to develop additional product candidates;</w:t>
      </w:r>
    </w:p>
    <w:p>
      <w:pPr>
        <w:spacing w:after="0" w:line="133" w:lineRule="exact"/>
        <w:rPr>
          <w:rFonts w:ascii="Arial" w:cs="Arial" w:eastAsia="Arial" w:hAnsi="Arial"/>
          <w:sz w:val="20"/>
          <w:szCs w:val="20"/>
          <w:color w:val="231F20"/>
        </w:rPr>
      </w:pPr>
    </w:p>
    <w:p>
      <w:pPr>
        <w:ind w:left="1220" w:right="60" w:hanging="500"/>
        <w:spacing w:after="0" w:line="276" w:lineRule="auto"/>
        <w:tabs>
          <w:tab w:leader="none" w:pos="12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a sales, marketing, medical affairs and distribution infrastructure to commercialize any product candidates for which we may obtain marketing approval and intend to commercialize on our own or jointly;</w:t>
      </w:r>
    </w:p>
    <w:p>
      <w:pPr>
        <w:spacing w:after="0" w:line="64" w:lineRule="exact"/>
        <w:rPr>
          <w:rFonts w:ascii="Arial" w:cs="Arial" w:eastAsia="Arial" w:hAnsi="Arial"/>
          <w:sz w:val="20"/>
          <w:szCs w:val="20"/>
          <w:color w:val="231F20"/>
        </w:rPr>
      </w:pPr>
    </w:p>
    <w:p>
      <w:pPr>
        <w:ind w:left="1220" w:right="120" w:hanging="500"/>
        <w:spacing w:after="0" w:line="276" w:lineRule="auto"/>
        <w:tabs>
          <w:tab w:leader="none" w:pos="12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expand our operational, financial and management systems and increase personnel, including personnel to support our development, manufacturing and commercialization efforts and our operations as a public company;</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maintain, expand, protect and enforce our intellectual property portfolio; and</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acquire or in-license other product candidates and technologies.</w:t>
      </w:r>
    </w:p>
    <w:p>
      <w:pPr>
        <w:spacing w:after="0" w:line="239"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19"/>
          <w:szCs w:val="19"/>
          <w:color w:val="231F20"/>
        </w:rPr>
        <w:t>We expect our current cash, cash equivalents and investments will be sufficient to fund our current operating plan into the second half of 2028.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102</w:t>
      </w:r>
    </w:p>
    <w:p>
      <w:pPr>
        <w:sectPr>
          <w:pgSz w:w="11880" w:h="15480" w:orient="portrait"/>
          <w:cols w:equalWidth="0" w:num="1">
            <w:col w:w="10800"/>
          </w:cols>
          <w:pgMar w:left="540" w:top="746" w:right="540" w:bottom="0" w:gutter="0" w:footer="0" w:header="0"/>
          <w:type w:val="continuous"/>
        </w:sectPr>
      </w:pPr>
    </w:p>
    <w:bookmarkStart w:id="108" w:name="page109"/>
    <w:bookmarkEnd w:id="108"/>
    <w:p>
      <w:pPr>
        <w:ind w:right="120"/>
        <w:spacing w:after="0" w:line="277" w:lineRule="auto"/>
        <w:rPr>
          <w:sz w:val="20"/>
          <w:szCs w:val="20"/>
          <w:color w:val="auto"/>
        </w:rPr>
      </w:pPr>
      <w:r>
        <w:rPr>
          <w:rFonts w:ascii="Times New Roman" w:cs="Times New Roman" w:eastAsia="Times New Roman" w:hAnsi="Times New Roman"/>
          <w:sz w:val="20"/>
          <w:szCs w:val="20"/>
          <w:color w:val="231F20"/>
        </w:rPr>
        <w:t>terms, or at all. If we are unable to raise additional funds when needed, we may be required to delay, reduce or eliminate our product development or future commercialization efforts.</w:t>
      </w:r>
    </w:p>
    <w:p>
      <w:pPr>
        <w:spacing w:after="0" w:line="49"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 unable to estimate the exact amount and timing of our working capital requirements. Our future funding requirements will depend on many factors, including:</w:t>
      </w:r>
    </w:p>
    <w:p>
      <w:pPr>
        <w:spacing w:after="0" w:line="91" w:lineRule="exact"/>
        <w:rPr>
          <w:sz w:val="20"/>
          <w:szCs w:val="20"/>
          <w:color w:val="auto"/>
        </w:rPr>
      </w:pPr>
    </w:p>
    <w:p>
      <w:pPr>
        <w:ind w:left="1200" w:right="40" w:hanging="480"/>
        <w:spacing w:after="0" w:line="276" w:lineRule="auto"/>
        <w:tabs>
          <w:tab w:leader="none" w:pos="120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progress, results and costs of researching and developing our product candidates, and conducting preclinical studies and clinical trials;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timing and outcome of regulatory review of our product candidates;</w:t>
      </w:r>
    </w:p>
    <w:p>
      <w:pPr>
        <w:spacing w:after="0" w:line="133" w:lineRule="exact"/>
        <w:rPr>
          <w:rFonts w:ascii="Arial" w:cs="Arial" w:eastAsia="Arial" w:hAnsi="Arial"/>
          <w:sz w:val="20"/>
          <w:szCs w:val="20"/>
          <w:color w:val="231F20"/>
        </w:rPr>
      </w:pPr>
    </w:p>
    <w:p>
      <w:pPr>
        <w:ind w:left="1220" w:right="240" w:hanging="500"/>
        <w:spacing w:after="0" w:line="276" w:lineRule="auto"/>
        <w:tabs>
          <w:tab w:leader="none" w:pos="12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future activities, including product sales, medical affairs, marketing, manufacturing and distribution, for any of our product candidates for which we receive marketing approval;</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manufacturing commercial-grade products and sufficient inventory to support commercial launch;</w:t>
      </w:r>
    </w:p>
    <w:p>
      <w:pPr>
        <w:spacing w:after="0" w:line="133" w:lineRule="exact"/>
        <w:rPr>
          <w:rFonts w:ascii="Arial" w:cs="Arial" w:eastAsia="Arial" w:hAnsi="Arial"/>
          <w:sz w:val="20"/>
          <w:szCs w:val="20"/>
          <w:color w:val="231F20"/>
        </w:rPr>
      </w:pPr>
    </w:p>
    <w:p>
      <w:pPr>
        <w:ind w:left="1220" w:right="500" w:hanging="500"/>
        <w:spacing w:after="0" w:line="276" w:lineRule="auto"/>
        <w:tabs>
          <w:tab w:leader="none" w:pos="12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revenue, if any, received from commercial sale of our products, should any of our product candidates receive marketing approval;</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and timing of hiring new employees to support our continued growth;</w:t>
      </w:r>
    </w:p>
    <w:p>
      <w:pPr>
        <w:spacing w:after="0" w:line="133" w:lineRule="exact"/>
        <w:rPr>
          <w:rFonts w:ascii="Arial" w:cs="Arial" w:eastAsia="Arial" w:hAnsi="Arial"/>
          <w:sz w:val="20"/>
          <w:szCs w:val="20"/>
          <w:color w:val="231F20"/>
        </w:rPr>
      </w:pPr>
    </w:p>
    <w:p>
      <w:pPr>
        <w:ind w:left="1220" w:right="200" w:hanging="500"/>
        <w:spacing w:after="0" w:line="276" w:lineRule="auto"/>
        <w:tabs>
          <w:tab w:leader="none" w:pos="12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preparing, filing and prosecuting patent applications, maintaining and enforcing our intellectual property rights and defending intellectual property-related claims;</w:t>
      </w:r>
    </w:p>
    <w:p>
      <w:pPr>
        <w:spacing w:after="0" w:line="64" w:lineRule="exact"/>
        <w:rPr>
          <w:rFonts w:ascii="Arial" w:cs="Arial" w:eastAsia="Arial" w:hAnsi="Arial"/>
          <w:sz w:val="20"/>
          <w:szCs w:val="20"/>
          <w:color w:val="231F20"/>
        </w:rPr>
      </w:pPr>
    </w:p>
    <w:p>
      <w:pPr>
        <w:ind w:left="1220" w:hanging="500"/>
        <w:spacing w:after="0"/>
        <w:tabs>
          <w:tab w:leader="none" w:pos="12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establish and maintain collaborations on favorable terms, if at all;</w:t>
      </w:r>
    </w:p>
    <w:p>
      <w:pPr>
        <w:spacing w:after="0" w:line="133" w:lineRule="exact"/>
        <w:rPr>
          <w:rFonts w:ascii="Arial" w:cs="Arial" w:eastAsia="Arial" w:hAnsi="Arial"/>
          <w:sz w:val="20"/>
          <w:szCs w:val="20"/>
          <w:color w:val="231F20"/>
        </w:rPr>
      </w:pPr>
    </w:p>
    <w:p>
      <w:pPr>
        <w:ind w:left="1220" w:hanging="500"/>
        <w:spacing w:after="0"/>
        <w:tabs>
          <w:tab w:leader="none" w:pos="12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to which we acquire or in-license other product candidates and technologies; and</w:t>
      </w:r>
    </w:p>
    <w:p>
      <w:pPr>
        <w:spacing w:after="0" w:line="133" w:lineRule="exact"/>
        <w:rPr>
          <w:rFonts w:ascii="Arial" w:cs="Arial" w:eastAsia="Arial" w:hAnsi="Arial"/>
          <w:sz w:val="20"/>
          <w:szCs w:val="20"/>
          <w:color w:val="231F20"/>
        </w:rPr>
      </w:pPr>
    </w:p>
    <w:p>
      <w:pPr>
        <w:ind w:left="1220" w:right="560" w:hanging="500"/>
        <w:spacing w:after="0" w:line="276" w:lineRule="auto"/>
        <w:tabs>
          <w:tab w:leader="none" w:pos="122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receipt and amount of sales of, or milestone payments related to or royalties on, our current or future product candidates, if any.</w:t>
      </w:r>
    </w:p>
    <w:p>
      <w:pPr>
        <w:spacing w:after="0" w:line="17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summarizes the sources and uses of our cash (in thousands):</w:t>
      </w:r>
    </w:p>
    <w:p>
      <w:pPr>
        <w:spacing w:after="0" w:line="321" w:lineRule="exact"/>
        <w:rPr>
          <w:sz w:val="20"/>
          <w:szCs w:val="20"/>
          <w:color w:val="auto"/>
        </w:rPr>
      </w:pPr>
    </w:p>
    <w:tbl>
      <w:tblPr>
        <w:tblLayout w:type="fixed"/>
        <w:tblInd w:w="1080" w:type="dxa"/>
        <w:tblCellMar>
          <w:top w:w="0" w:type="dxa"/>
          <w:left w:w="0" w:type="dxa"/>
          <w:bottom w:w="0" w:type="dxa"/>
          <w:right w:w="0" w:type="dxa"/>
        </w:tblCellMar>
      </w:tblPr>
      <w:tr>
        <w:trPr>
          <w:trHeight w:val="252"/>
        </w:trPr>
        <w:tc>
          <w:tcPr>
            <w:tcW w:w="586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December 31,</w:t>
            </w:r>
          </w:p>
        </w:tc>
        <w:tc>
          <w:tcPr>
            <w:tcW w:w="82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r>
      <w:tr>
        <w:trPr>
          <w:trHeight w:val="253"/>
        </w:trPr>
        <w:tc>
          <w:tcPr>
            <w:tcW w:w="5860" w:type="dxa"/>
            <w:vAlign w:val="bottom"/>
            <w:tcBorders>
              <w:bottom w:val="single" w:sz="8" w:color="EBECEC"/>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20" w:type="dxa"/>
            <w:vAlign w:val="bottom"/>
            <w:tcBorders>
              <w:bottom w:val="single" w:sz="8" w:color="EBECEC"/>
            </w:tcBorders>
          </w:tcPr>
          <w:p>
            <w:pPr>
              <w:spacing w:after="0"/>
              <w:rPr>
                <w:sz w:val="22"/>
                <w:szCs w:val="22"/>
                <w:color w:val="auto"/>
              </w:rPr>
            </w:pPr>
          </w:p>
        </w:tc>
        <w:tc>
          <w:tcPr>
            <w:tcW w:w="42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80" w:type="dxa"/>
            <w:vAlign w:val="bottom"/>
            <w:tcBorders>
              <w:bottom w:val="single" w:sz="8" w:color="EBECEC"/>
            </w:tcBorders>
          </w:tcPr>
          <w:p>
            <w:pPr>
              <w:spacing w:after="0"/>
              <w:rPr>
                <w:sz w:val="22"/>
                <w:szCs w:val="22"/>
                <w:color w:val="auto"/>
              </w:rPr>
            </w:pPr>
          </w:p>
        </w:tc>
      </w:tr>
      <w:tr>
        <w:trPr>
          <w:trHeight w:val="225"/>
        </w:trPr>
        <w:tc>
          <w:tcPr>
            <w:tcW w:w="586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Net cash used in operating activities</w:t>
            </w:r>
          </w:p>
        </w:tc>
        <w:tc>
          <w:tcPr>
            <w:tcW w:w="260" w:type="dxa"/>
            <w:vAlign w:val="bottom"/>
            <w:shd w:val="clear" w:color="auto" w:fill="EBECEC"/>
          </w:tcPr>
          <w:p>
            <w:pPr>
              <w:jc w:val="right"/>
              <w:ind w:right="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(110,970)</w:t>
            </w:r>
          </w:p>
        </w:tc>
        <w:tc>
          <w:tcPr>
            <w:tcW w:w="220" w:type="dxa"/>
            <w:vAlign w:val="bottom"/>
            <w:shd w:val="clear" w:color="auto" w:fill="EBECEC"/>
          </w:tcPr>
          <w:p>
            <w:pPr>
              <w:spacing w:after="0"/>
              <w:rPr>
                <w:sz w:val="19"/>
                <w:szCs w:val="19"/>
                <w:color w:val="auto"/>
              </w:rPr>
            </w:pPr>
          </w:p>
        </w:tc>
        <w:tc>
          <w:tcPr>
            <w:tcW w:w="420" w:type="dxa"/>
            <w:vAlign w:val="bottom"/>
            <w:shd w:val="clear" w:color="auto" w:fill="EBECEC"/>
          </w:tcPr>
          <w:p>
            <w:pPr>
              <w:jc w:val="right"/>
              <w:ind w:right="2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(112,662)</w:t>
            </w:r>
          </w:p>
        </w:tc>
        <w:tc>
          <w:tcPr>
            <w:tcW w:w="80" w:type="dxa"/>
            <w:vAlign w:val="bottom"/>
            <w:shd w:val="clear" w:color="auto" w:fill="EBECE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231F20"/>
              </w:rPr>
              <w:t>Net cash (used in) provided by investing activities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(148,031)</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22,137</w:t>
            </w:r>
          </w:p>
        </w:tc>
        <w:tc>
          <w:tcPr>
            <w:tcW w:w="80" w:type="dxa"/>
            <w:vAlign w:val="bottom"/>
          </w:tcPr>
          <w:p>
            <w:pPr>
              <w:spacing w:after="0"/>
              <w:rPr>
                <w:sz w:val="20"/>
                <w:szCs w:val="20"/>
                <w:color w:val="auto"/>
              </w:rPr>
            </w:pPr>
          </w:p>
        </w:tc>
      </w:tr>
      <w:tr>
        <w:trPr>
          <w:trHeight w:val="230"/>
        </w:trPr>
        <w:tc>
          <w:tcPr>
            <w:tcW w:w="58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Net cash provided by financing activities</w:t>
            </w:r>
          </w:p>
        </w:tc>
        <w:tc>
          <w:tcPr>
            <w:tcW w:w="260" w:type="dxa"/>
            <w:vAlign w:val="bottom"/>
            <w:shd w:val="clear" w:color="auto" w:fill="EBECEC"/>
          </w:tcPr>
          <w:p>
            <w:pPr>
              <w:spacing w:after="0"/>
              <w:rPr>
                <w:sz w:val="20"/>
                <w:szCs w:val="20"/>
                <w:color w:val="auto"/>
              </w:rPr>
            </w:pPr>
          </w:p>
        </w:tc>
        <w:tc>
          <w:tcPr>
            <w:tcW w:w="1200" w:type="dxa"/>
            <w:vAlign w:val="bottom"/>
            <w:gridSpan w:val="2"/>
            <w:shd w:val="clear" w:color="auto" w:fill="EBECEC"/>
          </w:tcPr>
          <w:p>
            <w:pPr>
              <w:jc w:val="right"/>
              <w:ind w:right="220"/>
              <w:spacing w:after="0"/>
              <w:rPr>
                <w:sz w:val="20"/>
                <w:szCs w:val="20"/>
                <w:color w:val="auto"/>
              </w:rPr>
            </w:pPr>
            <w:r>
              <w:rPr>
                <w:rFonts w:ascii="Times New Roman" w:cs="Times New Roman" w:eastAsia="Times New Roman" w:hAnsi="Times New Roman"/>
                <w:sz w:val="20"/>
                <w:szCs w:val="20"/>
                <w:color w:val="231F20"/>
              </w:rPr>
              <w:t>245,264</w:t>
            </w:r>
          </w:p>
        </w:tc>
        <w:tc>
          <w:tcPr>
            <w:tcW w:w="420" w:type="dxa"/>
            <w:vAlign w:val="bottom"/>
            <w:shd w:val="clear" w:color="auto" w:fill="EBECEC"/>
          </w:tcPr>
          <w:p>
            <w:pPr>
              <w:spacing w:after="0"/>
              <w:rPr>
                <w:sz w:val="20"/>
                <w:szCs w:val="20"/>
                <w:color w:val="auto"/>
              </w:rPr>
            </w:pPr>
          </w:p>
        </w:tc>
        <w:tc>
          <w:tcPr>
            <w:tcW w:w="90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126,547</w:t>
            </w:r>
          </w:p>
        </w:tc>
      </w:tr>
      <w:tr>
        <w:trPr>
          <w:trHeight w:val="225"/>
        </w:trPr>
        <w:tc>
          <w:tcPr>
            <w:tcW w:w="586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Net (decrease) increase in cash, cash equivalents and restricted cash</w:t>
            </w:r>
          </w:p>
        </w:tc>
        <w:tc>
          <w:tcPr>
            <w:tcW w:w="260" w:type="dxa"/>
            <w:vAlign w:val="bottom"/>
            <w:tcBorders>
              <w:top w:val="single" w:sz="8" w:color="231F20"/>
              <w:bottom w:val="single" w:sz="8" w:color="231F20"/>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(13,737)</w:t>
            </w:r>
          </w:p>
        </w:tc>
        <w:tc>
          <w:tcPr>
            <w:tcW w:w="220" w:type="dxa"/>
            <w:vAlign w:val="bottom"/>
          </w:tcPr>
          <w:p>
            <w:pPr>
              <w:spacing w:after="0"/>
              <w:rPr>
                <w:sz w:val="19"/>
                <w:szCs w:val="19"/>
                <w:color w:val="auto"/>
              </w:rPr>
            </w:pPr>
          </w:p>
        </w:tc>
        <w:tc>
          <w:tcPr>
            <w:tcW w:w="420" w:type="dxa"/>
            <w:vAlign w:val="bottom"/>
            <w:tcBorders>
              <w:top w:val="single" w:sz="8" w:color="231F20"/>
              <w:bottom w:val="single" w:sz="8" w:color="231F20"/>
            </w:tcBorders>
          </w:tcPr>
          <w:p>
            <w:pPr>
              <w:jc w:val="right"/>
              <w:ind w:right="2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36,022</w:t>
            </w: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Activities</w:t>
      </w:r>
    </w:p>
    <w:p>
      <w:pPr>
        <w:spacing w:after="0" w:line="120"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20"/>
          <w:szCs w:val="20"/>
          <w:color w:val="231F20"/>
        </w:rPr>
        <w:t>Net cash used in operating activities during the year ended December 31, 2025, of $111.0 million was primarily attributable to our net loss of $129.5 million and $5.5 million in changes to working capital related to timing of payments, offset by non-</w:t>
      </w:r>
    </w:p>
    <w:p>
      <w:pPr>
        <w:spacing w:after="0" w:line="1" w:lineRule="exact"/>
        <w:rPr>
          <w:sz w:val="20"/>
          <w:szCs w:val="20"/>
          <w:color w:val="auto"/>
        </w:rPr>
      </w:pPr>
    </w:p>
    <w:p>
      <w:pPr>
        <w:ind w:right="740"/>
        <w:spacing w:after="0" w:line="248" w:lineRule="auto"/>
        <w:rPr>
          <w:sz w:val="20"/>
          <w:szCs w:val="20"/>
          <w:color w:val="auto"/>
        </w:rPr>
      </w:pPr>
      <w:r>
        <w:rPr>
          <w:rFonts w:ascii="Times New Roman" w:cs="Times New Roman" w:eastAsia="Times New Roman" w:hAnsi="Times New Roman"/>
          <w:sz w:val="20"/>
          <w:szCs w:val="20"/>
          <w:color w:val="231F20"/>
        </w:rPr>
        <w:t>cash expenses of $24.0 million, which were primarily driven by stock-based compensation offset by accretion of discount on investments.</w:t>
      </w:r>
    </w:p>
    <w:p>
      <w:pPr>
        <w:spacing w:after="0" w:line="77"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231F20"/>
        </w:rPr>
        <w:t>Net cash used in operating activities during the year ended December 31, 2024, of $112.7 million was primarily attributable to our net loss of $127.8 million, offset by non-cash expenses of $ 13.2 million, which were primarily driven by stock-based compensation offset by accretion of discount on investments, and $2.0 million in changes to working capital related to timing of payments.</w:t>
      </w:r>
    </w:p>
    <w:p>
      <w:pPr>
        <w:sectPr>
          <w:pgSz w:w="11880" w:h="15480" w:orient="portrait"/>
          <w:cols w:equalWidth="0" w:num="1">
            <w:col w:w="10740"/>
          </w:cols>
          <w:pgMar w:left="540" w:top="75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103</w:t>
      </w:r>
    </w:p>
    <w:p>
      <w:pPr>
        <w:sectPr>
          <w:pgSz w:w="11880" w:h="15480" w:orient="portrait"/>
          <w:cols w:equalWidth="0" w:num="1">
            <w:col w:w="10740"/>
          </w:cols>
          <w:pgMar w:left="540" w:top="750" w:right="60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Investing Activities</w:t>
      </w:r>
    </w:p>
    <w:p>
      <w:pPr>
        <w:spacing w:after="0" w:line="120" w:lineRule="exact"/>
        <w:rPr>
          <w:sz w:val="20"/>
          <w:szCs w:val="20"/>
          <w:color w:val="auto"/>
        </w:rPr>
      </w:pPr>
    </w:p>
    <w:p>
      <w:pPr>
        <w:ind w:right="160" w:firstLine="720"/>
        <w:spacing w:after="0" w:line="277" w:lineRule="auto"/>
        <w:rPr>
          <w:sz w:val="20"/>
          <w:szCs w:val="20"/>
          <w:color w:val="auto"/>
        </w:rPr>
      </w:pPr>
      <w:r>
        <w:rPr>
          <w:rFonts w:ascii="Times New Roman" w:cs="Times New Roman" w:eastAsia="Times New Roman" w:hAnsi="Times New Roman"/>
          <w:sz w:val="20"/>
          <w:szCs w:val="20"/>
          <w:color w:val="231F20"/>
        </w:rPr>
        <w:t>Net cash used in investing activities during the year ended December 31, 2025, of $148.0 million was primarily attributable to purchases of investments, net of maturities.</w:t>
      </w:r>
    </w:p>
    <w:p>
      <w:pPr>
        <w:spacing w:after="0" w:line="49" w:lineRule="exact"/>
        <w:rPr>
          <w:sz w:val="20"/>
          <w:szCs w:val="20"/>
          <w:color w:val="auto"/>
        </w:rPr>
      </w:pPr>
    </w:p>
    <w:p>
      <w:pPr>
        <w:ind w:right="840" w:firstLine="720"/>
        <w:spacing w:after="0" w:line="277" w:lineRule="auto"/>
        <w:rPr>
          <w:sz w:val="20"/>
          <w:szCs w:val="20"/>
          <w:color w:val="auto"/>
        </w:rPr>
      </w:pPr>
      <w:r>
        <w:rPr>
          <w:rFonts w:ascii="Times New Roman" w:cs="Times New Roman" w:eastAsia="Times New Roman" w:hAnsi="Times New Roman"/>
          <w:sz w:val="20"/>
          <w:szCs w:val="20"/>
          <w:color w:val="231F20"/>
        </w:rPr>
        <w:t>Net cash provided by investing activities during the year ended December 31, 2024, of $22.1 million was primarily attributable to maturities of investments, net of purchases.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Financing Activities</w:t>
      </w:r>
    </w:p>
    <w:p>
      <w:pPr>
        <w:spacing w:after="0" w:line="12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231F20"/>
        </w:rPr>
        <w:t>Net cash provided by financing activities during the year ended December 31, 2025, of $245.3 million was primarily attributable to net proceeds received from our private placement in May 2025 of $ 124.4 million, net proceeds from our ATM offerings of $117.6 million and proceeds received from stock option exercises and common stock issued under our ESPP.</w:t>
      </w:r>
    </w:p>
    <w:p>
      <w:pPr>
        <w:spacing w:after="0" w:line="68" w:lineRule="exact"/>
        <w:rPr>
          <w:sz w:val="20"/>
          <w:szCs w:val="20"/>
          <w:color w:val="auto"/>
        </w:rPr>
      </w:pPr>
    </w:p>
    <w:p>
      <w:pPr>
        <w:jc w:val="both"/>
        <w:ind w:right="680" w:firstLine="720"/>
        <w:spacing w:after="0" w:line="258" w:lineRule="auto"/>
        <w:rPr>
          <w:sz w:val="20"/>
          <w:szCs w:val="20"/>
          <w:color w:val="auto"/>
        </w:rPr>
      </w:pPr>
      <w:r>
        <w:rPr>
          <w:rFonts w:ascii="Times New Roman" w:cs="Times New Roman" w:eastAsia="Times New Roman" w:hAnsi="Times New Roman"/>
          <w:sz w:val="20"/>
          <w:szCs w:val="20"/>
          <w:color w:val="231F20"/>
        </w:rPr>
        <w:t>Net cash provided by financing activities during the year ended December 31, 2024, of $126.5 million was primarily attributable to net proceeds received in connection with our private placement in January 2024 of $124.8 million and proceeds received from stock option exercises and common stock issued under our ESPP.</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Contractual Obligations and Commitments</w:t>
      </w:r>
    </w:p>
    <w:p>
      <w:pPr>
        <w:spacing w:after="0" w:line="120" w:lineRule="exact"/>
        <w:rPr>
          <w:sz w:val="20"/>
          <w:szCs w:val="20"/>
          <w:color w:val="auto"/>
        </w:rPr>
      </w:pPr>
    </w:p>
    <w:p>
      <w:pPr>
        <w:ind w:right="500" w:firstLine="720"/>
        <w:spacing w:after="0" w:line="277" w:lineRule="auto"/>
        <w:rPr>
          <w:sz w:val="20"/>
          <w:szCs w:val="20"/>
          <w:color w:val="auto"/>
        </w:rPr>
      </w:pPr>
      <w:r>
        <w:rPr>
          <w:rFonts w:ascii="Times New Roman" w:cs="Times New Roman" w:eastAsia="Times New Roman" w:hAnsi="Times New Roman"/>
          <w:sz w:val="20"/>
          <w:szCs w:val="20"/>
          <w:color w:val="231F20"/>
        </w:rPr>
        <w:t>Our contractual obligations and commitments as of December 31, 2025, consist of future payments under our operating leases. See Note 8 to our audited financial statements for detail regarding our operating leases.</w:t>
      </w:r>
    </w:p>
    <w:p>
      <w:pPr>
        <w:spacing w:after="0" w:line="49"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231F20"/>
        </w:rPr>
        <w:t>In addition, we have entered into contracts in the normal course of business with CROs, CMOs and other third parties for preclinical research studies and testing, clinical trials and manufacturing services. These contracts do not contain any minimum purchase commitments and are cancelable by us upon prior notice. Payments due upon cancellation consist only of payments for services provided and expenses incurred, including non-cancelable obligations of our service providers, up to the date of cancellation. We have entered into agreements with certain vendors for the provision of goods and services, which includes manufacturing services with CMOs and development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86"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color w:val="231F20"/>
        </w:rPr>
        <w:t>We do not currently have, nor did we have any off-balance sheet arrangements, as defined in the rules and regulations of the SEC, during the periods presented</w:t>
      </w:r>
      <w:r>
        <w:rPr>
          <w:rFonts w:ascii="Times New Roman" w:cs="Times New Roman" w:eastAsia="Times New Roman" w:hAnsi="Times New Roman"/>
          <w:sz w:val="20"/>
          <w:szCs w:val="20"/>
          <w:color w:val="4F4F51"/>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Critical Accounting Policies and Significant Judgments and Estimates</w:t>
      </w:r>
    </w:p>
    <w:p>
      <w:pPr>
        <w:spacing w:after="0" w:line="120"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231F20"/>
        </w:rPr>
        <w:t>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w:t>
      </w:r>
    </w:p>
    <w:p>
      <w:pPr>
        <w:spacing w:after="0" w:line="82" w:lineRule="exact"/>
        <w:rPr>
          <w:sz w:val="20"/>
          <w:szCs w:val="20"/>
          <w:color w:val="auto"/>
        </w:rPr>
      </w:pPr>
    </w:p>
    <w:p>
      <w:pPr>
        <w:jc w:val="both"/>
        <w:ind w:right="380" w:firstLine="720"/>
        <w:spacing w:after="0" w:line="258" w:lineRule="auto"/>
        <w:rPr>
          <w:sz w:val="20"/>
          <w:szCs w:val="20"/>
          <w:color w:val="auto"/>
        </w:rPr>
      </w:pPr>
      <w:r>
        <w:rPr>
          <w:rFonts w:ascii="Times New Roman" w:cs="Times New Roman" w:eastAsia="Times New Roman" w:hAnsi="Times New Roman"/>
          <w:sz w:val="20"/>
          <w:szCs w:val="20"/>
          <w:color w:val="231F20"/>
        </w:rPr>
        <w:t>While our significant accounting policies are described in more detail in the notes to our audited financial statements, we believe that the following accounting policies are those most critical to the judgments and estimates used in the preparation of our financial statements.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104</w:t>
      </w:r>
    </w:p>
    <w:p>
      <w:pPr>
        <w:sectPr>
          <w:pgSz w:w="11880" w:h="15480" w:orient="portrait"/>
          <w:cols w:equalWidth="0" w:num="1">
            <w:col w:w="10780"/>
          </w:cols>
          <w:pgMar w:left="540" w:top="750" w:right="56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12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82"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Research and development costs are expensed in the periods in which they are incurred. External costs consist primarily of payments to outside consultants, third-party CROs, CMOs, clinical trial sites and central laboratories in connection with our discovery and preclinical activities, process development, manufacturing and clinical development activities. External costs also include laboratory supplies as well as allocated facilities, depreciation and other expenses. External expenses are recognized based on an evaluation of the progress to completion of specific tasks using information provided to us by our service providers or our estimate of the level of service that has been performed at each reporting date. We allocate external costs by program, clinical or preclinical. Internal costs consist primary of employee-related costs including salaries, related benefits and stock-based compensation expense for employees engaged in research and development functions. We do not allocate internal costs by program because these costs are deployed across multiple programs and, as such, are not separately classified.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Recently Issued Accounting Pronouncements</w:t>
      </w:r>
    </w:p>
    <w:p>
      <w:pPr>
        <w:spacing w:after="0" w:line="120"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color w:val="231F20"/>
        </w:rPr>
        <w:t>A description of recently issued accounting pronouncements that may potentially impact our financial position and results of operations is disclosed in Note 2 to our audited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Transition from Emerging Growth Company Status and Smaller Reporting Company Status</w:t>
      </w:r>
    </w:p>
    <w:p>
      <w:pPr>
        <w:spacing w:after="0" w:line="120" w:lineRule="exact"/>
        <w:rPr>
          <w:sz w:val="20"/>
          <w:szCs w:val="20"/>
          <w:color w:val="auto"/>
        </w:rPr>
      </w:pPr>
    </w:p>
    <w:p>
      <w:pPr>
        <w:ind w:right="320" w:firstLine="720"/>
        <w:spacing w:after="0" w:line="252" w:lineRule="auto"/>
        <w:rPr>
          <w:sz w:val="20"/>
          <w:szCs w:val="20"/>
          <w:color w:val="auto"/>
        </w:rPr>
      </w:pPr>
      <w:r>
        <w:rPr>
          <w:rFonts w:ascii="Times New Roman" w:cs="Times New Roman" w:eastAsia="Times New Roman" w:hAnsi="Times New Roman"/>
          <w:sz w:val="20"/>
          <w:szCs w:val="20"/>
          <w:color w:val="231F20"/>
        </w:rPr>
        <w:t>On December 31, 2025, we ceased to be an “emerging growth company (EGC)”, as defined in the JOBS Act, due to the occurrence of the fifth anniversary of our initial public offering in April 2025. Accordingly, we may no longer take advantage of EGC-related reduced reporting requirements that are otherwise applicable to public companies. EGC status also exempted us from having to provide an auditor attestation of internal control over financial reporting under Sarbanes-Oxley Act Section 404(b).</w:t>
      </w:r>
    </w:p>
    <w:p>
      <w:pPr>
        <w:spacing w:after="0" w:line="19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On December 31, 2025, we also ceased to be a “smaller reporting company” as defined in the Exchange Act because the market value of our stock held by non-affiliates exceeded $700 million as of June 30, 2025. However, we are complying with certain of the scaled disclosure requirements available to smaller reporting companies in this Annual Report (including, for example, presenting only the two most recent fiscal years of audited consolidated financial statements), which we are permitted to do under SEC rules because we were a smaller reporting company in 2025. As a result, the information that we provide to our stockholders may be different than the information you might receive from other public reporting companies in which you hold equity interests.</w:t>
      </w:r>
    </w:p>
    <w:p>
      <w:pPr>
        <w:spacing w:after="0" w:line="200"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color w:val="231F20"/>
        </w:rPr>
        <w:t>Due to the loss of EGC and smaller reporting company status as of December 31, 2025, we expect our public company compliance costs to increase.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Rate Risk</w:t>
      </w:r>
    </w:p>
    <w:p>
      <w:pPr>
        <w:spacing w:after="0" w:line="12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certificates of deposit and commercial paper, all with various maturity dates. As of December 31, 2025, we had cash equivalents and investments of $392.3 million, consisting of interest-bearing money market funds, certificates of deposit, securities issued by the U.S. Treasury and</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105</w:t>
      </w:r>
    </w:p>
    <w:p>
      <w:pPr>
        <w:sectPr>
          <w:pgSz w:w="11880" w:h="15480" w:orient="portrait"/>
          <w:cols w:equalWidth="0" w:num="1">
            <w:col w:w="10780"/>
          </w:cols>
          <w:pgMar w:left="540" w:top="750" w:right="560" w:bottom="0" w:gutter="0" w:footer="0" w:header="0"/>
          <w:type w:val="continuous"/>
        </w:sectPr>
      </w:pPr>
    </w:p>
    <w:bookmarkStart w:id="111" w:name="page112"/>
    <w:bookmarkEnd w:id="111"/>
    <w:p>
      <w:pPr>
        <w:ind w:right="200"/>
        <w:spacing w:after="0" w:line="277" w:lineRule="auto"/>
        <w:rPr>
          <w:sz w:val="20"/>
          <w:szCs w:val="20"/>
          <w:color w:val="auto"/>
        </w:rPr>
      </w:pPr>
      <w:r>
        <w:rPr>
          <w:rFonts w:ascii="Times New Roman" w:cs="Times New Roman" w:eastAsia="Times New Roman" w:hAnsi="Times New Roman"/>
          <w:sz w:val="20"/>
          <w:szCs w:val="20"/>
          <w:color w:val="231F20"/>
        </w:rPr>
        <w:t>marketable debt instruments of government sponsored enterprises. Due to the nature of our cash equivalents and investments, an immediate 100 basis point change in interest rates would not have a material effect on their fair market value.</w:t>
      </w:r>
    </w:p>
    <w:p>
      <w:pPr>
        <w:spacing w:after="0" w:line="49"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231F20"/>
        </w:rPr>
        <w:t>Inflation generally affects us by increasing our cost of labor, clinical trial and manufacturing costs. We do not believe that inflation, interest rate changes or exchange rate fluctuations had a significant impact on our results of operations for any periods presented herein.</w:t>
      </w:r>
    </w:p>
    <w:p>
      <w:pPr>
        <w:sectPr>
          <w:pgSz w:w="11880" w:h="15480" w:orient="portrait"/>
          <w:cols w:equalWidth="0" w:num="1">
            <w:col w:w="10480"/>
          </w:cols>
          <w:pgMar w:left="540" w:top="75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231F20"/>
        </w:rPr>
        <w:t>106</w:t>
      </w:r>
    </w:p>
    <w:p>
      <w:pPr>
        <w:sectPr>
          <w:pgSz w:w="11880" w:h="15480" w:orient="portrait"/>
          <w:cols w:equalWidth="0" w:num="1">
            <w:col w:w="10480"/>
          </w:cols>
          <w:pgMar w:left="540" w:top="750" w:right="860" w:bottom="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74"/>
        </w:trPr>
        <w:tc>
          <w:tcPr>
            <w:tcW w:w="101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0"/>
        </w:trPr>
        <w:tc>
          <w:tcPr>
            <w:tcW w:w="10160" w:type="dxa"/>
            <w:vAlign w:val="bottom"/>
          </w:tcPr>
          <w:p>
            <w:pPr>
              <w:ind w:left="3600"/>
              <w:spacing w:after="0"/>
              <w:rPr>
                <w:sz w:val="20"/>
                <w:szCs w:val="20"/>
                <w:color w:val="auto"/>
              </w:rPr>
            </w:pPr>
            <w:r>
              <w:rPr>
                <w:rFonts w:ascii="Times New Roman" w:cs="Times New Roman" w:eastAsia="Times New Roman" w:hAnsi="Times New Roman"/>
                <w:sz w:val="20"/>
                <w:szCs w:val="20"/>
                <w:b w:val="1"/>
                <w:bCs w:val="1"/>
                <w:color w:val="231F20"/>
              </w:rPr>
              <w:t>INDEX TO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160" w:type="dxa"/>
            <w:vAlign w:val="bottom"/>
            <w:vMerge w:val="restart"/>
          </w:tcPr>
          <w:p>
            <w:pPr>
              <w:spacing w:after="0"/>
              <w:rPr>
                <w:sz w:val="20"/>
                <w:szCs w:val="20"/>
                <w:color w:val="auto"/>
              </w:rPr>
            </w:pPr>
            <w:r>
              <w:rPr>
                <w:rFonts w:ascii="Times New Roman" w:cs="Times New Roman" w:eastAsia="Times New Roman" w:hAnsi="Times New Roman"/>
                <w:sz w:val="20"/>
                <w:szCs w:val="20"/>
                <w:color w:val="818385"/>
              </w:rPr>
              <w:t>Report of Independent Registered Public Accounting Firm</w:t>
            </w: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Pages</w:t>
            </w:r>
          </w:p>
        </w:tc>
        <w:tc>
          <w:tcPr>
            <w:tcW w:w="0" w:type="dxa"/>
            <w:vAlign w:val="bottom"/>
          </w:tcPr>
          <w:p>
            <w:pPr>
              <w:spacing w:after="0"/>
              <w:rPr>
                <w:sz w:val="1"/>
                <w:szCs w:val="1"/>
                <w:color w:val="auto"/>
              </w:rPr>
            </w:pPr>
          </w:p>
        </w:tc>
      </w:tr>
      <w:tr>
        <w:trPr>
          <w:trHeight w:val="201"/>
        </w:trPr>
        <w:tc>
          <w:tcPr>
            <w:tcW w:w="10160" w:type="dxa"/>
            <w:vAlign w:val="bottom"/>
            <w:vMerge w:val="continue"/>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231F20"/>
              </w:rPr>
              <w:t>108</w:t>
            </w:r>
          </w:p>
        </w:tc>
        <w:tc>
          <w:tcPr>
            <w:tcW w:w="0" w:type="dxa"/>
            <w:vAlign w:val="bottom"/>
          </w:tcPr>
          <w:p>
            <w:pPr>
              <w:spacing w:after="0"/>
              <w:rPr>
                <w:sz w:val="1"/>
                <w:szCs w:val="1"/>
                <w:color w:val="auto"/>
              </w:rPr>
            </w:pPr>
          </w:p>
        </w:tc>
      </w:tr>
      <w:tr>
        <w:trPr>
          <w:trHeight w:val="230"/>
        </w:trPr>
        <w:tc>
          <w:tcPr>
            <w:tcW w:w="10160" w:type="dxa"/>
            <w:vAlign w:val="bottom"/>
          </w:tcPr>
          <w:p>
            <w:pPr>
              <w:spacing w:after="0"/>
              <w:rPr>
                <w:sz w:val="20"/>
                <w:szCs w:val="20"/>
                <w:color w:val="auto"/>
              </w:rPr>
            </w:pPr>
            <w:r>
              <w:rPr>
                <w:rFonts w:ascii="Times New Roman" w:cs="Times New Roman" w:eastAsia="Times New Roman" w:hAnsi="Times New Roman"/>
                <w:sz w:val="20"/>
                <w:szCs w:val="20"/>
                <w:color w:val="818385"/>
              </w:rPr>
              <w:t>Balance Sheets</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w:t>
            </w:r>
          </w:p>
        </w:tc>
        <w:tc>
          <w:tcPr>
            <w:tcW w:w="0" w:type="dxa"/>
            <w:vAlign w:val="bottom"/>
          </w:tcPr>
          <w:p>
            <w:pPr>
              <w:spacing w:after="0"/>
              <w:rPr>
                <w:sz w:val="1"/>
                <w:szCs w:val="1"/>
                <w:color w:val="auto"/>
              </w:rPr>
            </w:pPr>
          </w:p>
        </w:tc>
      </w:tr>
      <w:tr>
        <w:trPr>
          <w:trHeight w:val="230"/>
        </w:trPr>
        <w:tc>
          <w:tcPr>
            <w:tcW w:w="10160" w:type="dxa"/>
            <w:vAlign w:val="bottom"/>
          </w:tcPr>
          <w:p>
            <w:pPr>
              <w:spacing w:after="0"/>
              <w:rPr>
                <w:sz w:val="20"/>
                <w:szCs w:val="20"/>
                <w:color w:val="auto"/>
              </w:rPr>
            </w:pPr>
            <w:r>
              <w:rPr>
                <w:rFonts w:ascii="Times New Roman" w:cs="Times New Roman" w:eastAsia="Times New Roman" w:hAnsi="Times New Roman"/>
                <w:sz w:val="20"/>
                <w:szCs w:val="20"/>
                <w:color w:val="818385"/>
              </w:rPr>
              <w:t>Statements of Operations and Comprehensive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w:t>
            </w:r>
          </w:p>
        </w:tc>
        <w:tc>
          <w:tcPr>
            <w:tcW w:w="0" w:type="dxa"/>
            <w:vAlign w:val="bottom"/>
          </w:tcPr>
          <w:p>
            <w:pPr>
              <w:spacing w:after="0"/>
              <w:rPr>
                <w:sz w:val="1"/>
                <w:szCs w:val="1"/>
                <w:color w:val="auto"/>
              </w:rPr>
            </w:pPr>
          </w:p>
        </w:tc>
      </w:tr>
      <w:tr>
        <w:trPr>
          <w:trHeight w:val="230"/>
        </w:trPr>
        <w:tc>
          <w:tcPr>
            <w:tcW w:w="10160" w:type="dxa"/>
            <w:vAlign w:val="bottom"/>
          </w:tcPr>
          <w:p>
            <w:pPr>
              <w:spacing w:after="0"/>
              <w:rPr>
                <w:sz w:val="20"/>
                <w:szCs w:val="20"/>
                <w:color w:val="auto"/>
              </w:rPr>
            </w:pPr>
            <w:r>
              <w:rPr>
                <w:rFonts w:ascii="Times New Roman" w:cs="Times New Roman" w:eastAsia="Times New Roman" w:hAnsi="Times New Roman"/>
                <w:sz w:val="20"/>
                <w:szCs w:val="20"/>
                <w:color w:val="818385"/>
              </w:rPr>
              <w:t>Statements of Stockholders’ 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w:t>
            </w:r>
          </w:p>
        </w:tc>
        <w:tc>
          <w:tcPr>
            <w:tcW w:w="0" w:type="dxa"/>
            <w:vAlign w:val="bottom"/>
          </w:tcPr>
          <w:p>
            <w:pPr>
              <w:spacing w:after="0"/>
              <w:rPr>
                <w:sz w:val="1"/>
                <w:szCs w:val="1"/>
                <w:color w:val="auto"/>
              </w:rPr>
            </w:pPr>
          </w:p>
        </w:tc>
      </w:tr>
      <w:tr>
        <w:trPr>
          <w:trHeight w:val="230"/>
        </w:trPr>
        <w:tc>
          <w:tcPr>
            <w:tcW w:w="10160" w:type="dxa"/>
            <w:vAlign w:val="bottom"/>
          </w:tcPr>
          <w:p>
            <w:pPr>
              <w:spacing w:after="0"/>
              <w:rPr>
                <w:sz w:val="20"/>
                <w:szCs w:val="20"/>
                <w:color w:val="auto"/>
              </w:rPr>
            </w:pPr>
            <w:r>
              <w:rPr>
                <w:rFonts w:ascii="Times New Roman" w:cs="Times New Roman" w:eastAsia="Times New Roman" w:hAnsi="Times New Roman"/>
                <w:sz w:val="20"/>
                <w:szCs w:val="20"/>
                <w:color w:val="818385"/>
              </w:rPr>
              <w:t>Statements of Cash Flows</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w:t>
            </w:r>
          </w:p>
        </w:tc>
        <w:tc>
          <w:tcPr>
            <w:tcW w:w="0" w:type="dxa"/>
            <w:vAlign w:val="bottom"/>
          </w:tcPr>
          <w:p>
            <w:pPr>
              <w:spacing w:after="0"/>
              <w:rPr>
                <w:sz w:val="1"/>
                <w:szCs w:val="1"/>
                <w:color w:val="auto"/>
              </w:rPr>
            </w:pPr>
          </w:p>
        </w:tc>
      </w:tr>
      <w:tr>
        <w:trPr>
          <w:trHeight w:val="266"/>
        </w:trPr>
        <w:tc>
          <w:tcPr>
            <w:tcW w:w="10160" w:type="dxa"/>
            <w:vAlign w:val="bottom"/>
          </w:tcPr>
          <w:p>
            <w:pPr>
              <w:spacing w:after="0"/>
              <w:rPr>
                <w:sz w:val="20"/>
                <w:szCs w:val="20"/>
                <w:color w:val="auto"/>
              </w:rPr>
            </w:pPr>
            <w:r>
              <w:rPr>
                <w:rFonts w:ascii="Times New Roman" w:cs="Times New Roman" w:eastAsia="Times New Roman" w:hAnsi="Times New Roman"/>
                <w:sz w:val="20"/>
                <w:szCs w:val="20"/>
                <w:color w:val="818385"/>
              </w:rPr>
              <w:t>Notes to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107</w:t>
      </w:r>
    </w:p>
    <w:p>
      <w:pPr>
        <w:sectPr>
          <w:pgSz w:w="11880" w:h="15480" w:orient="portrait"/>
          <w:cols w:equalWidth="0" w:num="1">
            <w:col w:w="10800"/>
          </w:cols>
          <w:pgMar w:left="540" w:top="746" w:right="540" w:bottom="0" w:gutter="0" w:footer="0" w:header="0"/>
          <w:type w:val="continuous"/>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Stockholders and Board of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ORIC Pharmaceuticals,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Opinion on the Financial Statements</w:t>
      </w:r>
    </w:p>
    <w:p>
      <w:pPr>
        <w:spacing w:after="0" w:line="128"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20"/>
          <w:szCs w:val="20"/>
          <w:color w:val="231F20"/>
        </w:rPr>
        <w:t>We have audited the accompanying balance sheets of ORIC Pharmaceuticals, Inc. (the Company) as of December 31, 2025 and 2024, the related statements of operations and comprehensive loss, stockholders’ equity, and cash flows for the years then ended, and the related notes (collectively, the financial statements). In our opinion, the financial statements present fairly, in all material respects, the financial position of the Company as of December 31, 2025 and 2024, and the results of its operations and its cash flows for the years then ended,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Basis for Opinion</w:t>
      </w:r>
    </w:p>
    <w:p>
      <w:pPr>
        <w:spacing w:after="0" w:line="128" w:lineRule="exact"/>
        <w:rPr>
          <w:sz w:val="20"/>
          <w:szCs w:val="20"/>
          <w:color w:val="auto"/>
        </w:rPr>
      </w:pPr>
    </w:p>
    <w:p>
      <w:pPr>
        <w:jc w:val="both"/>
        <w:ind w:right="140"/>
        <w:spacing w:after="0" w:line="283"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20"/>
          <w:szCs w:val="20"/>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KPMG LLP</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2018.</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San Diego,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23, 2026</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108</w:t>
      </w:r>
    </w:p>
    <w:p>
      <w:pPr>
        <w:sectPr>
          <w:pgSz w:w="11880" w:h="15480" w:orient="portrait"/>
          <w:cols w:equalWidth="0" w:num="1">
            <w:col w:w="10780"/>
          </w:cols>
          <w:pgMar w:left="540" w:top="746" w:right="560" w:bottom="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231F20"/>
        </w:rPr>
        <w:t>ORIC PHARMACEUTICALS,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BALANCE SHEETS</w:t>
      </w:r>
    </w:p>
    <w:p>
      <w:pPr>
        <w:jc w:val="center"/>
        <w:spacing w:after="0"/>
        <w:rPr>
          <w:sz w:val="20"/>
          <w:szCs w:val="20"/>
          <w:color w:val="auto"/>
        </w:rPr>
      </w:pPr>
      <w:r>
        <w:rPr>
          <w:rFonts w:ascii="Times New Roman" w:cs="Times New Roman" w:eastAsia="Times New Roman" w:hAnsi="Times New Roman"/>
          <w:sz w:val="20"/>
          <w:szCs w:val="20"/>
          <w:color w:val="231F20"/>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Borders>
              <w:bottom w:val="single" w:sz="8" w:color="231F20"/>
            </w:tcBorders>
          </w:tcPr>
          <w:p>
            <w:pPr>
              <w:spacing w:after="0"/>
              <w:rPr>
                <w:sz w:val="21"/>
                <w:szCs w:val="21"/>
                <w:color w:val="auto"/>
              </w:rPr>
            </w:pPr>
          </w:p>
        </w:tc>
        <w:tc>
          <w:tcPr>
            <w:tcW w:w="2280" w:type="dxa"/>
            <w:vAlign w:val="bottom"/>
            <w:tcBorders>
              <w:bottom w:val="single" w:sz="8" w:color="231F20"/>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December 31,</w:t>
            </w:r>
          </w:p>
        </w:tc>
        <w:tc>
          <w:tcPr>
            <w:tcW w:w="130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620" w:type="dxa"/>
            <w:vAlign w:val="bottom"/>
            <w:tcBorders>
              <w:bottom w:val="single" w:sz="8" w:color="EBECEC"/>
            </w:tcBorders>
          </w:tcPr>
          <w:p>
            <w:pPr>
              <w:spacing w:after="0"/>
              <w:rPr>
                <w:sz w:val="17"/>
                <w:szCs w:val="17"/>
                <w:color w:val="auto"/>
              </w:rPr>
            </w:pPr>
          </w:p>
        </w:tc>
        <w:tc>
          <w:tcPr>
            <w:tcW w:w="60" w:type="dxa"/>
            <w:vAlign w:val="bottom"/>
            <w:tcBorders>
              <w:bottom w:val="single" w:sz="8" w:color="EBECEC"/>
            </w:tcBorders>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1480" w:type="dxa"/>
            <w:vAlign w:val="bottom"/>
            <w:tcBorders>
              <w:bottom w:val="single" w:sz="8" w:color="231F20"/>
            </w:tcBorders>
          </w:tcPr>
          <w:p>
            <w:pPr>
              <w:jc w:val="right"/>
              <w:ind w:right="68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00" w:type="dxa"/>
            <w:vAlign w:val="bottom"/>
            <w:tcBorders>
              <w:bottom w:val="single" w:sz="8" w:color="EBECEC"/>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52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64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Borders>
              <w:bottom w:val="single" w:sz="8" w:color="EBECE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EBECEC"/>
          </w:tcPr>
          <w:p>
            <w:pPr>
              <w:ind w:left="5120"/>
              <w:spacing w:after="0" w:line="202" w:lineRule="exact"/>
              <w:rPr>
                <w:sz w:val="20"/>
                <w:szCs w:val="20"/>
                <w:color w:val="auto"/>
              </w:rPr>
            </w:pPr>
            <w:r>
              <w:rPr>
                <w:rFonts w:ascii="Times New Roman" w:cs="Times New Roman" w:eastAsia="Times New Roman" w:hAnsi="Times New Roman"/>
                <w:sz w:val="18"/>
                <w:szCs w:val="18"/>
                <w:b w:val="1"/>
                <w:bCs w:val="1"/>
                <w:color w:val="231F20"/>
              </w:rPr>
              <w:t>Assets</w:t>
            </w:r>
          </w:p>
        </w:tc>
        <w:tc>
          <w:tcPr>
            <w:tcW w:w="60" w:type="dxa"/>
            <w:vAlign w:val="bottom"/>
            <w:shd w:val="clear" w:color="auto" w:fill="EBECEC"/>
          </w:tcPr>
          <w:p>
            <w:pPr>
              <w:spacing w:after="0"/>
              <w:rPr>
                <w:sz w:val="17"/>
                <w:szCs w:val="17"/>
                <w:color w:val="auto"/>
              </w:rPr>
            </w:pPr>
          </w:p>
        </w:tc>
        <w:tc>
          <w:tcPr>
            <w:tcW w:w="460" w:type="dxa"/>
            <w:vAlign w:val="bottom"/>
            <w:shd w:val="clear" w:color="auto" w:fill="EBECEC"/>
          </w:tcPr>
          <w:p>
            <w:pPr>
              <w:spacing w:after="0"/>
              <w:rPr>
                <w:sz w:val="17"/>
                <w:szCs w:val="17"/>
                <w:color w:val="auto"/>
              </w:rPr>
            </w:pPr>
          </w:p>
        </w:tc>
        <w:tc>
          <w:tcPr>
            <w:tcW w:w="148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180" w:type="dxa"/>
            <w:vAlign w:val="bottom"/>
            <w:shd w:val="clear" w:color="auto" w:fill="EBECEC"/>
          </w:tcPr>
          <w:p>
            <w:pPr>
              <w:spacing w:after="0"/>
              <w:rPr>
                <w:sz w:val="17"/>
                <w:szCs w:val="17"/>
                <w:color w:val="auto"/>
              </w:rPr>
            </w:pPr>
          </w:p>
        </w:tc>
        <w:tc>
          <w:tcPr>
            <w:tcW w:w="520" w:type="dxa"/>
            <w:vAlign w:val="bottom"/>
            <w:shd w:val="clear" w:color="auto" w:fill="EBECEC"/>
          </w:tcPr>
          <w:p>
            <w:pPr>
              <w:spacing w:after="0"/>
              <w:rPr>
                <w:sz w:val="17"/>
                <w:szCs w:val="17"/>
                <w:color w:val="auto"/>
              </w:rPr>
            </w:pPr>
          </w:p>
        </w:tc>
        <w:tc>
          <w:tcPr>
            <w:tcW w:w="130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231F20"/>
              </w:rPr>
              <w:t>Current assets:</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520" w:type="dxa"/>
            <w:vAlign w:val="bottom"/>
            <w:gridSpan w:val="2"/>
            <w:shd w:val="clear" w:color="auto" w:fill="EBECEC"/>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58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rPr>
              <w:t>45,669</w:t>
            </w:r>
          </w:p>
        </w:tc>
        <w:tc>
          <w:tcPr>
            <w:tcW w:w="700" w:type="dxa"/>
            <w:vAlign w:val="bottom"/>
            <w:gridSpan w:val="2"/>
            <w:shd w:val="clear" w:color="auto" w:fill="EBECEC"/>
          </w:tcPr>
          <w:p>
            <w:pPr>
              <w:jc w:val="right"/>
              <w:ind w:right="32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59,406</w:t>
            </w:r>
          </w:p>
        </w:tc>
        <w:tc>
          <w:tcPr>
            <w:tcW w:w="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Short-term investments</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235,819</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196,554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18"/>
                <w:szCs w:val="18"/>
                <w:color w:val="231F20"/>
              </w:rPr>
              <w:t>Prepaid expenses and other current assets</w:t>
            </w:r>
          </w:p>
        </w:tc>
        <w:tc>
          <w:tcPr>
            <w:tcW w:w="60" w:type="dxa"/>
            <w:vAlign w:val="bottom"/>
            <w:shd w:val="clear" w:color="auto" w:fill="EBECEC"/>
          </w:tcPr>
          <w:p>
            <w:pPr>
              <w:spacing w:after="0"/>
              <w:rPr>
                <w:sz w:val="20"/>
                <w:szCs w:val="20"/>
                <w:color w:val="auto"/>
              </w:rPr>
            </w:pPr>
          </w:p>
        </w:tc>
        <w:tc>
          <w:tcPr>
            <w:tcW w:w="460" w:type="dxa"/>
            <w:vAlign w:val="bottom"/>
            <w:shd w:val="clear" w:color="auto" w:fill="EBECEC"/>
          </w:tcPr>
          <w:p>
            <w:pPr>
              <w:spacing w:after="0"/>
              <w:rPr>
                <w:sz w:val="20"/>
                <w:szCs w:val="20"/>
                <w:color w:val="auto"/>
              </w:rPr>
            </w:pPr>
          </w:p>
        </w:tc>
        <w:tc>
          <w:tcPr>
            <w:tcW w:w="158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rPr>
              <w:t>6,978</w:t>
            </w:r>
          </w:p>
        </w:tc>
        <w:tc>
          <w:tcPr>
            <w:tcW w:w="180" w:type="dxa"/>
            <w:vAlign w:val="bottom"/>
            <w:shd w:val="clear" w:color="auto" w:fill="EBECEC"/>
          </w:tcPr>
          <w:p>
            <w:pPr>
              <w:spacing w:after="0"/>
              <w:rPr>
                <w:sz w:val="20"/>
                <w:szCs w:val="20"/>
                <w:color w:val="auto"/>
              </w:rPr>
            </w:pPr>
          </w:p>
        </w:tc>
        <w:tc>
          <w:tcPr>
            <w:tcW w:w="520" w:type="dxa"/>
            <w:vAlign w:val="bottom"/>
            <w:shd w:val="clear" w:color="auto" w:fill="EBECEC"/>
          </w:tcPr>
          <w:p>
            <w:pPr>
              <w:spacing w:after="0"/>
              <w:rPr>
                <w:sz w:val="20"/>
                <w:szCs w:val="20"/>
                <w:color w:val="auto"/>
              </w:rPr>
            </w:pPr>
          </w:p>
        </w:tc>
        <w:tc>
          <w:tcPr>
            <w:tcW w:w="13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6,290</w:t>
            </w:r>
          </w:p>
        </w:tc>
        <w:tc>
          <w:tcPr>
            <w:tcW w:w="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62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Total current assets</w:t>
            </w:r>
          </w:p>
        </w:tc>
        <w:tc>
          <w:tcPr>
            <w:tcW w:w="60" w:type="dxa"/>
            <w:vAlign w:val="bottom"/>
          </w:tcPr>
          <w:p>
            <w:pPr>
              <w:spacing w:after="0"/>
              <w:rPr>
                <w:sz w:val="19"/>
                <w:szCs w:val="19"/>
                <w:color w:val="auto"/>
              </w:rPr>
            </w:pPr>
          </w:p>
        </w:tc>
        <w:tc>
          <w:tcPr>
            <w:tcW w:w="460" w:type="dxa"/>
            <w:vAlign w:val="bottom"/>
            <w:tcBorders>
              <w:top w:val="single" w:sz="8" w:color="231F20"/>
            </w:tcBorders>
          </w:tcPr>
          <w:p>
            <w:pPr>
              <w:spacing w:after="0"/>
              <w:rPr>
                <w:sz w:val="19"/>
                <w:szCs w:val="19"/>
                <w:color w:val="auto"/>
              </w:rPr>
            </w:pPr>
          </w:p>
        </w:tc>
        <w:tc>
          <w:tcPr>
            <w:tcW w:w="1480" w:type="dxa"/>
            <w:vAlign w:val="bottom"/>
            <w:tcBorders>
              <w:top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288,466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231F20"/>
            </w:tcBorders>
          </w:tcPr>
          <w:p>
            <w:pPr>
              <w:spacing w:after="0"/>
              <w:rPr>
                <w:sz w:val="19"/>
                <w:szCs w:val="19"/>
                <w:color w:val="auto"/>
              </w:rPr>
            </w:pPr>
          </w:p>
        </w:tc>
        <w:tc>
          <w:tcPr>
            <w:tcW w:w="1300" w:type="dxa"/>
            <w:vAlign w:val="bottom"/>
            <w:tcBorders>
              <w:top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262,250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20" w:type="dxa"/>
            <w:vAlign w:val="bottom"/>
            <w:shd w:val="clear" w:color="auto" w:fill="EBECEC"/>
          </w:tcPr>
          <w:p>
            <w:pPr>
              <w:spacing w:after="0"/>
              <w:rPr>
                <w:sz w:val="17"/>
                <w:szCs w:val="17"/>
                <w:color w:val="auto"/>
              </w:rPr>
            </w:pPr>
          </w:p>
        </w:tc>
        <w:tc>
          <w:tcPr>
            <w:tcW w:w="60" w:type="dxa"/>
            <w:vAlign w:val="bottom"/>
            <w:shd w:val="clear" w:color="auto" w:fill="EBECEC"/>
          </w:tcPr>
          <w:p>
            <w:pPr>
              <w:spacing w:after="0"/>
              <w:rPr>
                <w:sz w:val="17"/>
                <w:szCs w:val="17"/>
                <w:color w:val="auto"/>
              </w:rPr>
            </w:pPr>
          </w:p>
        </w:tc>
        <w:tc>
          <w:tcPr>
            <w:tcW w:w="460" w:type="dxa"/>
            <w:vAlign w:val="bottom"/>
            <w:shd w:val="clear" w:color="auto" w:fill="EBECEC"/>
          </w:tcPr>
          <w:p>
            <w:pPr>
              <w:spacing w:after="0"/>
              <w:rPr>
                <w:sz w:val="17"/>
                <w:szCs w:val="17"/>
                <w:color w:val="auto"/>
              </w:rPr>
            </w:pPr>
          </w:p>
        </w:tc>
        <w:tc>
          <w:tcPr>
            <w:tcW w:w="148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180" w:type="dxa"/>
            <w:vAlign w:val="bottom"/>
            <w:shd w:val="clear" w:color="auto" w:fill="EBECEC"/>
          </w:tcPr>
          <w:p>
            <w:pPr>
              <w:spacing w:after="0"/>
              <w:rPr>
                <w:sz w:val="17"/>
                <w:szCs w:val="17"/>
                <w:color w:val="auto"/>
              </w:rPr>
            </w:pPr>
          </w:p>
        </w:tc>
        <w:tc>
          <w:tcPr>
            <w:tcW w:w="520" w:type="dxa"/>
            <w:vAlign w:val="bottom"/>
            <w:shd w:val="clear" w:color="auto" w:fill="EBECEC"/>
          </w:tcPr>
          <w:p>
            <w:pPr>
              <w:spacing w:after="0"/>
              <w:rPr>
                <w:sz w:val="17"/>
                <w:szCs w:val="17"/>
                <w:color w:val="auto"/>
              </w:rPr>
            </w:pPr>
          </w:p>
        </w:tc>
        <w:tc>
          <w:tcPr>
            <w:tcW w:w="130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Long-term investments</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110,762</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662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18"/>
                <w:szCs w:val="18"/>
                <w:color w:val="231F20"/>
              </w:rPr>
              <w:t>Property and equipment, net</w:t>
            </w:r>
          </w:p>
        </w:tc>
        <w:tc>
          <w:tcPr>
            <w:tcW w:w="60" w:type="dxa"/>
            <w:vAlign w:val="bottom"/>
            <w:shd w:val="clear" w:color="auto" w:fill="EBECEC"/>
          </w:tcPr>
          <w:p>
            <w:pPr>
              <w:spacing w:after="0"/>
              <w:rPr>
                <w:sz w:val="20"/>
                <w:szCs w:val="20"/>
                <w:color w:val="auto"/>
              </w:rPr>
            </w:pPr>
          </w:p>
        </w:tc>
        <w:tc>
          <w:tcPr>
            <w:tcW w:w="460" w:type="dxa"/>
            <w:vAlign w:val="bottom"/>
            <w:shd w:val="clear" w:color="auto" w:fill="EBECEC"/>
          </w:tcPr>
          <w:p>
            <w:pPr>
              <w:spacing w:after="0"/>
              <w:rPr>
                <w:sz w:val="20"/>
                <w:szCs w:val="20"/>
                <w:color w:val="auto"/>
              </w:rPr>
            </w:pPr>
          </w:p>
        </w:tc>
        <w:tc>
          <w:tcPr>
            <w:tcW w:w="158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rPr>
              <w:t>2,415</w:t>
            </w:r>
          </w:p>
        </w:tc>
        <w:tc>
          <w:tcPr>
            <w:tcW w:w="180" w:type="dxa"/>
            <w:vAlign w:val="bottom"/>
            <w:shd w:val="clear" w:color="auto" w:fill="EBECEC"/>
          </w:tcPr>
          <w:p>
            <w:pPr>
              <w:spacing w:after="0"/>
              <w:rPr>
                <w:sz w:val="20"/>
                <w:szCs w:val="20"/>
                <w:color w:val="auto"/>
              </w:rPr>
            </w:pPr>
          </w:p>
        </w:tc>
        <w:tc>
          <w:tcPr>
            <w:tcW w:w="520" w:type="dxa"/>
            <w:vAlign w:val="bottom"/>
            <w:shd w:val="clear" w:color="auto" w:fill="EBECEC"/>
          </w:tcPr>
          <w:p>
            <w:pPr>
              <w:spacing w:after="0"/>
              <w:rPr>
                <w:sz w:val="20"/>
                <w:szCs w:val="20"/>
                <w:color w:val="auto"/>
              </w:rPr>
            </w:pPr>
          </w:p>
        </w:tc>
        <w:tc>
          <w:tcPr>
            <w:tcW w:w="13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2,924</w:t>
            </w:r>
          </w:p>
        </w:tc>
        <w:tc>
          <w:tcPr>
            <w:tcW w:w="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Other assets</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7,247</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620" w:type="dxa"/>
            <w:vAlign w:val="bottom"/>
            <w:tcBorders>
              <w:top w:val="single" w:sz="8" w:color="EBECEC"/>
            </w:tcBorders>
            <w:shd w:val="clear" w:color="auto" w:fill="EBECEC"/>
          </w:tcPr>
          <w:p>
            <w:pPr>
              <w:ind w:left="400"/>
              <w:spacing w:after="0"/>
              <w:rPr>
                <w:sz w:val="20"/>
                <w:szCs w:val="20"/>
                <w:color w:val="auto"/>
              </w:rPr>
            </w:pPr>
            <w:r>
              <w:rPr>
                <w:rFonts w:ascii="Times New Roman" w:cs="Times New Roman" w:eastAsia="Times New Roman" w:hAnsi="Times New Roman"/>
                <w:sz w:val="18"/>
                <w:szCs w:val="18"/>
                <w:color w:val="231F20"/>
              </w:rPr>
              <w:t>Total assets</w:t>
            </w:r>
          </w:p>
        </w:tc>
        <w:tc>
          <w:tcPr>
            <w:tcW w:w="60" w:type="dxa"/>
            <w:vAlign w:val="bottom"/>
            <w:tcBorders>
              <w:top w:val="single" w:sz="8" w:color="EBECEC"/>
            </w:tcBorders>
            <w:shd w:val="clear" w:color="auto" w:fill="EBECEC"/>
          </w:tcPr>
          <w:p>
            <w:pPr>
              <w:spacing w:after="0"/>
              <w:rPr>
                <w:sz w:val="19"/>
                <w:szCs w:val="19"/>
                <w:color w:val="auto"/>
              </w:rPr>
            </w:pPr>
          </w:p>
        </w:tc>
        <w:tc>
          <w:tcPr>
            <w:tcW w:w="460" w:type="dxa"/>
            <w:vAlign w:val="bottom"/>
            <w:tcBorders>
              <w:top w:val="single" w:sz="8" w:color="231F20"/>
              <w:bottom w:val="single" w:sz="8" w:color="231F20"/>
            </w:tcBorders>
            <w:shd w:val="clear" w:color="auto" w:fill="EBECEC"/>
          </w:tcPr>
          <w:p>
            <w:pPr>
              <w:jc w:val="right"/>
              <w:ind w:right="2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480" w:type="dxa"/>
            <w:vAlign w:val="bottom"/>
            <w:tcBorders>
              <w:top w:val="single" w:sz="8" w:color="231F20"/>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408,890</w:t>
            </w:r>
          </w:p>
        </w:tc>
        <w:tc>
          <w:tcPr>
            <w:tcW w:w="100" w:type="dxa"/>
            <w:vAlign w:val="bottom"/>
            <w:tcBorders>
              <w:top w:val="single" w:sz="8" w:color="EBECEC"/>
            </w:tcBorders>
            <w:shd w:val="clear" w:color="auto" w:fill="EBECEC"/>
          </w:tcPr>
          <w:p>
            <w:pPr>
              <w:spacing w:after="0"/>
              <w:rPr>
                <w:sz w:val="19"/>
                <w:szCs w:val="19"/>
                <w:color w:val="auto"/>
              </w:rPr>
            </w:pPr>
          </w:p>
        </w:tc>
        <w:tc>
          <w:tcPr>
            <w:tcW w:w="180" w:type="dxa"/>
            <w:vAlign w:val="bottom"/>
            <w:tcBorders>
              <w:top w:val="single" w:sz="8" w:color="EBECEC"/>
            </w:tcBorders>
            <w:shd w:val="clear" w:color="auto" w:fill="EBECEC"/>
          </w:tcPr>
          <w:p>
            <w:pPr>
              <w:spacing w:after="0"/>
              <w:rPr>
                <w:sz w:val="19"/>
                <w:szCs w:val="19"/>
                <w:color w:val="auto"/>
              </w:rPr>
            </w:pPr>
          </w:p>
        </w:tc>
        <w:tc>
          <w:tcPr>
            <w:tcW w:w="520" w:type="dxa"/>
            <w:vAlign w:val="bottom"/>
            <w:tcBorders>
              <w:top w:val="single" w:sz="8" w:color="231F20"/>
              <w:bottom w:val="single" w:sz="8" w:color="231F20"/>
            </w:tcBorders>
            <w:shd w:val="clear" w:color="auto" w:fill="EBECEC"/>
          </w:tcPr>
          <w:p>
            <w:pPr>
              <w:jc w:val="right"/>
              <w:ind w:right="3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top w:val="single" w:sz="8" w:color="231F20"/>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274,142</w:t>
            </w:r>
          </w:p>
        </w:tc>
        <w:tc>
          <w:tcPr>
            <w:tcW w:w="80" w:type="dxa"/>
            <w:vAlign w:val="bottom"/>
            <w:tcBorders>
              <w:top w:val="single" w:sz="8" w:color="EBECEC"/>
            </w:tcBorders>
            <w:shd w:val="clear" w:color="auto" w:fill="EBECE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4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140" w:type="dxa"/>
            <w:vAlign w:val="bottom"/>
            <w:gridSpan w:val="3"/>
            <w:shd w:val="clear" w:color="auto" w:fill="EBECEC"/>
          </w:tcPr>
          <w:p>
            <w:pPr>
              <w:ind w:left="3980"/>
              <w:spacing w:after="0"/>
              <w:rPr>
                <w:sz w:val="20"/>
                <w:szCs w:val="20"/>
                <w:color w:val="auto"/>
              </w:rPr>
            </w:pPr>
            <w:r>
              <w:rPr>
                <w:rFonts w:ascii="Times New Roman" w:cs="Times New Roman" w:eastAsia="Times New Roman" w:hAnsi="Times New Roman"/>
                <w:sz w:val="18"/>
                <w:szCs w:val="18"/>
                <w:b w:val="1"/>
                <w:bCs w:val="1"/>
                <w:color w:val="231F20"/>
              </w:rPr>
              <w:t>Liabilities and Stockholders' Equity</w:t>
            </w:r>
          </w:p>
        </w:tc>
        <w:tc>
          <w:tcPr>
            <w:tcW w:w="148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180" w:type="dxa"/>
            <w:vAlign w:val="bottom"/>
            <w:shd w:val="clear" w:color="auto" w:fill="EBECEC"/>
          </w:tcPr>
          <w:p>
            <w:pPr>
              <w:spacing w:after="0"/>
              <w:rPr>
                <w:sz w:val="17"/>
                <w:szCs w:val="17"/>
                <w:color w:val="auto"/>
              </w:rPr>
            </w:pPr>
          </w:p>
        </w:tc>
        <w:tc>
          <w:tcPr>
            <w:tcW w:w="520" w:type="dxa"/>
            <w:vAlign w:val="bottom"/>
            <w:shd w:val="clear" w:color="auto" w:fill="EBECEC"/>
          </w:tcPr>
          <w:p>
            <w:pPr>
              <w:spacing w:after="0"/>
              <w:rPr>
                <w:sz w:val="17"/>
                <w:szCs w:val="17"/>
                <w:color w:val="auto"/>
              </w:rPr>
            </w:pPr>
          </w:p>
        </w:tc>
        <w:tc>
          <w:tcPr>
            <w:tcW w:w="130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2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Current liabilities:</w:t>
            </w:r>
          </w:p>
        </w:tc>
        <w:tc>
          <w:tcPr>
            <w:tcW w:w="60" w:type="dxa"/>
            <w:vAlign w:val="bottom"/>
            <w:shd w:val="clear" w:color="auto" w:fill="EBECEC"/>
          </w:tcPr>
          <w:p>
            <w:pPr>
              <w:spacing w:after="0"/>
              <w:rPr>
                <w:sz w:val="17"/>
                <w:szCs w:val="17"/>
                <w:color w:val="auto"/>
              </w:rPr>
            </w:pPr>
          </w:p>
        </w:tc>
        <w:tc>
          <w:tcPr>
            <w:tcW w:w="460" w:type="dxa"/>
            <w:vAlign w:val="bottom"/>
            <w:shd w:val="clear" w:color="auto" w:fill="EBECEC"/>
          </w:tcPr>
          <w:p>
            <w:pPr>
              <w:spacing w:after="0"/>
              <w:rPr>
                <w:sz w:val="17"/>
                <w:szCs w:val="17"/>
                <w:color w:val="auto"/>
              </w:rPr>
            </w:pPr>
          </w:p>
        </w:tc>
        <w:tc>
          <w:tcPr>
            <w:tcW w:w="148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180" w:type="dxa"/>
            <w:vAlign w:val="bottom"/>
            <w:shd w:val="clear" w:color="auto" w:fill="EBECEC"/>
          </w:tcPr>
          <w:p>
            <w:pPr>
              <w:spacing w:after="0"/>
              <w:rPr>
                <w:sz w:val="17"/>
                <w:szCs w:val="17"/>
                <w:color w:val="auto"/>
              </w:rPr>
            </w:pPr>
          </w:p>
        </w:tc>
        <w:tc>
          <w:tcPr>
            <w:tcW w:w="520" w:type="dxa"/>
            <w:vAlign w:val="bottom"/>
            <w:shd w:val="clear" w:color="auto" w:fill="EBECEC"/>
          </w:tcPr>
          <w:p>
            <w:pPr>
              <w:spacing w:after="0"/>
              <w:rPr>
                <w:sz w:val="17"/>
                <w:szCs w:val="17"/>
                <w:color w:val="auto"/>
              </w:rPr>
            </w:pPr>
          </w:p>
        </w:tc>
        <w:tc>
          <w:tcPr>
            <w:tcW w:w="130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Accounts payable</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3,824</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2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18"/>
                <w:szCs w:val="18"/>
                <w:color w:val="231F20"/>
              </w:rPr>
              <w:t>Accrued liabilities</w:t>
            </w:r>
          </w:p>
        </w:tc>
        <w:tc>
          <w:tcPr>
            <w:tcW w:w="60" w:type="dxa"/>
            <w:vAlign w:val="bottom"/>
            <w:shd w:val="clear" w:color="auto" w:fill="EBECEC"/>
          </w:tcPr>
          <w:p>
            <w:pPr>
              <w:spacing w:after="0"/>
              <w:rPr>
                <w:sz w:val="21"/>
                <w:szCs w:val="21"/>
                <w:color w:val="auto"/>
              </w:rPr>
            </w:pPr>
          </w:p>
        </w:tc>
        <w:tc>
          <w:tcPr>
            <w:tcW w:w="460" w:type="dxa"/>
            <w:vAlign w:val="bottom"/>
            <w:shd w:val="clear" w:color="auto" w:fill="EBECEC"/>
          </w:tcPr>
          <w:p>
            <w:pPr>
              <w:spacing w:after="0"/>
              <w:rPr>
                <w:sz w:val="21"/>
                <w:szCs w:val="21"/>
                <w:color w:val="auto"/>
              </w:rPr>
            </w:pPr>
          </w:p>
        </w:tc>
        <w:tc>
          <w:tcPr>
            <w:tcW w:w="158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rPr>
              <w:t>16,593</w:t>
            </w:r>
          </w:p>
        </w:tc>
        <w:tc>
          <w:tcPr>
            <w:tcW w:w="180" w:type="dxa"/>
            <w:vAlign w:val="bottom"/>
            <w:shd w:val="clear" w:color="auto" w:fill="EBECEC"/>
          </w:tcPr>
          <w:p>
            <w:pPr>
              <w:spacing w:after="0"/>
              <w:rPr>
                <w:sz w:val="21"/>
                <w:szCs w:val="21"/>
                <w:color w:val="auto"/>
              </w:rPr>
            </w:pPr>
          </w:p>
        </w:tc>
        <w:tc>
          <w:tcPr>
            <w:tcW w:w="520" w:type="dxa"/>
            <w:vAlign w:val="bottom"/>
            <w:shd w:val="clear" w:color="auto" w:fill="EBECEC"/>
          </w:tcPr>
          <w:p>
            <w:pPr>
              <w:spacing w:after="0"/>
              <w:rPr>
                <w:sz w:val="21"/>
                <w:szCs w:val="21"/>
                <w:color w:val="auto"/>
              </w:rPr>
            </w:pPr>
          </w:p>
        </w:tc>
        <w:tc>
          <w:tcPr>
            <w:tcW w:w="13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23,298</w:t>
            </w:r>
          </w:p>
        </w:tc>
        <w:tc>
          <w:tcPr>
            <w:tcW w:w="8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620" w:type="dxa"/>
            <w:vAlign w:val="bottom"/>
            <w:tcBorders>
              <w:top w:val="single" w:sz="8" w:color="EBECEC"/>
            </w:tcBorders>
          </w:tcPr>
          <w:p>
            <w:pPr>
              <w:ind w:left="400"/>
              <w:spacing w:after="0" w:line="205" w:lineRule="exact"/>
              <w:rPr>
                <w:sz w:val="20"/>
                <w:szCs w:val="20"/>
                <w:color w:val="auto"/>
              </w:rPr>
            </w:pPr>
            <w:r>
              <w:rPr>
                <w:rFonts w:ascii="Times New Roman" w:cs="Times New Roman" w:eastAsia="Times New Roman" w:hAnsi="Times New Roman"/>
                <w:sz w:val="18"/>
                <w:szCs w:val="18"/>
                <w:color w:val="231F20"/>
              </w:rPr>
              <w:t>Total current liabilities</w:t>
            </w:r>
          </w:p>
        </w:tc>
        <w:tc>
          <w:tcPr>
            <w:tcW w:w="60" w:type="dxa"/>
            <w:vAlign w:val="bottom"/>
            <w:tcBorders>
              <w:top w:val="single" w:sz="8" w:color="EBECEC"/>
            </w:tcBorders>
          </w:tcPr>
          <w:p>
            <w:pPr>
              <w:spacing w:after="0"/>
              <w:rPr>
                <w:sz w:val="17"/>
                <w:szCs w:val="17"/>
                <w:color w:val="auto"/>
              </w:rPr>
            </w:pPr>
          </w:p>
        </w:tc>
        <w:tc>
          <w:tcPr>
            <w:tcW w:w="460" w:type="dxa"/>
            <w:vAlign w:val="bottom"/>
            <w:tcBorders>
              <w:top w:val="single" w:sz="8" w:color="231F20"/>
            </w:tcBorders>
          </w:tcPr>
          <w:p>
            <w:pPr>
              <w:spacing w:after="0"/>
              <w:rPr>
                <w:sz w:val="17"/>
                <w:szCs w:val="17"/>
                <w:color w:val="auto"/>
              </w:rPr>
            </w:pPr>
          </w:p>
        </w:tc>
        <w:tc>
          <w:tcPr>
            <w:tcW w:w="1480" w:type="dxa"/>
            <w:vAlign w:val="bottom"/>
            <w:tcBorders>
              <w:top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20,417</w:t>
            </w:r>
          </w:p>
        </w:tc>
        <w:tc>
          <w:tcPr>
            <w:tcW w:w="100" w:type="dxa"/>
            <w:vAlign w:val="bottom"/>
            <w:tcBorders>
              <w:top w:val="single" w:sz="8" w:color="EBECEC"/>
            </w:tcBorders>
          </w:tcPr>
          <w:p>
            <w:pPr>
              <w:spacing w:after="0"/>
              <w:rPr>
                <w:sz w:val="17"/>
                <w:szCs w:val="17"/>
                <w:color w:val="auto"/>
              </w:rPr>
            </w:pPr>
          </w:p>
        </w:tc>
        <w:tc>
          <w:tcPr>
            <w:tcW w:w="180" w:type="dxa"/>
            <w:vAlign w:val="bottom"/>
            <w:tcBorders>
              <w:top w:val="single" w:sz="8" w:color="EBECEC"/>
            </w:tcBorders>
          </w:tcPr>
          <w:p>
            <w:pPr>
              <w:spacing w:after="0"/>
              <w:rPr>
                <w:sz w:val="17"/>
                <w:szCs w:val="17"/>
                <w:color w:val="auto"/>
              </w:rPr>
            </w:pPr>
          </w:p>
        </w:tc>
        <w:tc>
          <w:tcPr>
            <w:tcW w:w="520" w:type="dxa"/>
            <w:vAlign w:val="bottom"/>
            <w:tcBorders>
              <w:top w:val="single" w:sz="8" w:color="231F20"/>
            </w:tcBorders>
          </w:tcPr>
          <w:p>
            <w:pPr>
              <w:spacing w:after="0"/>
              <w:rPr>
                <w:sz w:val="17"/>
                <w:szCs w:val="17"/>
                <w:color w:val="auto"/>
              </w:rPr>
            </w:pPr>
          </w:p>
        </w:tc>
        <w:tc>
          <w:tcPr>
            <w:tcW w:w="1300" w:type="dxa"/>
            <w:vAlign w:val="bottom"/>
            <w:tcBorders>
              <w:top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24,846</w:t>
            </w:r>
          </w:p>
        </w:tc>
        <w:tc>
          <w:tcPr>
            <w:tcW w:w="80" w:type="dxa"/>
            <w:vAlign w:val="bottom"/>
            <w:tcBorders>
              <w:top w:val="single" w:sz="8" w:color="EBECE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EBECEC"/>
          </w:tcPr>
          <w:p>
            <w:pPr>
              <w:spacing w:after="0"/>
              <w:rPr>
                <w:sz w:val="20"/>
                <w:szCs w:val="20"/>
                <w:color w:val="auto"/>
              </w:rPr>
            </w:pPr>
          </w:p>
        </w:tc>
        <w:tc>
          <w:tcPr>
            <w:tcW w:w="60" w:type="dxa"/>
            <w:vAlign w:val="bottom"/>
            <w:shd w:val="clear" w:color="auto" w:fill="EBECEC"/>
          </w:tcPr>
          <w:p>
            <w:pPr>
              <w:spacing w:after="0"/>
              <w:rPr>
                <w:sz w:val="20"/>
                <w:szCs w:val="20"/>
                <w:color w:val="auto"/>
              </w:rPr>
            </w:pPr>
          </w:p>
        </w:tc>
        <w:tc>
          <w:tcPr>
            <w:tcW w:w="460" w:type="dxa"/>
            <w:vAlign w:val="bottom"/>
            <w:shd w:val="clear" w:color="auto" w:fill="EBECEC"/>
          </w:tcPr>
          <w:p>
            <w:pPr>
              <w:spacing w:after="0"/>
              <w:rPr>
                <w:sz w:val="20"/>
                <w:szCs w:val="20"/>
                <w:color w:val="auto"/>
              </w:rPr>
            </w:pPr>
          </w:p>
        </w:tc>
        <w:tc>
          <w:tcPr>
            <w:tcW w:w="1580" w:type="dxa"/>
            <w:vAlign w:val="bottom"/>
            <w:gridSpan w:val="2"/>
            <w:shd w:val="clear" w:color="auto" w:fill="EBECEC"/>
          </w:tcPr>
          <w:p>
            <w:pPr>
              <w:spacing w:after="0"/>
              <w:rPr>
                <w:sz w:val="20"/>
                <w:szCs w:val="20"/>
                <w:color w:val="auto"/>
              </w:rPr>
            </w:pPr>
          </w:p>
        </w:tc>
        <w:tc>
          <w:tcPr>
            <w:tcW w:w="180" w:type="dxa"/>
            <w:vAlign w:val="bottom"/>
            <w:shd w:val="clear" w:color="auto" w:fill="EBECEC"/>
          </w:tcPr>
          <w:p>
            <w:pPr>
              <w:spacing w:after="0"/>
              <w:rPr>
                <w:sz w:val="20"/>
                <w:szCs w:val="20"/>
                <w:color w:val="auto"/>
              </w:rPr>
            </w:pPr>
          </w:p>
        </w:tc>
        <w:tc>
          <w:tcPr>
            <w:tcW w:w="520" w:type="dxa"/>
            <w:vAlign w:val="bottom"/>
            <w:shd w:val="clear" w:color="auto" w:fill="EBECEC"/>
          </w:tcPr>
          <w:p>
            <w:pPr>
              <w:spacing w:after="0"/>
              <w:rPr>
                <w:sz w:val="20"/>
                <w:szCs w:val="20"/>
                <w:color w:val="auto"/>
              </w:rPr>
            </w:pPr>
          </w:p>
        </w:tc>
        <w:tc>
          <w:tcPr>
            <w:tcW w:w="130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Other long-term liabilities</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4,111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20" w:type="dxa"/>
            <w:vAlign w:val="bottom"/>
            <w:tcBorders>
              <w:top w:val="single" w:sz="8" w:color="EBECEC"/>
            </w:tcBorders>
            <w:shd w:val="clear" w:color="auto" w:fill="EBECEC"/>
          </w:tcPr>
          <w:p>
            <w:pPr>
              <w:ind w:left="400"/>
              <w:spacing w:after="0"/>
              <w:rPr>
                <w:sz w:val="20"/>
                <w:szCs w:val="20"/>
                <w:color w:val="auto"/>
              </w:rPr>
            </w:pPr>
            <w:r>
              <w:rPr>
                <w:rFonts w:ascii="Times New Roman" w:cs="Times New Roman" w:eastAsia="Times New Roman" w:hAnsi="Times New Roman"/>
                <w:sz w:val="18"/>
                <w:szCs w:val="18"/>
                <w:color w:val="231F20"/>
              </w:rPr>
              <w:t>Total liabilities</w:t>
            </w:r>
          </w:p>
        </w:tc>
        <w:tc>
          <w:tcPr>
            <w:tcW w:w="60" w:type="dxa"/>
            <w:vAlign w:val="bottom"/>
            <w:tcBorders>
              <w:top w:val="single" w:sz="8" w:color="EBECEC"/>
            </w:tcBorders>
            <w:shd w:val="clear" w:color="auto" w:fill="EBECEC"/>
          </w:tcPr>
          <w:p>
            <w:pPr>
              <w:spacing w:after="0"/>
              <w:rPr>
                <w:sz w:val="19"/>
                <w:szCs w:val="19"/>
                <w:color w:val="auto"/>
              </w:rPr>
            </w:pPr>
          </w:p>
        </w:tc>
        <w:tc>
          <w:tcPr>
            <w:tcW w:w="460" w:type="dxa"/>
            <w:vAlign w:val="bottom"/>
            <w:tcBorders>
              <w:top w:val="single" w:sz="8" w:color="231F20"/>
            </w:tcBorders>
            <w:shd w:val="clear" w:color="auto" w:fill="EBECEC"/>
          </w:tcPr>
          <w:p>
            <w:pPr>
              <w:spacing w:after="0"/>
              <w:rPr>
                <w:sz w:val="19"/>
                <w:szCs w:val="19"/>
                <w:color w:val="auto"/>
              </w:rPr>
            </w:pPr>
          </w:p>
        </w:tc>
        <w:tc>
          <w:tcPr>
            <w:tcW w:w="148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24,528</w:t>
            </w:r>
          </w:p>
        </w:tc>
        <w:tc>
          <w:tcPr>
            <w:tcW w:w="100" w:type="dxa"/>
            <w:vAlign w:val="bottom"/>
            <w:tcBorders>
              <w:top w:val="single" w:sz="8" w:color="EBECEC"/>
            </w:tcBorders>
            <w:shd w:val="clear" w:color="auto" w:fill="EBECEC"/>
          </w:tcPr>
          <w:p>
            <w:pPr>
              <w:spacing w:after="0"/>
              <w:rPr>
                <w:sz w:val="19"/>
                <w:szCs w:val="19"/>
                <w:color w:val="auto"/>
              </w:rPr>
            </w:pPr>
          </w:p>
        </w:tc>
        <w:tc>
          <w:tcPr>
            <w:tcW w:w="180" w:type="dxa"/>
            <w:vAlign w:val="bottom"/>
            <w:tcBorders>
              <w:top w:val="single" w:sz="8" w:color="EBECEC"/>
            </w:tcBorders>
            <w:shd w:val="clear" w:color="auto" w:fill="EBECEC"/>
          </w:tcPr>
          <w:p>
            <w:pPr>
              <w:spacing w:after="0"/>
              <w:rPr>
                <w:sz w:val="19"/>
                <w:szCs w:val="19"/>
                <w:color w:val="auto"/>
              </w:rPr>
            </w:pPr>
          </w:p>
        </w:tc>
        <w:tc>
          <w:tcPr>
            <w:tcW w:w="520" w:type="dxa"/>
            <w:vAlign w:val="bottom"/>
            <w:tcBorders>
              <w:top w:val="single" w:sz="8" w:color="231F20"/>
            </w:tcBorders>
            <w:shd w:val="clear" w:color="auto" w:fill="EBECEC"/>
          </w:tcPr>
          <w:p>
            <w:pPr>
              <w:spacing w:after="0"/>
              <w:rPr>
                <w:sz w:val="19"/>
                <w:szCs w:val="19"/>
                <w:color w:val="auto"/>
              </w:rPr>
            </w:pPr>
          </w:p>
        </w:tc>
        <w:tc>
          <w:tcPr>
            <w:tcW w:w="130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31,020</w:t>
            </w:r>
          </w:p>
        </w:tc>
        <w:tc>
          <w:tcPr>
            <w:tcW w:w="80" w:type="dxa"/>
            <w:vAlign w:val="bottom"/>
            <w:tcBorders>
              <w:top w:val="single" w:sz="8" w:color="EBECEC"/>
            </w:tcBorders>
            <w:shd w:val="clear" w:color="auto" w:fill="EBECE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2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Commitments and contingencies</w:t>
            </w:r>
          </w:p>
        </w:tc>
        <w:tc>
          <w:tcPr>
            <w:tcW w:w="60" w:type="dxa"/>
            <w:vAlign w:val="bottom"/>
            <w:shd w:val="clear" w:color="auto" w:fill="EBECEC"/>
          </w:tcPr>
          <w:p>
            <w:pPr>
              <w:spacing w:after="0"/>
              <w:rPr>
                <w:sz w:val="17"/>
                <w:szCs w:val="17"/>
                <w:color w:val="auto"/>
              </w:rPr>
            </w:pPr>
          </w:p>
        </w:tc>
        <w:tc>
          <w:tcPr>
            <w:tcW w:w="460" w:type="dxa"/>
            <w:vAlign w:val="bottom"/>
            <w:shd w:val="clear" w:color="auto" w:fill="EBECEC"/>
          </w:tcPr>
          <w:p>
            <w:pPr>
              <w:spacing w:after="0"/>
              <w:rPr>
                <w:sz w:val="17"/>
                <w:szCs w:val="17"/>
                <w:color w:val="auto"/>
              </w:rPr>
            </w:pPr>
          </w:p>
        </w:tc>
        <w:tc>
          <w:tcPr>
            <w:tcW w:w="148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180" w:type="dxa"/>
            <w:vAlign w:val="bottom"/>
            <w:shd w:val="clear" w:color="auto" w:fill="EBECEC"/>
          </w:tcPr>
          <w:p>
            <w:pPr>
              <w:spacing w:after="0"/>
              <w:rPr>
                <w:sz w:val="17"/>
                <w:szCs w:val="17"/>
                <w:color w:val="auto"/>
              </w:rPr>
            </w:pPr>
          </w:p>
        </w:tc>
        <w:tc>
          <w:tcPr>
            <w:tcW w:w="520" w:type="dxa"/>
            <w:vAlign w:val="bottom"/>
            <w:shd w:val="clear" w:color="auto" w:fill="EBECEC"/>
          </w:tcPr>
          <w:p>
            <w:pPr>
              <w:spacing w:after="0"/>
              <w:rPr>
                <w:sz w:val="17"/>
                <w:szCs w:val="17"/>
                <w:color w:val="auto"/>
              </w:rPr>
            </w:pPr>
          </w:p>
        </w:tc>
        <w:tc>
          <w:tcPr>
            <w:tcW w:w="130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231F20"/>
              </w:rPr>
              <w:t>Stockholders' equity:</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620" w:type="dxa"/>
            <w:vAlign w:val="bottom"/>
            <w:shd w:val="clear" w:color="auto" w:fill="EBECEC"/>
          </w:tcPr>
          <w:p>
            <w:pPr>
              <w:ind w:left="200"/>
              <w:spacing w:after="0" w:line="189" w:lineRule="exact"/>
              <w:rPr>
                <w:sz w:val="20"/>
                <w:szCs w:val="20"/>
                <w:color w:val="auto"/>
              </w:rPr>
            </w:pPr>
            <w:r>
              <w:rPr>
                <w:rFonts w:ascii="Times New Roman" w:cs="Times New Roman" w:eastAsia="Times New Roman" w:hAnsi="Times New Roman"/>
                <w:sz w:val="18"/>
                <w:szCs w:val="18"/>
                <w:color w:val="231F20"/>
              </w:rPr>
              <w:t>Preferred stock, $0.0001 par value; 200,000,000 shares authorized; no shares issued and</w:t>
            </w:r>
          </w:p>
        </w:tc>
        <w:tc>
          <w:tcPr>
            <w:tcW w:w="60" w:type="dxa"/>
            <w:vAlign w:val="bottom"/>
            <w:shd w:val="clear" w:color="auto" w:fill="EBECEC"/>
          </w:tcPr>
          <w:p>
            <w:pPr>
              <w:spacing w:after="0"/>
              <w:rPr>
                <w:sz w:val="16"/>
                <w:szCs w:val="16"/>
                <w:color w:val="auto"/>
              </w:rPr>
            </w:pPr>
          </w:p>
        </w:tc>
        <w:tc>
          <w:tcPr>
            <w:tcW w:w="460" w:type="dxa"/>
            <w:vAlign w:val="bottom"/>
            <w:shd w:val="clear" w:color="auto" w:fill="EBECEC"/>
          </w:tcPr>
          <w:p>
            <w:pPr>
              <w:spacing w:after="0"/>
              <w:rPr>
                <w:sz w:val="16"/>
                <w:szCs w:val="16"/>
                <w:color w:val="auto"/>
              </w:rPr>
            </w:pPr>
          </w:p>
        </w:tc>
        <w:tc>
          <w:tcPr>
            <w:tcW w:w="1580" w:type="dxa"/>
            <w:vAlign w:val="bottom"/>
            <w:gridSpan w:val="2"/>
            <w:vMerge w:val="restart"/>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EBECEC"/>
          </w:tcPr>
          <w:p>
            <w:pPr>
              <w:spacing w:after="0"/>
              <w:rPr>
                <w:sz w:val="16"/>
                <w:szCs w:val="16"/>
                <w:color w:val="auto"/>
              </w:rPr>
            </w:pPr>
          </w:p>
        </w:tc>
        <w:tc>
          <w:tcPr>
            <w:tcW w:w="520" w:type="dxa"/>
            <w:vAlign w:val="bottom"/>
            <w:shd w:val="clear" w:color="auto" w:fill="EBECEC"/>
          </w:tcPr>
          <w:p>
            <w:pPr>
              <w:spacing w:after="0"/>
              <w:rPr>
                <w:sz w:val="16"/>
                <w:szCs w:val="16"/>
                <w:color w:val="auto"/>
              </w:rPr>
            </w:pPr>
          </w:p>
        </w:tc>
        <w:tc>
          <w:tcPr>
            <w:tcW w:w="1380" w:type="dxa"/>
            <w:vAlign w:val="bottom"/>
            <w:gridSpan w:val="2"/>
            <w:vMerge w:val="restart"/>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25"/>
        </w:trPr>
        <w:tc>
          <w:tcPr>
            <w:tcW w:w="662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18"/>
                <w:szCs w:val="18"/>
                <w:color w:val="231F20"/>
              </w:rPr>
              <w:t>outstanding at December 31, 2025 and 2024</w:t>
            </w:r>
          </w:p>
        </w:tc>
        <w:tc>
          <w:tcPr>
            <w:tcW w:w="60" w:type="dxa"/>
            <w:vAlign w:val="bottom"/>
            <w:shd w:val="clear" w:color="auto" w:fill="EBECEC"/>
          </w:tcPr>
          <w:p>
            <w:pPr>
              <w:spacing w:after="0"/>
              <w:rPr>
                <w:sz w:val="19"/>
                <w:szCs w:val="19"/>
                <w:color w:val="auto"/>
              </w:rPr>
            </w:pPr>
          </w:p>
        </w:tc>
        <w:tc>
          <w:tcPr>
            <w:tcW w:w="460" w:type="dxa"/>
            <w:vAlign w:val="bottom"/>
            <w:shd w:val="clear" w:color="auto" w:fill="EBECEC"/>
          </w:tcPr>
          <w:p>
            <w:pPr>
              <w:spacing w:after="0"/>
              <w:rPr>
                <w:sz w:val="19"/>
                <w:szCs w:val="19"/>
                <w:color w:val="auto"/>
              </w:rPr>
            </w:pPr>
          </w:p>
        </w:tc>
        <w:tc>
          <w:tcPr>
            <w:tcW w:w="1580" w:type="dxa"/>
            <w:vAlign w:val="bottom"/>
            <w:gridSpan w:val="2"/>
            <w:vMerge w:val="continue"/>
            <w:shd w:val="clear" w:color="auto" w:fill="EBECEC"/>
          </w:tcPr>
          <w:p>
            <w:pPr>
              <w:spacing w:after="0"/>
              <w:rPr>
                <w:sz w:val="19"/>
                <w:szCs w:val="19"/>
                <w:color w:val="auto"/>
              </w:rPr>
            </w:pPr>
          </w:p>
        </w:tc>
        <w:tc>
          <w:tcPr>
            <w:tcW w:w="180" w:type="dxa"/>
            <w:vAlign w:val="bottom"/>
            <w:shd w:val="clear" w:color="auto" w:fill="EBECEC"/>
          </w:tcPr>
          <w:p>
            <w:pPr>
              <w:spacing w:after="0"/>
              <w:rPr>
                <w:sz w:val="19"/>
                <w:szCs w:val="19"/>
                <w:color w:val="auto"/>
              </w:rPr>
            </w:pPr>
          </w:p>
        </w:tc>
        <w:tc>
          <w:tcPr>
            <w:tcW w:w="520" w:type="dxa"/>
            <w:vAlign w:val="bottom"/>
            <w:shd w:val="clear" w:color="auto" w:fill="EBECEC"/>
          </w:tcPr>
          <w:p>
            <w:pPr>
              <w:spacing w:after="0"/>
              <w:rPr>
                <w:sz w:val="19"/>
                <w:szCs w:val="19"/>
                <w:color w:val="auto"/>
              </w:rPr>
            </w:pPr>
          </w:p>
        </w:tc>
        <w:tc>
          <w:tcPr>
            <w:tcW w:w="1380" w:type="dxa"/>
            <w:vAlign w:val="bottom"/>
            <w:gridSpan w:val="2"/>
            <w:vMerge w:val="continue"/>
            <w:shd w:val="clear" w:color="auto" w:fill="EBECE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231F20"/>
              </w:rPr>
              <w:t>Common stock, $0.0001 par value; 1,000,000,000 shares authorized; 98,528,949 and</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11</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71,021,855 shares issued and outstanding at December 31, 2025 and 2024, respectively</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18"/>
                <w:szCs w:val="18"/>
                <w:color w:val="231F20"/>
              </w:rPr>
              <w:t>Additional paid-in capital</w:t>
            </w:r>
          </w:p>
        </w:tc>
        <w:tc>
          <w:tcPr>
            <w:tcW w:w="60" w:type="dxa"/>
            <w:vAlign w:val="bottom"/>
            <w:shd w:val="clear" w:color="auto" w:fill="EBECEC"/>
          </w:tcPr>
          <w:p>
            <w:pPr>
              <w:spacing w:after="0"/>
              <w:rPr>
                <w:sz w:val="20"/>
                <w:szCs w:val="20"/>
                <w:color w:val="auto"/>
              </w:rPr>
            </w:pPr>
          </w:p>
        </w:tc>
        <w:tc>
          <w:tcPr>
            <w:tcW w:w="460" w:type="dxa"/>
            <w:vAlign w:val="bottom"/>
            <w:shd w:val="clear" w:color="auto" w:fill="EBECEC"/>
          </w:tcPr>
          <w:p>
            <w:pPr>
              <w:spacing w:after="0"/>
              <w:rPr>
                <w:sz w:val="20"/>
                <w:szCs w:val="20"/>
                <w:color w:val="auto"/>
              </w:rPr>
            </w:pPr>
          </w:p>
        </w:tc>
        <w:tc>
          <w:tcPr>
            <w:tcW w:w="158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rPr>
              <w:t>1,075,807</w:t>
            </w:r>
          </w:p>
        </w:tc>
        <w:tc>
          <w:tcPr>
            <w:tcW w:w="180" w:type="dxa"/>
            <w:vAlign w:val="bottom"/>
            <w:shd w:val="clear" w:color="auto" w:fill="EBECEC"/>
          </w:tcPr>
          <w:p>
            <w:pPr>
              <w:spacing w:after="0"/>
              <w:rPr>
                <w:sz w:val="20"/>
                <w:szCs w:val="20"/>
                <w:color w:val="auto"/>
              </w:rPr>
            </w:pPr>
          </w:p>
        </w:tc>
        <w:tc>
          <w:tcPr>
            <w:tcW w:w="520" w:type="dxa"/>
            <w:vAlign w:val="bottom"/>
            <w:shd w:val="clear" w:color="auto" w:fill="EBECEC"/>
          </w:tcPr>
          <w:p>
            <w:pPr>
              <w:spacing w:after="0"/>
              <w:rPr>
                <w:sz w:val="20"/>
                <w:szCs w:val="20"/>
                <w:color w:val="auto"/>
              </w:rPr>
            </w:pPr>
          </w:p>
        </w:tc>
        <w:tc>
          <w:tcPr>
            <w:tcW w:w="13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805,510</w:t>
            </w:r>
          </w:p>
        </w:tc>
        <w:tc>
          <w:tcPr>
            <w:tcW w:w="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Accumulated deficit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(692,242)</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(562,774)</w:t>
            </w:r>
          </w:p>
        </w:tc>
        <w:tc>
          <w:tcPr>
            <w:tcW w:w="0" w:type="dxa"/>
            <w:vAlign w:val="bottom"/>
          </w:tcPr>
          <w:p>
            <w:pPr>
              <w:spacing w:after="0"/>
              <w:rPr>
                <w:sz w:val="1"/>
                <w:szCs w:val="1"/>
                <w:color w:val="auto"/>
              </w:rPr>
            </w:pPr>
          </w:p>
        </w:tc>
      </w:tr>
      <w:tr>
        <w:trPr>
          <w:trHeight w:val="250"/>
        </w:trPr>
        <w:tc>
          <w:tcPr>
            <w:tcW w:w="662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18"/>
                <w:szCs w:val="18"/>
                <w:color w:val="231F20"/>
              </w:rPr>
              <w:t>Accumulated other comprehensive income</w:t>
            </w:r>
          </w:p>
        </w:tc>
        <w:tc>
          <w:tcPr>
            <w:tcW w:w="60" w:type="dxa"/>
            <w:vAlign w:val="bottom"/>
            <w:shd w:val="clear" w:color="auto" w:fill="EBECEC"/>
          </w:tcPr>
          <w:p>
            <w:pPr>
              <w:spacing w:after="0"/>
              <w:rPr>
                <w:sz w:val="21"/>
                <w:szCs w:val="21"/>
                <w:color w:val="auto"/>
              </w:rPr>
            </w:pPr>
          </w:p>
        </w:tc>
        <w:tc>
          <w:tcPr>
            <w:tcW w:w="460" w:type="dxa"/>
            <w:vAlign w:val="bottom"/>
            <w:shd w:val="clear" w:color="auto" w:fill="EBECEC"/>
          </w:tcPr>
          <w:p>
            <w:pPr>
              <w:spacing w:after="0"/>
              <w:rPr>
                <w:sz w:val="21"/>
                <w:szCs w:val="21"/>
                <w:color w:val="auto"/>
              </w:rPr>
            </w:pPr>
          </w:p>
        </w:tc>
        <w:tc>
          <w:tcPr>
            <w:tcW w:w="158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rPr>
              <w:t>786</w:t>
            </w:r>
          </w:p>
        </w:tc>
        <w:tc>
          <w:tcPr>
            <w:tcW w:w="180" w:type="dxa"/>
            <w:vAlign w:val="bottom"/>
            <w:shd w:val="clear" w:color="auto" w:fill="EBECEC"/>
          </w:tcPr>
          <w:p>
            <w:pPr>
              <w:spacing w:after="0"/>
              <w:rPr>
                <w:sz w:val="21"/>
                <w:szCs w:val="21"/>
                <w:color w:val="auto"/>
              </w:rPr>
            </w:pPr>
          </w:p>
        </w:tc>
        <w:tc>
          <w:tcPr>
            <w:tcW w:w="520" w:type="dxa"/>
            <w:vAlign w:val="bottom"/>
            <w:shd w:val="clear" w:color="auto" w:fill="EBECEC"/>
          </w:tcPr>
          <w:p>
            <w:pPr>
              <w:spacing w:after="0"/>
              <w:rPr>
                <w:sz w:val="21"/>
                <w:szCs w:val="21"/>
                <w:color w:val="auto"/>
              </w:rPr>
            </w:pPr>
          </w:p>
        </w:tc>
        <w:tc>
          <w:tcPr>
            <w:tcW w:w="13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379</w:t>
            </w:r>
          </w:p>
        </w:tc>
        <w:tc>
          <w:tcPr>
            <w:tcW w:w="8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620" w:type="dxa"/>
            <w:vAlign w:val="bottom"/>
            <w:tcBorders>
              <w:top w:val="single" w:sz="8" w:color="EBECEC"/>
              <w:bottom w:val="single" w:sz="8" w:color="EBECEC"/>
            </w:tcBorders>
          </w:tcPr>
          <w:p>
            <w:pPr>
              <w:ind w:left="400"/>
              <w:spacing w:after="0" w:line="205" w:lineRule="exact"/>
              <w:rPr>
                <w:sz w:val="20"/>
                <w:szCs w:val="20"/>
                <w:color w:val="auto"/>
              </w:rPr>
            </w:pPr>
            <w:r>
              <w:rPr>
                <w:rFonts w:ascii="Times New Roman" w:cs="Times New Roman" w:eastAsia="Times New Roman" w:hAnsi="Times New Roman"/>
                <w:sz w:val="18"/>
                <w:szCs w:val="18"/>
                <w:color w:val="231F20"/>
              </w:rPr>
              <w:t>Total stockholders' equity</w:t>
            </w:r>
          </w:p>
        </w:tc>
        <w:tc>
          <w:tcPr>
            <w:tcW w:w="60" w:type="dxa"/>
            <w:vAlign w:val="bottom"/>
            <w:tcBorders>
              <w:top w:val="single" w:sz="8" w:color="EBECEC"/>
              <w:bottom w:val="single" w:sz="8" w:color="EBECEC"/>
            </w:tcBorders>
          </w:tcPr>
          <w:p>
            <w:pPr>
              <w:spacing w:after="0"/>
              <w:rPr>
                <w:sz w:val="17"/>
                <w:szCs w:val="17"/>
                <w:color w:val="auto"/>
              </w:rPr>
            </w:pPr>
          </w:p>
        </w:tc>
        <w:tc>
          <w:tcPr>
            <w:tcW w:w="460" w:type="dxa"/>
            <w:vAlign w:val="bottom"/>
            <w:tcBorders>
              <w:top w:val="single" w:sz="8" w:color="231F20"/>
              <w:bottom w:val="single" w:sz="8" w:color="231F20"/>
            </w:tcBorders>
          </w:tcPr>
          <w:p>
            <w:pPr>
              <w:spacing w:after="0"/>
              <w:rPr>
                <w:sz w:val="17"/>
                <w:szCs w:val="17"/>
                <w:color w:val="auto"/>
              </w:rPr>
            </w:pPr>
          </w:p>
        </w:tc>
        <w:tc>
          <w:tcPr>
            <w:tcW w:w="148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384,362</w:t>
            </w:r>
          </w:p>
        </w:tc>
        <w:tc>
          <w:tcPr>
            <w:tcW w:w="100" w:type="dxa"/>
            <w:vAlign w:val="bottom"/>
            <w:tcBorders>
              <w:top w:val="single" w:sz="8" w:color="EBECEC"/>
              <w:bottom w:val="single" w:sz="8" w:color="EBECEC"/>
            </w:tcBorders>
          </w:tcPr>
          <w:p>
            <w:pPr>
              <w:spacing w:after="0"/>
              <w:rPr>
                <w:sz w:val="17"/>
                <w:szCs w:val="17"/>
                <w:color w:val="auto"/>
              </w:rPr>
            </w:pPr>
          </w:p>
        </w:tc>
        <w:tc>
          <w:tcPr>
            <w:tcW w:w="180" w:type="dxa"/>
            <w:vAlign w:val="bottom"/>
            <w:tcBorders>
              <w:top w:val="single" w:sz="8" w:color="EBECEC"/>
              <w:bottom w:val="single" w:sz="8" w:color="EBECEC"/>
            </w:tcBorders>
          </w:tcPr>
          <w:p>
            <w:pPr>
              <w:spacing w:after="0"/>
              <w:rPr>
                <w:sz w:val="17"/>
                <w:szCs w:val="17"/>
                <w:color w:val="auto"/>
              </w:rPr>
            </w:pPr>
          </w:p>
        </w:tc>
        <w:tc>
          <w:tcPr>
            <w:tcW w:w="520" w:type="dxa"/>
            <w:vAlign w:val="bottom"/>
            <w:tcBorders>
              <w:top w:val="single" w:sz="8" w:color="231F20"/>
              <w:bottom w:val="single" w:sz="8" w:color="231F20"/>
            </w:tcBorders>
          </w:tcPr>
          <w:p>
            <w:pPr>
              <w:spacing w:after="0"/>
              <w:rPr>
                <w:sz w:val="17"/>
                <w:szCs w:val="17"/>
                <w:color w:val="auto"/>
              </w:rPr>
            </w:pPr>
          </w:p>
        </w:tc>
        <w:tc>
          <w:tcPr>
            <w:tcW w:w="130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243,122</w:t>
            </w:r>
          </w:p>
        </w:tc>
        <w:tc>
          <w:tcPr>
            <w:tcW w:w="80" w:type="dxa"/>
            <w:vAlign w:val="bottom"/>
            <w:tcBorders>
              <w:top w:val="single" w:sz="8" w:color="EBECEC"/>
              <w:bottom w:val="single" w:sz="8" w:color="EBECEC"/>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620" w:type="dxa"/>
            <w:vAlign w:val="bottom"/>
            <w:tcBorders>
              <w:bottom w:val="single" w:sz="8" w:color="EBECEC"/>
            </w:tcBorders>
            <w:shd w:val="clear" w:color="auto" w:fill="EBECEC"/>
          </w:tcPr>
          <w:p>
            <w:pPr>
              <w:ind w:left="400"/>
              <w:spacing w:after="0"/>
              <w:rPr>
                <w:sz w:val="20"/>
                <w:szCs w:val="20"/>
                <w:color w:val="auto"/>
              </w:rPr>
            </w:pPr>
            <w:r>
              <w:rPr>
                <w:rFonts w:ascii="Times New Roman" w:cs="Times New Roman" w:eastAsia="Times New Roman" w:hAnsi="Times New Roman"/>
                <w:sz w:val="18"/>
                <w:szCs w:val="18"/>
                <w:color w:val="231F20"/>
              </w:rPr>
              <w:t>Total liabilities and stockholders' equity</w:t>
            </w:r>
          </w:p>
        </w:tc>
        <w:tc>
          <w:tcPr>
            <w:tcW w:w="60" w:type="dxa"/>
            <w:vAlign w:val="bottom"/>
            <w:tcBorders>
              <w:bottom w:val="single" w:sz="8" w:color="EBECEC"/>
            </w:tcBorders>
            <w:shd w:val="clear" w:color="auto" w:fill="EBECEC"/>
          </w:tcPr>
          <w:p>
            <w:pPr>
              <w:spacing w:after="0"/>
              <w:rPr>
                <w:sz w:val="21"/>
                <w:szCs w:val="21"/>
                <w:color w:val="auto"/>
              </w:rPr>
            </w:pPr>
          </w:p>
        </w:tc>
        <w:tc>
          <w:tcPr>
            <w:tcW w:w="460" w:type="dxa"/>
            <w:vAlign w:val="bottom"/>
            <w:tcBorders>
              <w:bottom w:val="single" w:sz="8" w:color="231F20"/>
            </w:tcBorders>
            <w:shd w:val="clear" w:color="auto" w:fill="EBECEC"/>
          </w:tcPr>
          <w:p>
            <w:pPr>
              <w:jc w:val="right"/>
              <w:ind w:right="26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48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408,890</w:t>
            </w:r>
          </w:p>
        </w:tc>
        <w:tc>
          <w:tcPr>
            <w:tcW w:w="100" w:type="dxa"/>
            <w:vAlign w:val="bottom"/>
            <w:tcBorders>
              <w:bottom w:val="single" w:sz="8" w:color="EBECEC"/>
            </w:tcBorders>
            <w:shd w:val="clear" w:color="auto" w:fill="EBECEC"/>
          </w:tcPr>
          <w:p>
            <w:pPr>
              <w:spacing w:after="0"/>
              <w:rPr>
                <w:sz w:val="21"/>
                <w:szCs w:val="21"/>
                <w:color w:val="auto"/>
              </w:rPr>
            </w:pPr>
          </w:p>
        </w:tc>
        <w:tc>
          <w:tcPr>
            <w:tcW w:w="180" w:type="dxa"/>
            <w:vAlign w:val="bottom"/>
            <w:tcBorders>
              <w:bottom w:val="single" w:sz="8" w:color="EBECEC"/>
            </w:tcBorders>
            <w:shd w:val="clear" w:color="auto" w:fill="EBECEC"/>
          </w:tcPr>
          <w:p>
            <w:pPr>
              <w:spacing w:after="0"/>
              <w:rPr>
                <w:sz w:val="21"/>
                <w:szCs w:val="21"/>
                <w:color w:val="auto"/>
              </w:rPr>
            </w:pPr>
          </w:p>
        </w:tc>
        <w:tc>
          <w:tcPr>
            <w:tcW w:w="520" w:type="dxa"/>
            <w:vAlign w:val="bottom"/>
            <w:tcBorders>
              <w:bottom w:val="single" w:sz="8" w:color="231F20"/>
            </w:tcBorders>
            <w:shd w:val="clear" w:color="auto" w:fill="EBECEC"/>
          </w:tcPr>
          <w:p>
            <w:pPr>
              <w:jc w:val="right"/>
              <w:ind w:right="3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274,142</w:t>
            </w:r>
          </w:p>
        </w:tc>
        <w:tc>
          <w:tcPr>
            <w:tcW w:w="80" w:type="dxa"/>
            <w:vAlign w:val="bottom"/>
            <w:tcBorders>
              <w:bottom w:val="single" w:sz="8" w:color="EBECEC"/>
            </w:tcBorders>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4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accompanying notes to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109</w:t>
      </w:r>
    </w:p>
    <w:p>
      <w:pPr>
        <w:sectPr>
          <w:pgSz w:w="11880" w:h="15480" w:orient="portrait"/>
          <w:cols w:equalWidth="0" w:num="1">
            <w:col w:w="10800"/>
          </w:cols>
          <w:pgMar w:left="540" w:top="746" w:right="540" w:bottom="0" w:gutter="0" w:footer="0" w:header="0"/>
          <w:type w:val="continuous"/>
        </w:sectPr>
      </w:pPr>
    </w:p>
    <w:bookmarkStart w:id="115" w:name="page116"/>
    <w:bookmarkEnd w:id="115"/>
    <w:p>
      <w:pPr>
        <w:jc w:val="center"/>
        <w:spacing w:after="0" w:line="261" w:lineRule="auto"/>
        <w:rPr>
          <w:sz w:val="20"/>
          <w:szCs w:val="20"/>
          <w:color w:val="auto"/>
        </w:rPr>
      </w:pPr>
      <w:r>
        <w:rPr>
          <w:rFonts w:ascii="Times New Roman" w:cs="Times New Roman" w:eastAsia="Times New Roman" w:hAnsi="Times New Roman"/>
          <w:sz w:val="20"/>
          <w:szCs w:val="20"/>
          <w:b w:val="1"/>
          <w:bCs w:val="1"/>
          <w:color w:val="231F20"/>
        </w:rPr>
        <w:t xml:space="preserve">ORIC PHARMACEUTICALS, INC. STATEMENTS OF OPERATIONS AND COMPREHENSIVE LOSS </w:t>
      </w:r>
      <w:r>
        <w:rPr>
          <w:rFonts w:ascii="Times New Roman" w:cs="Times New Roman" w:eastAsia="Times New Roman" w:hAnsi="Times New Roman"/>
          <w:sz w:val="20"/>
          <w:szCs w:val="20"/>
          <w:color w:val="231F20"/>
        </w:rPr>
        <w:t>(in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6"/>
          </w:tcPr>
          <w:p>
            <w:pPr>
              <w:jc w:val="right"/>
              <w:ind w:right="600"/>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EBECEC"/>
            </w:tcBorders>
          </w:tcPr>
          <w:p>
            <w:pPr>
              <w:spacing w:after="0"/>
              <w:rPr>
                <w:sz w:val="20"/>
                <w:szCs w:val="20"/>
                <w:color w:val="auto"/>
              </w:rPr>
            </w:pPr>
          </w:p>
        </w:tc>
        <w:tc>
          <w:tcPr>
            <w:tcW w:w="1460" w:type="dxa"/>
            <w:vAlign w:val="bottom"/>
            <w:tcBorders>
              <w:bottom w:val="single" w:sz="8" w:color="EBECEC"/>
            </w:tcBorders>
          </w:tcPr>
          <w:p>
            <w:pPr>
              <w:spacing w:after="0"/>
              <w:rPr>
                <w:sz w:val="20"/>
                <w:szCs w:val="20"/>
                <w:color w:val="auto"/>
              </w:rPr>
            </w:pPr>
          </w:p>
        </w:tc>
        <w:tc>
          <w:tcPr>
            <w:tcW w:w="300" w:type="dxa"/>
            <w:vAlign w:val="bottom"/>
            <w:tcBorders>
              <w:top w:val="single" w:sz="8" w:color="231F20"/>
              <w:bottom w:val="single" w:sz="8" w:color="231F20"/>
            </w:tcBorders>
          </w:tcPr>
          <w:p>
            <w:pPr>
              <w:spacing w:after="0"/>
              <w:rPr>
                <w:sz w:val="20"/>
                <w:szCs w:val="20"/>
                <w:color w:val="auto"/>
              </w:rPr>
            </w:pPr>
          </w:p>
        </w:tc>
        <w:tc>
          <w:tcPr>
            <w:tcW w:w="1240" w:type="dxa"/>
            <w:vAlign w:val="bottom"/>
            <w:tcBorders>
              <w:top w:val="single" w:sz="8" w:color="231F20"/>
              <w:bottom w:val="single" w:sz="8" w:color="231F20"/>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60" w:type="dxa"/>
            <w:vAlign w:val="bottom"/>
            <w:tcBorders>
              <w:top w:val="single" w:sz="8" w:color="231F20"/>
              <w:bottom w:val="single" w:sz="8" w:color="EBECEC"/>
            </w:tcBorders>
          </w:tcPr>
          <w:p>
            <w:pPr>
              <w:spacing w:after="0"/>
              <w:rPr>
                <w:sz w:val="20"/>
                <w:szCs w:val="20"/>
                <w:color w:val="auto"/>
              </w:rPr>
            </w:pPr>
          </w:p>
        </w:tc>
        <w:tc>
          <w:tcPr>
            <w:tcW w:w="100" w:type="dxa"/>
            <w:vAlign w:val="bottom"/>
            <w:tcBorders>
              <w:top w:val="single" w:sz="8" w:color="231F20"/>
              <w:bottom w:val="single" w:sz="8" w:color="EBECEC"/>
            </w:tcBorders>
          </w:tcPr>
          <w:p>
            <w:pPr>
              <w:spacing w:after="0"/>
              <w:rPr>
                <w:sz w:val="20"/>
                <w:szCs w:val="20"/>
                <w:color w:val="auto"/>
              </w:rPr>
            </w:pPr>
          </w:p>
        </w:tc>
        <w:tc>
          <w:tcPr>
            <w:tcW w:w="340" w:type="dxa"/>
            <w:vAlign w:val="bottom"/>
            <w:tcBorders>
              <w:top w:val="single" w:sz="8" w:color="231F20"/>
              <w:bottom w:val="single" w:sz="8" w:color="231F20"/>
            </w:tcBorders>
          </w:tcPr>
          <w:p>
            <w:pPr>
              <w:spacing w:after="0"/>
              <w:rPr>
                <w:sz w:val="20"/>
                <w:szCs w:val="20"/>
                <w:color w:val="auto"/>
              </w:rPr>
            </w:pPr>
          </w:p>
        </w:tc>
        <w:tc>
          <w:tcPr>
            <w:tcW w:w="1200" w:type="dxa"/>
            <w:vAlign w:val="bottom"/>
            <w:tcBorders>
              <w:top w:val="single" w:sz="8" w:color="231F20"/>
              <w:bottom w:val="single" w:sz="8" w:color="231F20"/>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80" w:type="dxa"/>
            <w:vAlign w:val="bottom"/>
            <w:tcBorders>
              <w:bottom w:val="single" w:sz="8" w:color="EBECEC"/>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2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Operating expenses:</w:t>
            </w:r>
          </w:p>
        </w:tc>
        <w:tc>
          <w:tcPr>
            <w:tcW w:w="1460" w:type="dxa"/>
            <w:vAlign w:val="bottom"/>
            <w:shd w:val="clear" w:color="auto" w:fill="EBECEC"/>
          </w:tcPr>
          <w:p>
            <w:pPr>
              <w:spacing w:after="0"/>
              <w:rPr>
                <w:sz w:val="19"/>
                <w:szCs w:val="19"/>
                <w:color w:val="auto"/>
              </w:rPr>
            </w:pPr>
          </w:p>
        </w:tc>
        <w:tc>
          <w:tcPr>
            <w:tcW w:w="300" w:type="dxa"/>
            <w:vAlign w:val="bottom"/>
            <w:shd w:val="clear" w:color="auto" w:fill="EBECEC"/>
          </w:tcPr>
          <w:p>
            <w:pPr>
              <w:spacing w:after="0"/>
              <w:rPr>
                <w:sz w:val="19"/>
                <w:szCs w:val="19"/>
                <w:color w:val="auto"/>
              </w:rPr>
            </w:pPr>
          </w:p>
        </w:tc>
        <w:tc>
          <w:tcPr>
            <w:tcW w:w="1240" w:type="dxa"/>
            <w:vAlign w:val="bottom"/>
            <w:shd w:val="clear" w:color="auto" w:fill="EBECEC"/>
          </w:tcPr>
          <w:p>
            <w:pPr>
              <w:spacing w:after="0"/>
              <w:rPr>
                <w:sz w:val="19"/>
                <w:szCs w:val="19"/>
                <w:color w:val="auto"/>
              </w:rPr>
            </w:pPr>
          </w:p>
        </w:tc>
        <w:tc>
          <w:tcPr>
            <w:tcW w:w="16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340" w:type="dxa"/>
            <w:vAlign w:val="bottom"/>
            <w:shd w:val="clear" w:color="auto" w:fill="EBECEC"/>
          </w:tcPr>
          <w:p>
            <w:pPr>
              <w:spacing w:after="0"/>
              <w:rPr>
                <w:sz w:val="19"/>
                <w:szCs w:val="19"/>
                <w:color w:val="auto"/>
              </w:rPr>
            </w:pPr>
          </w:p>
        </w:tc>
        <w:tc>
          <w:tcPr>
            <w:tcW w:w="1200" w:type="dxa"/>
            <w:vAlign w:val="bottom"/>
            <w:shd w:val="clear" w:color="auto" w:fill="EBECEC"/>
          </w:tcPr>
          <w:p>
            <w:pPr>
              <w:spacing w:after="0"/>
              <w:rPr>
                <w:sz w:val="19"/>
                <w:szCs w:val="19"/>
                <w:color w:val="auto"/>
              </w:rPr>
            </w:pPr>
          </w:p>
        </w:tc>
        <w:tc>
          <w:tcPr>
            <w:tcW w:w="80" w:type="dxa"/>
            <w:vAlign w:val="bottom"/>
            <w:shd w:val="clear" w:color="auto" w:fill="EBECE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46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109,818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114,072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1460" w:type="dxa"/>
            <w:vAlign w:val="bottom"/>
            <w:shd w:val="clear" w:color="auto" w:fill="EBECEC"/>
          </w:tcPr>
          <w:p>
            <w:pPr>
              <w:spacing w:after="0"/>
              <w:rPr>
                <w:sz w:val="20"/>
                <w:szCs w:val="20"/>
                <w:color w:val="auto"/>
              </w:rPr>
            </w:pPr>
          </w:p>
        </w:tc>
        <w:tc>
          <w:tcPr>
            <w:tcW w:w="300" w:type="dxa"/>
            <w:vAlign w:val="bottom"/>
            <w:shd w:val="clear" w:color="auto" w:fill="EBECEC"/>
          </w:tcPr>
          <w:p>
            <w:pPr>
              <w:spacing w:after="0"/>
              <w:rPr>
                <w:sz w:val="20"/>
                <w:szCs w:val="20"/>
                <w:color w:val="auto"/>
              </w:rPr>
            </w:pPr>
          </w:p>
        </w:tc>
        <w:tc>
          <w:tcPr>
            <w:tcW w:w="140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20"/>
                <w:szCs w:val="20"/>
                <w:color w:val="231F20"/>
              </w:rPr>
              <w:t>33,186</w:t>
            </w:r>
          </w:p>
        </w:tc>
        <w:tc>
          <w:tcPr>
            <w:tcW w:w="100" w:type="dxa"/>
            <w:vAlign w:val="bottom"/>
            <w:shd w:val="clear" w:color="auto" w:fill="EBECEC"/>
          </w:tcPr>
          <w:p>
            <w:pPr>
              <w:spacing w:after="0"/>
              <w:rPr>
                <w:sz w:val="20"/>
                <w:szCs w:val="20"/>
                <w:color w:val="auto"/>
              </w:rPr>
            </w:pPr>
          </w:p>
        </w:tc>
        <w:tc>
          <w:tcPr>
            <w:tcW w:w="340" w:type="dxa"/>
            <w:vAlign w:val="bottom"/>
            <w:shd w:val="clear" w:color="auto" w:fill="EBECEC"/>
          </w:tcPr>
          <w:p>
            <w:pPr>
              <w:spacing w:after="0"/>
              <w:rPr>
                <w:sz w:val="20"/>
                <w:szCs w:val="20"/>
                <w:color w:val="auto"/>
              </w:rPr>
            </w:pPr>
          </w:p>
        </w:tc>
        <w:tc>
          <w:tcPr>
            <w:tcW w:w="128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28,823</w:t>
            </w:r>
          </w:p>
        </w:tc>
        <w:tc>
          <w:tcPr>
            <w:tcW w:w="0" w:type="dxa"/>
            <w:vAlign w:val="bottom"/>
          </w:tcPr>
          <w:p>
            <w:pPr>
              <w:spacing w:after="0"/>
              <w:rPr>
                <w:sz w:val="1"/>
                <w:szCs w:val="1"/>
                <w:color w:val="auto"/>
              </w:rPr>
            </w:pPr>
          </w:p>
        </w:tc>
      </w:tr>
      <w:tr>
        <w:trPr>
          <w:trHeight w:val="225"/>
        </w:trPr>
        <w:tc>
          <w:tcPr>
            <w:tcW w:w="5920" w:type="dxa"/>
            <w:vAlign w:val="bottom"/>
            <w:tcBorders>
              <w:bottom w:val="single" w:sz="8" w:color="EBECEC"/>
            </w:tcBorders>
          </w:tcPr>
          <w:p>
            <w:pPr>
              <w:ind w:left="400"/>
              <w:spacing w:after="0" w:line="225" w:lineRule="exact"/>
              <w:rPr>
                <w:sz w:val="20"/>
                <w:szCs w:val="20"/>
                <w:color w:val="auto"/>
              </w:rPr>
            </w:pPr>
            <w:r>
              <w:rPr>
                <w:rFonts w:ascii="Times New Roman" w:cs="Times New Roman" w:eastAsia="Times New Roman" w:hAnsi="Times New Roman"/>
                <w:sz w:val="20"/>
                <w:szCs w:val="20"/>
                <w:color w:val="231F20"/>
              </w:rPr>
              <w:t>Total operating expenses</w:t>
            </w:r>
          </w:p>
        </w:tc>
        <w:tc>
          <w:tcPr>
            <w:tcW w:w="1460" w:type="dxa"/>
            <w:vAlign w:val="bottom"/>
            <w:tcBorders>
              <w:bottom w:val="single" w:sz="8" w:color="EBECEC"/>
            </w:tcBorders>
          </w:tcPr>
          <w:p>
            <w:pPr>
              <w:spacing w:after="0"/>
              <w:rPr>
                <w:sz w:val="19"/>
                <w:szCs w:val="19"/>
                <w:color w:val="auto"/>
              </w:rPr>
            </w:pPr>
          </w:p>
        </w:tc>
        <w:tc>
          <w:tcPr>
            <w:tcW w:w="300" w:type="dxa"/>
            <w:vAlign w:val="bottom"/>
            <w:tcBorders>
              <w:top w:val="single" w:sz="8" w:color="231F20"/>
              <w:bottom w:val="single" w:sz="8" w:color="231F20"/>
            </w:tcBorders>
          </w:tcPr>
          <w:p>
            <w:pPr>
              <w:spacing w:after="0"/>
              <w:rPr>
                <w:sz w:val="19"/>
                <w:szCs w:val="19"/>
                <w:color w:val="auto"/>
              </w:rPr>
            </w:pPr>
          </w:p>
        </w:tc>
        <w:tc>
          <w:tcPr>
            <w:tcW w:w="124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143,004</w:t>
            </w:r>
          </w:p>
        </w:tc>
        <w:tc>
          <w:tcPr>
            <w:tcW w:w="160" w:type="dxa"/>
            <w:vAlign w:val="bottom"/>
            <w:tcBorders>
              <w:bottom w:val="single" w:sz="8" w:color="EBECEC"/>
            </w:tcBorders>
          </w:tcPr>
          <w:p>
            <w:pPr>
              <w:spacing w:after="0"/>
              <w:rPr>
                <w:sz w:val="19"/>
                <w:szCs w:val="19"/>
                <w:color w:val="auto"/>
              </w:rPr>
            </w:pPr>
          </w:p>
        </w:tc>
        <w:tc>
          <w:tcPr>
            <w:tcW w:w="100" w:type="dxa"/>
            <w:vAlign w:val="bottom"/>
            <w:tcBorders>
              <w:bottom w:val="single" w:sz="8" w:color="EBECEC"/>
            </w:tcBorders>
          </w:tcPr>
          <w:p>
            <w:pPr>
              <w:spacing w:after="0"/>
              <w:rPr>
                <w:sz w:val="19"/>
                <w:szCs w:val="19"/>
                <w:color w:val="auto"/>
              </w:rPr>
            </w:pPr>
          </w:p>
        </w:tc>
        <w:tc>
          <w:tcPr>
            <w:tcW w:w="340" w:type="dxa"/>
            <w:vAlign w:val="bottom"/>
            <w:tcBorders>
              <w:top w:val="single" w:sz="8" w:color="231F20"/>
              <w:bottom w:val="single" w:sz="8" w:color="231F20"/>
            </w:tcBorders>
          </w:tcPr>
          <w:p>
            <w:pPr>
              <w:spacing w:after="0"/>
              <w:rPr>
                <w:sz w:val="19"/>
                <w:szCs w:val="19"/>
                <w:color w:val="auto"/>
              </w:rPr>
            </w:pPr>
          </w:p>
        </w:tc>
        <w:tc>
          <w:tcPr>
            <w:tcW w:w="120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142,895</w:t>
            </w:r>
          </w:p>
        </w:tc>
        <w:tc>
          <w:tcPr>
            <w:tcW w:w="80" w:type="dxa"/>
            <w:vAlign w:val="bottom"/>
            <w:tcBorders>
              <w:bottom w:val="single" w:sz="8" w:color="EBECE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2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Loss from operations</w:t>
            </w:r>
          </w:p>
        </w:tc>
        <w:tc>
          <w:tcPr>
            <w:tcW w:w="1460" w:type="dxa"/>
            <w:vAlign w:val="bottom"/>
            <w:shd w:val="clear" w:color="auto" w:fill="EBECEC"/>
          </w:tcPr>
          <w:p>
            <w:pPr>
              <w:spacing w:after="0"/>
              <w:rPr>
                <w:sz w:val="19"/>
                <w:szCs w:val="19"/>
                <w:color w:val="auto"/>
              </w:rPr>
            </w:pPr>
          </w:p>
        </w:tc>
        <w:tc>
          <w:tcPr>
            <w:tcW w:w="300" w:type="dxa"/>
            <w:vAlign w:val="bottom"/>
            <w:shd w:val="clear" w:color="auto" w:fill="EBECEC"/>
          </w:tcPr>
          <w:p>
            <w:pPr>
              <w:spacing w:after="0"/>
              <w:rPr>
                <w:sz w:val="19"/>
                <w:szCs w:val="19"/>
                <w:color w:val="auto"/>
              </w:rPr>
            </w:pPr>
          </w:p>
        </w:tc>
        <w:tc>
          <w:tcPr>
            <w:tcW w:w="124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(143,004)</w:t>
            </w:r>
          </w:p>
        </w:tc>
        <w:tc>
          <w:tcPr>
            <w:tcW w:w="16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340" w:type="dxa"/>
            <w:vAlign w:val="bottom"/>
            <w:shd w:val="clear" w:color="auto" w:fill="EBECEC"/>
          </w:tcPr>
          <w:p>
            <w:pPr>
              <w:spacing w:after="0"/>
              <w:rPr>
                <w:sz w:val="19"/>
                <w:szCs w:val="19"/>
                <w:color w:val="auto"/>
              </w:rPr>
            </w:pPr>
          </w:p>
        </w:tc>
        <w:tc>
          <w:tcPr>
            <w:tcW w:w="120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(142,895)</w:t>
            </w:r>
          </w:p>
        </w:tc>
        <w:tc>
          <w:tcPr>
            <w:tcW w:w="80" w:type="dxa"/>
            <w:vAlign w:val="bottom"/>
            <w:shd w:val="clear" w:color="auto" w:fill="EBECE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Other income, net</w:t>
            </w:r>
          </w:p>
        </w:tc>
        <w:tc>
          <w:tcPr>
            <w:tcW w:w="1460" w:type="dxa"/>
            <w:vAlign w:val="bottom"/>
            <w:shd w:val="clear" w:color="auto" w:fill="EBECEC"/>
          </w:tcPr>
          <w:p>
            <w:pPr>
              <w:spacing w:after="0"/>
              <w:rPr>
                <w:sz w:val="20"/>
                <w:szCs w:val="20"/>
                <w:color w:val="auto"/>
              </w:rPr>
            </w:pPr>
          </w:p>
        </w:tc>
        <w:tc>
          <w:tcPr>
            <w:tcW w:w="300" w:type="dxa"/>
            <w:vAlign w:val="bottom"/>
            <w:shd w:val="clear" w:color="auto" w:fill="EBECEC"/>
          </w:tcPr>
          <w:p>
            <w:pPr>
              <w:spacing w:after="0"/>
              <w:rPr>
                <w:sz w:val="20"/>
                <w:szCs w:val="20"/>
                <w:color w:val="auto"/>
              </w:rPr>
            </w:pPr>
          </w:p>
        </w:tc>
        <w:tc>
          <w:tcPr>
            <w:tcW w:w="140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20"/>
                <w:szCs w:val="20"/>
                <w:color w:val="231F20"/>
              </w:rPr>
              <w:t>13,536</w:t>
            </w:r>
          </w:p>
        </w:tc>
        <w:tc>
          <w:tcPr>
            <w:tcW w:w="100" w:type="dxa"/>
            <w:vAlign w:val="bottom"/>
            <w:shd w:val="clear" w:color="auto" w:fill="EBECEC"/>
          </w:tcPr>
          <w:p>
            <w:pPr>
              <w:spacing w:after="0"/>
              <w:rPr>
                <w:sz w:val="20"/>
                <w:szCs w:val="20"/>
                <w:color w:val="auto"/>
              </w:rPr>
            </w:pPr>
          </w:p>
        </w:tc>
        <w:tc>
          <w:tcPr>
            <w:tcW w:w="340" w:type="dxa"/>
            <w:vAlign w:val="bottom"/>
            <w:shd w:val="clear" w:color="auto" w:fill="EBECEC"/>
          </w:tcPr>
          <w:p>
            <w:pPr>
              <w:spacing w:after="0"/>
              <w:rPr>
                <w:sz w:val="20"/>
                <w:szCs w:val="20"/>
                <w:color w:val="auto"/>
              </w:rPr>
            </w:pPr>
          </w:p>
        </w:tc>
        <w:tc>
          <w:tcPr>
            <w:tcW w:w="128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15,048</w:t>
            </w:r>
          </w:p>
        </w:tc>
        <w:tc>
          <w:tcPr>
            <w:tcW w:w="0" w:type="dxa"/>
            <w:vAlign w:val="bottom"/>
          </w:tcPr>
          <w:p>
            <w:pPr>
              <w:spacing w:after="0"/>
              <w:rPr>
                <w:sz w:val="1"/>
                <w:szCs w:val="1"/>
                <w:color w:val="auto"/>
              </w:rPr>
            </w:pPr>
          </w:p>
        </w:tc>
      </w:tr>
      <w:tr>
        <w:trPr>
          <w:trHeight w:val="265"/>
        </w:trPr>
        <w:tc>
          <w:tcPr>
            <w:tcW w:w="5920" w:type="dxa"/>
            <w:vAlign w:val="bottom"/>
            <w:tcBorders>
              <w:bottom w:val="single" w:sz="8" w:color="EBECEC"/>
            </w:tcBorders>
          </w:tcPr>
          <w:p>
            <w:pPr>
              <w:spacing w:after="0" w:line="225" w:lineRule="exact"/>
              <w:rPr>
                <w:sz w:val="20"/>
                <w:szCs w:val="20"/>
                <w:color w:val="auto"/>
              </w:rPr>
            </w:pPr>
            <w:r>
              <w:rPr>
                <w:rFonts w:ascii="Times New Roman" w:cs="Times New Roman" w:eastAsia="Times New Roman" w:hAnsi="Times New Roman"/>
                <w:sz w:val="20"/>
                <w:szCs w:val="20"/>
                <w:color w:val="231F20"/>
              </w:rPr>
              <w:t>Net loss</w:t>
            </w:r>
          </w:p>
        </w:tc>
        <w:tc>
          <w:tcPr>
            <w:tcW w:w="1460" w:type="dxa"/>
            <w:vAlign w:val="bottom"/>
            <w:tcBorders>
              <w:bottom w:val="single" w:sz="8" w:color="EBECEC"/>
            </w:tcBorders>
          </w:tcPr>
          <w:p>
            <w:pPr>
              <w:spacing w:after="0"/>
              <w:rPr>
                <w:sz w:val="23"/>
                <w:szCs w:val="23"/>
                <w:color w:val="auto"/>
              </w:rPr>
            </w:pPr>
          </w:p>
        </w:tc>
        <w:tc>
          <w:tcPr>
            <w:tcW w:w="300" w:type="dxa"/>
            <w:vAlign w:val="bottom"/>
            <w:tcBorders>
              <w:top w:val="single" w:sz="8" w:color="231F20"/>
              <w:bottom w:val="single" w:sz="8" w:color="231F20"/>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(129,468)</w:t>
            </w:r>
          </w:p>
        </w:tc>
        <w:tc>
          <w:tcPr>
            <w:tcW w:w="160" w:type="dxa"/>
            <w:vAlign w:val="bottom"/>
            <w:tcBorders>
              <w:bottom w:val="single" w:sz="8" w:color="EBECEC"/>
            </w:tcBorders>
          </w:tcPr>
          <w:p>
            <w:pPr>
              <w:spacing w:after="0"/>
              <w:rPr>
                <w:sz w:val="23"/>
                <w:szCs w:val="23"/>
                <w:color w:val="auto"/>
              </w:rPr>
            </w:pPr>
          </w:p>
        </w:tc>
        <w:tc>
          <w:tcPr>
            <w:tcW w:w="100" w:type="dxa"/>
            <w:vAlign w:val="bottom"/>
            <w:tcBorders>
              <w:bottom w:val="single" w:sz="8" w:color="EBECEC"/>
            </w:tcBorders>
          </w:tcPr>
          <w:p>
            <w:pPr>
              <w:spacing w:after="0"/>
              <w:rPr>
                <w:sz w:val="23"/>
                <w:szCs w:val="23"/>
                <w:color w:val="auto"/>
              </w:rPr>
            </w:pPr>
          </w:p>
        </w:tc>
        <w:tc>
          <w:tcPr>
            <w:tcW w:w="340" w:type="dxa"/>
            <w:vAlign w:val="bottom"/>
            <w:tcBorders>
              <w:top w:val="single" w:sz="8" w:color="231F20"/>
              <w:bottom w:val="single" w:sz="8" w:color="231F20"/>
            </w:tcBorders>
          </w:tcPr>
          <w:p>
            <w:pPr>
              <w:jc w:val="right"/>
              <w:ind w:right="1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(127,847)</w:t>
            </w:r>
          </w:p>
        </w:tc>
        <w:tc>
          <w:tcPr>
            <w:tcW w:w="80" w:type="dxa"/>
            <w:vAlign w:val="bottom"/>
            <w:tcBorders>
              <w:bottom w:val="single" w:sz="8" w:color="EBECEC"/>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20" w:type="dxa"/>
            <w:vAlign w:val="bottom"/>
            <w:shd w:val="clear" w:color="auto" w:fill="EBECEC"/>
          </w:tcPr>
          <w:p>
            <w:pPr>
              <w:spacing w:after="0" w:line="215" w:lineRule="exact"/>
              <w:rPr>
                <w:sz w:val="20"/>
                <w:szCs w:val="20"/>
                <w:color w:val="auto"/>
              </w:rPr>
            </w:pPr>
            <w:r>
              <w:rPr>
                <w:rFonts w:ascii="Times New Roman" w:cs="Times New Roman" w:eastAsia="Times New Roman" w:hAnsi="Times New Roman"/>
                <w:sz w:val="20"/>
                <w:szCs w:val="20"/>
                <w:color w:val="231F20"/>
              </w:rPr>
              <w:t>Other comprehensive income:</w:t>
            </w:r>
          </w:p>
        </w:tc>
        <w:tc>
          <w:tcPr>
            <w:tcW w:w="1460" w:type="dxa"/>
            <w:vAlign w:val="bottom"/>
            <w:shd w:val="clear" w:color="auto" w:fill="EBECEC"/>
          </w:tcPr>
          <w:p>
            <w:pPr>
              <w:spacing w:after="0"/>
              <w:rPr>
                <w:sz w:val="18"/>
                <w:szCs w:val="18"/>
                <w:color w:val="auto"/>
              </w:rPr>
            </w:pPr>
          </w:p>
        </w:tc>
        <w:tc>
          <w:tcPr>
            <w:tcW w:w="300" w:type="dxa"/>
            <w:vAlign w:val="bottom"/>
            <w:shd w:val="clear" w:color="auto" w:fill="EBECEC"/>
          </w:tcPr>
          <w:p>
            <w:pPr>
              <w:spacing w:after="0"/>
              <w:rPr>
                <w:sz w:val="18"/>
                <w:szCs w:val="18"/>
                <w:color w:val="auto"/>
              </w:rPr>
            </w:pPr>
          </w:p>
        </w:tc>
        <w:tc>
          <w:tcPr>
            <w:tcW w:w="1240" w:type="dxa"/>
            <w:vAlign w:val="bottom"/>
            <w:shd w:val="clear" w:color="auto" w:fill="EBECEC"/>
          </w:tcPr>
          <w:p>
            <w:pPr>
              <w:spacing w:after="0"/>
              <w:rPr>
                <w:sz w:val="18"/>
                <w:szCs w:val="18"/>
                <w:color w:val="auto"/>
              </w:rPr>
            </w:pPr>
          </w:p>
        </w:tc>
        <w:tc>
          <w:tcPr>
            <w:tcW w:w="160" w:type="dxa"/>
            <w:vAlign w:val="bottom"/>
            <w:shd w:val="clear" w:color="auto" w:fill="EBECEC"/>
          </w:tcPr>
          <w:p>
            <w:pPr>
              <w:spacing w:after="0"/>
              <w:rPr>
                <w:sz w:val="18"/>
                <w:szCs w:val="18"/>
                <w:color w:val="auto"/>
              </w:rPr>
            </w:pPr>
          </w:p>
        </w:tc>
        <w:tc>
          <w:tcPr>
            <w:tcW w:w="100" w:type="dxa"/>
            <w:vAlign w:val="bottom"/>
            <w:shd w:val="clear" w:color="auto" w:fill="EBECEC"/>
          </w:tcPr>
          <w:p>
            <w:pPr>
              <w:spacing w:after="0"/>
              <w:rPr>
                <w:sz w:val="18"/>
                <w:szCs w:val="18"/>
                <w:color w:val="auto"/>
              </w:rPr>
            </w:pPr>
          </w:p>
        </w:tc>
        <w:tc>
          <w:tcPr>
            <w:tcW w:w="340" w:type="dxa"/>
            <w:vAlign w:val="bottom"/>
            <w:shd w:val="clear" w:color="auto" w:fill="EBECEC"/>
          </w:tcPr>
          <w:p>
            <w:pPr>
              <w:spacing w:after="0"/>
              <w:rPr>
                <w:sz w:val="18"/>
                <w:szCs w:val="18"/>
                <w:color w:val="auto"/>
              </w:rPr>
            </w:pPr>
          </w:p>
        </w:tc>
        <w:tc>
          <w:tcPr>
            <w:tcW w:w="1200" w:type="dxa"/>
            <w:vAlign w:val="bottom"/>
            <w:shd w:val="clear" w:color="auto" w:fill="EBECEC"/>
          </w:tcPr>
          <w:p>
            <w:pPr>
              <w:spacing w:after="0"/>
              <w:rPr>
                <w:sz w:val="18"/>
                <w:szCs w:val="18"/>
                <w:color w:val="auto"/>
              </w:rPr>
            </w:pPr>
          </w:p>
        </w:tc>
        <w:tc>
          <w:tcPr>
            <w:tcW w:w="80" w:type="dxa"/>
            <w:vAlign w:val="bottom"/>
            <w:shd w:val="clear" w:color="auto" w:fill="EBECE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Unrealized gain on investments</w:t>
            </w:r>
          </w:p>
        </w:tc>
        <w:tc>
          <w:tcPr>
            <w:tcW w:w="1460" w:type="dxa"/>
            <w:vAlign w:val="bottom"/>
            <w:tcBorders>
              <w:bottom w:val="single" w:sz="8" w:color="EBECEC"/>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407</w:t>
            </w:r>
          </w:p>
        </w:tc>
        <w:tc>
          <w:tcPr>
            <w:tcW w:w="160" w:type="dxa"/>
            <w:vAlign w:val="bottom"/>
            <w:tcBorders>
              <w:bottom w:val="single" w:sz="8" w:color="EBECEC"/>
            </w:tcBorders>
          </w:tcPr>
          <w:p>
            <w:pPr>
              <w:spacing w:after="0"/>
              <w:rPr>
                <w:sz w:val="20"/>
                <w:szCs w:val="20"/>
                <w:color w:val="auto"/>
              </w:rPr>
            </w:pPr>
          </w:p>
        </w:tc>
        <w:tc>
          <w:tcPr>
            <w:tcW w:w="100" w:type="dxa"/>
            <w:vAlign w:val="bottom"/>
            <w:tcBorders>
              <w:bottom w:val="single" w:sz="8" w:color="EBECEC"/>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80" w:type="dxa"/>
            <w:vAlign w:val="bottom"/>
            <w:tcBorders>
              <w:bottom w:val="single" w:sz="8" w:color="EBECEC"/>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2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Comprehensive loss</w:t>
            </w:r>
          </w:p>
        </w:tc>
        <w:tc>
          <w:tcPr>
            <w:tcW w:w="1460" w:type="dxa"/>
            <w:vAlign w:val="bottom"/>
            <w:shd w:val="clear" w:color="auto" w:fill="EBECEC"/>
          </w:tcPr>
          <w:p>
            <w:pPr>
              <w:spacing w:after="0"/>
              <w:rPr>
                <w:sz w:val="19"/>
                <w:szCs w:val="19"/>
                <w:color w:val="auto"/>
              </w:rPr>
            </w:pPr>
          </w:p>
        </w:tc>
        <w:tc>
          <w:tcPr>
            <w:tcW w:w="300" w:type="dxa"/>
            <w:vAlign w:val="bottom"/>
            <w:tcBorders>
              <w:bottom w:val="single" w:sz="8" w:color="231F20"/>
            </w:tcBorders>
            <w:shd w:val="clear" w:color="auto" w:fill="EBECEC"/>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(129,061)</w:t>
            </w:r>
          </w:p>
        </w:tc>
        <w:tc>
          <w:tcPr>
            <w:tcW w:w="16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340" w:type="dxa"/>
            <w:vAlign w:val="bottom"/>
            <w:tcBorders>
              <w:bottom w:val="single" w:sz="8" w:color="231F20"/>
            </w:tcBorders>
            <w:shd w:val="clear" w:color="auto" w:fill="EBECEC"/>
          </w:tcPr>
          <w:p>
            <w:pPr>
              <w:jc w:val="right"/>
              <w:ind w:right="1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(127,726)</w:t>
            </w:r>
          </w:p>
        </w:tc>
        <w:tc>
          <w:tcPr>
            <w:tcW w:w="80" w:type="dxa"/>
            <w:vAlign w:val="bottom"/>
            <w:shd w:val="clear" w:color="auto" w:fill="EBECE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Net loss per share, basic and diluted</w:t>
            </w:r>
          </w:p>
        </w:tc>
        <w:tc>
          <w:tcPr>
            <w:tcW w:w="1460" w:type="dxa"/>
            <w:vAlign w:val="bottom"/>
            <w:vMerge w:val="restart"/>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9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300" w:type="dxa"/>
            <w:vAlign w:val="bottom"/>
          </w:tcPr>
          <w:p>
            <w:pPr>
              <w:jc w:val="right"/>
              <w:ind w:right="100"/>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1400" w:type="dxa"/>
            <w:vAlign w:val="bottom"/>
            <w:gridSpan w:val="2"/>
          </w:tcPr>
          <w:p>
            <w:pPr>
              <w:jc w:val="right"/>
              <w:ind w:right="100"/>
              <w:spacing w:after="0" w:line="215" w:lineRule="exact"/>
              <w:rPr>
                <w:sz w:val="20"/>
                <w:szCs w:val="20"/>
                <w:color w:val="auto"/>
              </w:rPr>
            </w:pPr>
            <w:r>
              <w:rPr>
                <w:rFonts w:ascii="Times New Roman" w:cs="Times New Roman" w:eastAsia="Times New Roman" w:hAnsi="Times New Roman"/>
                <w:sz w:val="20"/>
                <w:szCs w:val="20"/>
                <w:color w:val="231F20"/>
              </w:rPr>
              <w:t>(1.47)</w:t>
            </w:r>
          </w:p>
        </w:tc>
        <w:tc>
          <w:tcPr>
            <w:tcW w:w="100" w:type="dxa"/>
            <w:vAlign w:val="bottom"/>
            <w:vMerge w:val="continue"/>
          </w:tcPr>
          <w:p>
            <w:pPr>
              <w:spacing w:after="0"/>
              <w:rPr>
                <w:sz w:val="22"/>
                <w:szCs w:val="22"/>
                <w:color w:val="auto"/>
              </w:rPr>
            </w:pPr>
          </w:p>
        </w:tc>
        <w:tc>
          <w:tcPr>
            <w:tcW w:w="340" w:type="dxa"/>
            <w:vAlign w:val="bottom"/>
          </w:tcPr>
          <w:p>
            <w:pPr>
              <w:jc w:val="right"/>
              <w:ind w:right="140"/>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231F20"/>
              </w:rPr>
              <w:t>(1.83)</w:t>
            </w:r>
          </w:p>
        </w:tc>
        <w:tc>
          <w:tcPr>
            <w:tcW w:w="0" w:type="dxa"/>
            <w:vAlign w:val="bottom"/>
          </w:tcPr>
          <w:p>
            <w:pPr>
              <w:spacing w:after="0"/>
              <w:rPr>
                <w:sz w:val="1"/>
                <w:szCs w:val="1"/>
                <w:color w:val="auto"/>
              </w:rPr>
            </w:pPr>
          </w:p>
        </w:tc>
      </w:tr>
      <w:tr>
        <w:trPr>
          <w:trHeight w:val="235"/>
        </w:trPr>
        <w:tc>
          <w:tcPr>
            <w:tcW w:w="5920" w:type="dxa"/>
            <w:vAlign w:val="bottom"/>
            <w:tcBorders>
              <w:top w:val="single" w:sz="8" w:color="EBECEC"/>
              <w:bottom w:val="single" w:sz="8" w:color="EBECEC"/>
            </w:tcBorders>
            <w:shd w:val="clear" w:color="auto" w:fill="EBECEC"/>
          </w:tcPr>
          <w:p>
            <w:pPr>
              <w:spacing w:after="0" w:line="215" w:lineRule="exact"/>
              <w:rPr>
                <w:sz w:val="20"/>
                <w:szCs w:val="20"/>
                <w:color w:val="auto"/>
              </w:rPr>
            </w:pPr>
            <w:r>
              <w:rPr>
                <w:rFonts w:ascii="Times New Roman" w:cs="Times New Roman" w:eastAsia="Times New Roman" w:hAnsi="Times New Roman"/>
                <w:sz w:val="20"/>
                <w:szCs w:val="20"/>
                <w:color w:val="231F20"/>
              </w:rPr>
              <w:t>Weighted-average shares outstanding, basic and diluted</w:t>
            </w:r>
          </w:p>
        </w:tc>
        <w:tc>
          <w:tcPr>
            <w:tcW w:w="1460" w:type="dxa"/>
            <w:vAlign w:val="bottom"/>
            <w:tcBorders>
              <w:top w:val="single" w:sz="8" w:color="EBECEC"/>
              <w:bottom w:val="single" w:sz="8" w:color="EBECEC"/>
            </w:tcBorders>
            <w:shd w:val="clear" w:color="auto" w:fill="EBECEC"/>
          </w:tcPr>
          <w:p>
            <w:pPr>
              <w:spacing w:after="0"/>
              <w:rPr>
                <w:sz w:val="20"/>
                <w:szCs w:val="20"/>
                <w:color w:val="auto"/>
              </w:rPr>
            </w:pPr>
          </w:p>
        </w:tc>
        <w:tc>
          <w:tcPr>
            <w:tcW w:w="300" w:type="dxa"/>
            <w:vAlign w:val="bottom"/>
            <w:tcBorders>
              <w:top w:val="single" w:sz="8" w:color="231F20"/>
              <w:bottom w:val="single" w:sz="8" w:color="231F20"/>
            </w:tcBorders>
            <w:shd w:val="clear" w:color="auto" w:fill="EBECEC"/>
          </w:tcPr>
          <w:p>
            <w:pPr>
              <w:spacing w:after="0"/>
              <w:rPr>
                <w:sz w:val="20"/>
                <w:szCs w:val="20"/>
                <w:color w:val="auto"/>
              </w:rPr>
            </w:pPr>
          </w:p>
        </w:tc>
        <w:tc>
          <w:tcPr>
            <w:tcW w:w="1240" w:type="dxa"/>
            <w:vAlign w:val="bottom"/>
            <w:tcBorders>
              <w:top w:val="single" w:sz="8" w:color="231F20"/>
              <w:bottom w:val="single" w:sz="8" w:color="231F20"/>
            </w:tcBorders>
            <w:shd w:val="clear" w:color="auto" w:fill="EBECEC"/>
          </w:tcPr>
          <w:p>
            <w:pPr>
              <w:jc w:val="right"/>
              <w:spacing w:after="0" w:line="215" w:lineRule="exact"/>
              <w:rPr>
                <w:sz w:val="20"/>
                <w:szCs w:val="20"/>
                <w:color w:val="auto"/>
              </w:rPr>
            </w:pPr>
            <w:r>
              <w:rPr>
                <w:rFonts w:ascii="Times New Roman" w:cs="Times New Roman" w:eastAsia="Times New Roman" w:hAnsi="Times New Roman"/>
                <w:sz w:val="20"/>
                <w:szCs w:val="20"/>
                <w:color w:val="231F20"/>
              </w:rPr>
              <w:t>87,793,801</w:t>
            </w:r>
          </w:p>
        </w:tc>
        <w:tc>
          <w:tcPr>
            <w:tcW w:w="160" w:type="dxa"/>
            <w:vAlign w:val="bottom"/>
            <w:tcBorders>
              <w:top w:val="single" w:sz="8" w:color="EBECEC"/>
              <w:bottom w:val="single" w:sz="8" w:color="EBECEC"/>
            </w:tcBorders>
            <w:shd w:val="clear" w:color="auto" w:fill="EBECEC"/>
          </w:tcPr>
          <w:p>
            <w:pPr>
              <w:spacing w:after="0"/>
              <w:rPr>
                <w:sz w:val="20"/>
                <w:szCs w:val="20"/>
                <w:color w:val="auto"/>
              </w:rPr>
            </w:pPr>
          </w:p>
        </w:tc>
        <w:tc>
          <w:tcPr>
            <w:tcW w:w="100" w:type="dxa"/>
            <w:vAlign w:val="bottom"/>
            <w:tcBorders>
              <w:top w:val="single" w:sz="8" w:color="EBECEC"/>
              <w:bottom w:val="single" w:sz="8" w:color="EBECEC"/>
            </w:tcBorders>
            <w:shd w:val="clear" w:color="auto" w:fill="EBECEC"/>
          </w:tcPr>
          <w:p>
            <w:pPr>
              <w:spacing w:after="0"/>
              <w:rPr>
                <w:sz w:val="20"/>
                <w:szCs w:val="20"/>
                <w:color w:val="auto"/>
              </w:rPr>
            </w:pPr>
          </w:p>
        </w:tc>
        <w:tc>
          <w:tcPr>
            <w:tcW w:w="340" w:type="dxa"/>
            <w:vAlign w:val="bottom"/>
            <w:tcBorders>
              <w:top w:val="single" w:sz="8" w:color="231F20"/>
              <w:bottom w:val="single" w:sz="8" w:color="231F20"/>
            </w:tcBorders>
            <w:shd w:val="clear" w:color="auto" w:fill="EBECEC"/>
          </w:tcPr>
          <w:p>
            <w:pPr>
              <w:spacing w:after="0"/>
              <w:rPr>
                <w:sz w:val="20"/>
                <w:szCs w:val="20"/>
                <w:color w:val="auto"/>
              </w:rPr>
            </w:pPr>
          </w:p>
        </w:tc>
        <w:tc>
          <w:tcPr>
            <w:tcW w:w="1200" w:type="dxa"/>
            <w:vAlign w:val="bottom"/>
            <w:tcBorders>
              <w:top w:val="single" w:sz="8" w:color="231F20"/>
              <w:bottom w:val="single" w:sz="8" w:color="231F20"/>
            </w:tcBorders>
            <w:shd w:val="clear" w:color="auto" w:fill="EBECEC"/>
          </w:tcPr>
          <w:p>
            <w:pPr>
              <w:jc w:val="right"/>
              <w:spacing w:after="0" w:line="215" w:lineRule="exact"/>
              <w:rPr>
                <w:sz w:val="20"/>
                <w:szCs w:val="20"/>
                <w:color w:val="auto"/>
              </w:rPr>
            </w:pPr>
            <w:r>
              <w:rPr>
                <w:rFonts w:ascii="Times New Roman" w:cs="Times New Roman" w:eastAsia="Times New Roman" w:hAnsi="Times New Roman"/>
                <w:sz w:val="20"/>
                <w:szCs w:val="20"/>
                <w:color w:val="231F20"/>
              </w:rPr>
              <w:t>69,727,940</w:t>
            </w:r>
          </w:p>
        </w:tc>
        <w:tc>
          <w:tcPr>
            <w:tcW w:w="80" w:type="dxa"/>
            <w:vAlign w:val="bottom"/>
            <w:tcBorders>
              <w:top w:val="single" w:sz="8" w:color="EBECEC"/>
              <w:bottom w:val="single" w:sz="8" w:color="EBECEC"/>
            </w:tcBorders>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accompanying notes to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110</w:t>
      </w:r>
    </w:p>
    <w:p>
      <w:pPr>
        <w:sectPr>
          <w:pgSz w:w="11880" w:h="15480" w:orient="portrait"/>
          <w:cols w:equalWidth="0" w:num="1">
            <w:col w:w="10800"/>
          </w:cols>
          <w:pgMar w:left="540" w:top="746" w:right="540" w:bottom="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231F20"/>
        </w:rPr>
        <w:t>ORIC PHARMACEUTICALS,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STATEMENTS OF STOCKHOLDERS’ EQUITY</w:t>
      </w:r>
    </w:p>
    <w:p>
      <w:pPr>
        <w:jc w:val="center"/>
        <w:spacing w:after="0"/>
        <w:rPr>
          <w:sz w:val="20"/>
          <w:szCs w:val="20"/>
          <w:color w:val="auto"/>
        </w:rPr>
      </w:pPr>
      <w:r>
        <w:rPr>
          <w:rFonts w:ascii="Times New Roman" w:cs="Times New Roman" w:eastAsia="Times New Roman" w:hAnsi="Times New Roman"/>
          <w:sz w:val="20"/>
          <w:szCs w:val="20"/>
          <w:color w:val="231F20"/>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7"/>
              </w:rPr>
              <w:t>Other</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Additional</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Comprehensiv</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8"/>
              </w:rPr>
              <w:t>Total</w:t>
            </w:r>
          </w:p>
        </w:tc>
      </w:tr>
      <w:tr>
        <w:trPr>
          <w:trHeight w:val="203"/>
        </w:trPr>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231F20"/>
            </w:tcBorders>
            <w:gridSpan w:val="7"/>
          </w:tcPr>
          <w:p>
            <w:pPr>
              <w:ind w:left="400"/>
              <w:spacing w:after="0"/>
              <w:rPr>
                <w:sz w:val="20"/>
                <w:szCs w:val="20"/>
                <w:color w:val="auto"/>
              </w:rPr>
            </w:pPr>
            <w:r>
              <w:rPr>
                <w:rFonts w:ascii="Times New Roman" w:cs="Times New Roman" w:eastAsia="Times New Roman" w:hAnsi="Times New Roman"/>
                <w:sz w:val="16"/>
                <w:szCs w:val="16"/>
                <w:b w:val="1"/>
                <w:bCs w:val="1"/>
                <w:color w:val="231F20"/>
              </w:rPr>
              <w:t>Common Stock</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Paid-in</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120" w:type="dxa"/>
            <w:vAlign w:val="bottom"/>
          </w:tcPr>
          <w:p>
            <w:pPr>
              <w:spacing w:after="0"/>
              <w:rPr>
                <w:sz w:val="17"/>
                <w:szCs w:val="17"/>
                <w:color w:val="auto"/>
              </w:rPr>
            </w:pPr>
          </w:p>
        </w:tc>
        <w:tc>
          <w:tcPr>
            <w:tcW w:w="86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8"/>
              </w:rPr>
              <w:t>Stockholders'</w:t>
            </w:r>
          </w:p>
        </w:tc>
      </w:tr>
      <w:tr>
        <w:trPr>
          <w:trHeight w:val="193"/>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Shares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Capital</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6"/>
              </w:rPr>
              <w:t>Deficit</w:t>
            </w:r>
          </w:p>
        </w:tc>
        <w:tc>
          <w:tcPr>
            <w:tcW w:w="120" w:type="dxa"/>
            <w:vAlign w:val="bottom"/>
          </w:tcPr>
          <w:p>
            <w:pPr>
              <w:spacing w:after="0"/>
              <w:rPr>
                <w:sz w:val="16"/>
                <w:szCs w:val="16"/>
                <w:color w:val="auto"/>
              </w:rPr>
            </w:pPr>
          </w:p>
        </w:tc>
        <w:tc>
          <w:tcPr>
            <w:tcW w:w="86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Income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rPr>
              <w:t>Equity</w:t>
            </w:r>
          </w:p>
        </w:tc>
      </w:tr>
      <w:tr>
        <w:trPr>
          <w:trHeight w:val="193"/>
        </w:trPr>
        <w:tc>
          <w:tcPr>
            <w:tcW w:w="3600" w:type="dxa"/>
            <w:vAlign w:val="bottom"/>
            <w:tcBorders>
              <w:top w:val="single" w:sz="8" w:color="EBECEC"/>
            </w:tcBorders>
            <w:gridSpan w:val="4"/>
            <w:shd w:val="clear" w:color="auto" w:fill="EBECEC"/>
          </w:tcPr>
          <w:p>
            <w:pPr>
              <w:spacing w:after="0"/>
              <w:rPr>
                <w:sz w:val="20"/>
                <w:szCs w:val="20"/>
                <w:color w:val="auto"/>
              </w:rPr>
            </w:pPr>
            <w:r>
              <w:rPr>
                <w:rFonts w:ascii="Times New Roman" w:cs="Times New Roman" w:eastAsia="Times New Roman" w:hAnsi="Times New Roman"/>
                <w:sz w:val="16"/>
                <w:szCs w:val="16"/>
                <w:b w:val="1"/>
                <w:bCs w:val="1"/>
                <w:color w:val="231F20"/>
              </w:rPr>
              <w:t>Balance at December 31, 2023</w:t>
            </w:r>
          </w:p>
        </w:tc>
        <w:tc>
          <w:tcPr>
            <w:tcW w:w="80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54,865,553</w:t>
            </w:r>
          </w:p>
        </w:tc>
        <w:tc>
          <w:tcPr>
            <w:tcW w:w="200" w:type="dxa"/>
            <w:vAlign w:val="bottom"/>
            <w:tcBorders>
              <w:top w:val="single" w:sz="8" w:color="EBECEC"/>
            </w:tcBorders>
            <w:shd w:val="clear" w:color="auto" w:fill="EBECEC"/>
          </w:tcPr>
          <w:p>
            <w:pPr>
              <w:spacing w:after="0"/>
              <w:rPr>
                <w:sz w:val="16"/>
                <w:szCs w:val="16"/>
                <w:color w:val="auto"/>
              </w:rPr>
            </w:pPr>
          </w:p>
        </w:tc>
        <w:tc>
          <w:tcPr>
            <w:tcW w:w="20" w:type="dxa"/>
            <w:vAlign w:val="bottom"/>
            <w:tcBorders>
              <w:top w:val="single" w:sz="8" w:color="EBECEC"/>
            </w:tcBorders>
            <w:shd w:val="clear" w:color="auto" w:fill="EBECEC"/>
          </w:tcPr>
          <w:p>
            <w:pPr>
              <w:spacing w:after="0"/>
              <w:rPr>
                <w:sz w:val="16"/>
                <w:szCs w:val="16"/>
                <w:color w:val="auto"/>
              </w:rPr>
            </w:pPr>
          </w:p>
        </w:tc>
        <w:tc>
          <w:tcPr>
            <w:tcW w:w="20" w:type="dxa"/>
            <w:vAlign w:val="bottom"/>
            <w:tcBorders>
              <w:top w:val="single" w:sz="8" w:color="EBECEC"/>
            </w:tcBorders>
            <w:shd w:val="clear" w:color="auto" w:fill="EBECEC"/>
          </w:tcPr>
          <w:p>
            <w:pPr>
              <w:spacing w:after="0"/>
              <w:rPr>
                <w:sz w:val="16"/>
                <w:szCs w:val="16"/>
                <w:color w:val="auto"/>
              </w:rPr>
            </w:pPr>
          </w:p>
        </w:tc>
        <w:tc>
          <w:tcPr>
            <w:tcW w:w="80" w:type="dxa"/>
            <w:vAlign w:val="bottom"/>
            <w:tcBorders>
              <w:top w:val="single" w:sz="8" w:color="231F20"/>
            </w:tcBorders>
            <w:shd w:val="clear" w:color="auto" w:fill="EBECEC"/>
          </w:tcPr>
          <w:p>
            <w:pPr>
              <w:jc w:val="right"/>
              <w:ind w:right="15"/>
              <w:spacing w:after="0"/>
              <w:rPr>
                <w:sz w:val="20"/>
                <w:szCs w:val="20"/>
                <w:color w:val="auto"/>
              </w:rPr>
            </w:pPr>
            <w:r>
              <w:rPr>
                <w:rFonts w:ascii="Times New Roman" w:cs="Times New Roman" w:eastAsia="Times New Roman" w:hAnsi="Times New Roman"/>
                <w:sz w:val="5"/>
                <w:szCs w:val="5"/>
                <w:color w:val="231F20"/>
                <w:w w:val="78"/>
              </w:rPr>
              <w:t>$</w:t>
            </w:r>
          </w:p>
        </w:tc>
        <w:tc>
          <w:tcPr>
            <w:tcW w:w="78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6</w:t>
            </w:r>
          </w:p>
        </w:tc>
        <w:tc>
          <w:tcPr>
            <w:tcW w:w="20" w:type="dxa"/>
            <w:vAlign w:val="bottom"/>
            <w:tcBorders>
              <w:top w:val="single" w:sz="8" w:color="231F20"/>
            </w:tcBorders>
            <w:shd w:val="clear" w:color="auto" w:fill="EBECEC"/>
          </w:tcPr>
          <w:p>
            <w:pPr>
              <w:spacing w:after="0"/>
              <w:rPr>
                <w:sz w:val="16"/>
                <w:szCs w:val="16"/>
                <w:color w:val="auto"/>
              </w:rPr>
            </w:pPr>
          </w:p>
        </w:tc>
        <w:tc>
          <w:tcPr>
            <w:tcW w:w="160" w:type="dxa"/>
            <w:vAlign w:val="bottom"/>
            <w:tcBorders>
              <w:top w:val="single" w:sz="8" w:color="EBECEC"/>
            </w:tcBorders>
            <w:shd w:val="clear" w:color="auto" w:fill="EBECEC"/>
          </w:tcPr>
          <w:p>
            <w:pPr>
              <w:spacing w:after="0"/>
              <w:rPr>
                <w:sz w:val="16"/>
                <w:szCs w:val="16"/>
                <w:color w:val="auto"/>
              </w:rPr>
            </w:pPr>
          </w:p>
        </w:tc>
        <w:tc>
          <w:tcPr>
            <w:tcW w:w="20" w:type="dxa"/>
            <w:vAlign w:val="bottom"/>
            <w:tcBorders>
              <w:top w:val="single" w:sz="8" w:color="EBECEC"/>
            </w:tcBorders>
            <w:shd w:val="clear" w:color="auto" w:fill="EBECEC"/>
          </w:tcPr>
          <w:p>
            <w:pPr>
              <w:spacing w:after="0"/>
              <w:rPr>
                <w:sz w:val="16"/>
                <w:szCs w:val="16"/>
                <w:color w:val="auto"/>
              </w:rPr>
            </w:pPr>
          </w:p>
        </w:tc>
        <w:tc>
          <w:tcPr>
            <w:tcW w:w="20" w:type="dxa"/>
            <w:vAlign w:val="bottom"/>
            <w:tcBorders>
              <w:top w:val="single" w:sz="8" w:color="EBECEC"/>
            </w:tcBorders>
            <w:shd w:val="clear" w:color="auto" w:fill="EBECEC"/>
          </w:tcPr>
          <w:p>
            <w:pPr>
              <w:spacing w:after="0"/>
              <w:rPr>
                <w:sz w:val="16"/>
                <w:szCs w:val="16"/>
                <w:color w:val="auto"/>
              </w:rPr>
            </w:pPr>
          </w:p>
        </w:tc>
        <w:tc>
          <w:tcPr>
            <w:tcW w:w="100" w:type="dxa"/>
            <w:vAlign w:val="bottom"/>
            <w:tcBorders>
              <w:top w:val="single" w:sz="8" w:color="231F20"/>
            </w:tcBorders>
            <w:shd w:val="clear" w:color="auto" w:fill="EBECEC"/>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96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658,751</w:t>
            </w:r>
          </w:p>
        </w:tc>
        <w:tc>
          <w:tcPr>
            <w:tcW w:w="200" w:type="dxa"/>
            <w:vAlign w:val="bottom"/>
            <w:tcBorders>
              <w:top w:val="single" w:sz="8" w:color="EBECEC"/>
            </w:tcBorders>
            <w:shd w:val="clear" w:color="auto" w:fill="EBECEC"/>
          </w:tcPr>
          <w:p>
            <w:pPr>
              <w:spacing w:after="0"/>
              <w:rPr>
                <w:sz w:val="16"/>
                <w:szCs w:val="16"/>
                <w:color w:val="auto"/>
              </w:rPr>
            </w:pPr>
          </w:p>
        </w:tc>
        <w:tc>
          <w:tcPr>
            <w:tcW w:w="20" w:type="dxa"/>
            <w:vAlign w:val="bottom"/>
            <w:tcBorders>
              <w:top w:val="single" w:sz="8" w:color="EBECEC"/>
            </w:tcBorders>
            <w:shd w:val="clear" w:color="auto" w:fill="EBECEC"/>
          </w:tcPr>
          <w:p>
            <w:pPr>
              <w:spacing w:after="0"/>
              <w:rPr>
                <w:sz w:val="16"/>
                <w:szCs w:val="16"/>
                <w:color w:val="auto"/>
              </w:rPr>
            </w:pPr>
          </w:p>
        </w:tc>
        <w:tc>
          <w:tcPr>
            <w:tcW w:w="20" w:type="dxa"/>
            <w:vAlign w:val="bottom"/>
            <w:tcBorders>
              <w:top w:val="single" w:sz="8" w:color="EBECEC"/>
            </w:tcBorders>
            <w:shd w:val="clear" w:color="auto" w:fill="EBECEC"/>
          </w:tcPr>
          <w:p>
            <w:pPr>
              <w:spacing w:after="0"/>
              <w:rPr>
                <w:sz w:val="16"/>
                <w:szCs w:val="16"/>
                <w:color w:val="auto"/>
              </w:rPr>
            </w:pPr>
          </w:p>
        </w:tc>
        <w:tc>
          <w:tcPr>
            <w:tcW w:w="4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80" w:type="dxa"/>
            <w:vAlign w:val="bottom"/>
            <w:tcBorders>
              <w:top w:val="single" w:sz="8" w:color="231F20"/>
            </w:tcBorders>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16"/>
                <w:szCs w:val="16"/>
                <w:color w:val="231F20"/>
              </w:rPr>
              <w:t>(434,927)</w:t>
            </w:r>
          </w:p>
        </w:tc>
        <w:tc>
          <w:tcPr>
            <w:tcW w:w="220" w:type="dxa"/>
            <w:vAlign w:val="bottom"/>
            <w:tcBorders>
              <w:top w:val="single" w:sz="8" w:color="EBECEC"/>
            </w:tcBorders>
            <w:shd w:val="clear" w:color="auto" w:fill="EBECEC"/>
          </w:tcPr>
          <w:p>
            <w:pPr>
              <w:spacing w:after="0"/>
              <w:rPr>
                <w:sz w:val="16"/>
                <w:szCs w:val="16"/>
                <w:color w:val="auto"/>
              </w:rPr>
            </w:pPr>
          </w:p>
        </w:tc>
        <w:tc>
          <w:tcPr>
            <w:tcW w:w="20" w:type="dxa"/>
            <w:vAlign w:val="bottom"/>
            <w:tcBorders>
              <w:top w:val="single" w:sz="8" w:color="EBECEC"/>
            </w:tcBorders>
            <w:shd w:val="clear" w:color="auto" w:fill="EBECEC"/>
          </w:tcPr>
          <w:p>
            <w:pPr>
              <w:spacing w:after="0"/>
              <w:rPr>
                <w:sz w:val="16"/>
                <w:szCs w:val="16"/>
                <w:color w:val="auto"/>
              </w:rPr>
            </w:pPr>
          </w:p>
        </w:tc>
        <w:tc>
          <w:tcPr>
            <w:tcW w:w="20" w:type="dxa"/>
            <w:vAlign w:val="bottom"/>
            <w:tcBorders>
              <w:top w:val="single" w:sz="8" w:color="EBECEC"/>
            </w:tcBorders>
            <w:shd w:val="clear" w:color="auto" w:fill="EBECEC"/>
          </w:tcPr>
          <w:p>
            <w:pPr>
              <w:spacing w:after="0"/>
              <w:rPr>
                <w:sz w:val="16"/>
                <w:szCs w:val="16"/>
                <w:color w:val="auto"/>
              </w:rPr>
            </w:pPr>
          </w:p>
        </w:tc>
        <w:tc>
          <w:tcPr>
            <w:tcW w:w="120" w:type="dxa"/>
            <w:vAlign w:val="bottom"/>
            <w:tcBorders>
              <w:top w:val="single" w:sz="8" w:color="231F20"/>
            </w:tcBorders>
            <w:shd w:val="clear" w:color="auto" w:fill="EBECEC"/>
          </w:tcPr>
          <w:p>
            <w:pPr>
              <w:jc w:val="right"/>
              <w:ind w:right="33"/>
              <w:spacing w:after="0"/>
              <w:rPr>
                <w:sz w:val="20"/>
                <w:szCs w:val="20"/>
                <w:color w:val="auto"/>
              </w:rPr>
            </w:pPr>
            <w:r>
              <w:rPr>
                <w:rFonts w:ascii="Times New Roman" w:cs="Times New Roman" w:eastAsia="Times New Roman" w:hAnsi="Times New Roman"/>
                <w:sz w:val="5"/>
                <w:szCs w:val="5"/>
                <w:color w:val="231F20"/>
                <w:w w:val="78"/>
              </w:rPr>
              <w:t>$</w:t>
            </w:r>
          </w:p>
        </w:tc>
        <w:tc>
          <w:tcPr>
            <w:tcW w:w="86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258</w:t>
            </w:r>
          </w:p>
        </w:tc>
        <w:tc>
          <w:tcPr>
            <w:tcW w:w="180" w:type="dxa"/>
            <w:vAlign w:val="bottom"/>
            <w:tcBorders>
              <w:top w:val="single" w:sz="8" w:color="EBECEC"/>
            </w:tcBorders>
            <w:shd w:val="clear" w:color="auto" w:fill="EBECEC"/>
          </w:tcPr>
          <w:p>
            <w:pPr>
              <w:spacing w:after="0"/>
              <w:rPr>
                <w:sz w:val="16"/>
                <w:szCs w:val="16"/>
                <w:color w:val="auto"/>
              </w:rPr>
            </w:pPr>
          </w:p>
        </w:tc>
        <w:tc>
          <w:tcPr>
            <w:tcW w:w="20" w:type="dxa"/>
            <w:vAlign w:val="bottom"/>
            <w:tcBorders>
              <w:top w:val="single" w:sz="8" w:color="EBECEC"/>
            </w:tcBorders>
            <w:shd w:val="clear" w:color="auto" w:fill="EBECEC"/>
          </w:tcPr>
          <w:p>
            <w:pPr>
              <w:spacing w:after="0"/>
              <w:rPr>
                <w:sz w:val="16"/>
                <w:szCs w:val="16"/>
                <w:color w:val="auto"/>
              </w:rPr>
            </w:pPr>
          </w:p>
        </w:tc>
        <w:tc>
          <w:tcPr>
            <w:tcW w:w="20" w:type="dxa"/>
            <w:vAlign w:val="bottom"/>
            <w:tcBorders>
              <w:top w:val="single" w:sz="8" w:color="EBECEC"/>
            </w:tcBorders>
            <w:shd w:val="clear" w:color="auto" w:fill="EBECEC"/>
          </w:tcPr>
          <w:p>
            <w:pPr>
              <w:spacing w:after="0"/>
              <w:rPr>
                <w:sz w:val="16"/>
                <w:szCs w:val="16"/>
                <w:color w:val="auto"/>
              </w:rPr>
            </w:pPr>
          </w:p>
        </w:tc>
        <w:tc>
          <w:tcPr>
            <w:tcW w:w="6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8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224,088</w:t>
            </w:r>
          </w:p>
        </w:tc>
        <w:tc>
          <w:tcPr>
            <w:tcW w:w="60" w:type="dxa"/>
            <w:vAlign w:val="bottom"/>
            <w:tcBorders>
              <w:top w:val="single" w:sz="8" w:color="EBECEC"/>
            </w:tcBorders>
            <w:shd w:val="clear" w:color="auto" w:fill="EBECEC"/>
          </w:tcPr>
          <w:p>
            <w:pPr>
              <w:spacing w:after="0"/>
              <w:rPr>
                <w:sz w:val="16"/>
                <w:szCs w:val="16"/>
                <w:color w:val="auto"/>
              </w:rPr>
            </w:pPr>
          </w:p>
        </w:tc>
      </w:tr>
      <w:tr>
        <w:trPr>
          <w:trHeight w:val="198"/>
        </w:trPr>
        <w:tc>
          <w:tcPr>
            <w:tcW w:w="36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231F20"/>
              </w:rPr>
              <w:t>Issuance of common stock, net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12,500,000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124,831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124,832</w:t>
            </w:r>
          </w:p>
        </w:tc>
        <w:tc>
          <w:tcPr>
            <w:tcW w:w="60" w:type="dxa"/>
            <w:vAlign w:val="bottom"/>
          </w:tcPr>
          <w:p>
            <w:pPr>
              <w:spacing w:after="0"/>
              <w:rPr>
                <w:sz w:val="17"/>
                <w:szCs w:val="17"/>
                <w:color w:val="auto"/>
              </w:rPr>
            </w:pPr>
          </w:p>
        </w:tc>
      </w:tr>
      <w:tr>
        <w:trPr>
          <w:trHeight w:val="198"/>
        </w:trPr>
        <w:tc>
          <w:tcPr>
            <w:tcW w:w="3600" w:type="dxa"/>
            <w:vAlign w:val="bottom"/>
            <w:gridSpan w:val="4"/>
            <w:shd w:val="clear" w:color="auto" w:fill="EBECEC"/>
          </w:tcPr>
          <w:p>
            <w:pPr>
              <w:ind w:left="200"/>
              <w:spacing w:after="0"/>
              <w:rPr>
                <w:sz w:val="20"/>
                <w:szCs w:val="20"/>
                <w:color w:val="auto"/>
              </w:rPr>
            </w:pPr>
            <w:r>
              <w:rPr>
                <w:rFonts w:ascii="Times New Roman" w:cs="Times New Roman" w:eastAsia="Times New Roman" w:hAnsi="Times New Roman"/>
                <w:sz w:val="16"/>
                <w:szCs w:val="16"/>
                <w:color w:val="231F20"/>
              </w:rPr>
              <w:t>Exercise of pre-funded warrants</w:t>
            </w:r>
          </w:p>
        </w:tc>
        <w:tc>
          <w:tcPr>
            <w:tcW w:w="8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2,857,104</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800" w:type="dxa"/>
            <w:vAlign w:val="bottom"/>
            <w:gridSpan w:val="2"/>
            <w:shd w:val="clear" w:color="auto" w:fill="EBECEC"/>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9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40" w:type="dxa"/>
            <w:vAlign w:val="bottom"/>
            <w:shd w:val="clear" w:color="auto" w:fill="EBECEC"/>
          </w:tcPr>
          <w:p>
            <w:pPr>
              <w:spacing w:after="0"/>
              <w:rPr>
                <w:sz w:val="17"/>
                <w:szCs w:val="17"/>
                <w:color w:val="auto"/>
              </w:rPr>
            </w:pPr>
          </w:p>
        </w:tc>
        <w:tc>
          <w:tcPr>
            <w:tcW w:w="1340" w:type="dxa"/>
            <w:vAlign w:val="bottom"/>
            <w:gridSpan w:val="5"/>
            <w:shd w:val="clear" w:color="auto" w:fill="EBECEC"/>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EBECEC"/>
          </w:tcPr>
          <w:p>
            <w:pPr>
              <w:spacing w:after="0"/>
              <w:rPr>
                <w:sz w:val="17"/>
                <w:szCs w:val="17"/>
                <w:color w:val="auto"/>
              </w:rPr>
            </w:pPr>
          </w:p>
        </w:tc>
        <w:tc>
          <w:tcPr>
            <w:tcW w:w="8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60" w:type="dxa"/>
            <w:vAlign w:val="bottom"/>
            <w:shd w:val="clear" w:color="auto" w:fill="EBECEC"/>
          </w:tcPr>
          <w:p>
            <w:pPr>
              <w:spacing w:after="0"/>
              <w:rPr>
                <w:sz w:val="17"/>
                <w:szCs w:val="17"/>
                <w:color w:val="auto"/>
              </w:rPr>
            </w:pPr>
          </w:p>
        </w:tc>
        <w:tc>
          <w:tcPr>
            <w:tcW w:w="114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r>
      <w:tr>
        <w:trPr>
          <w:trHeight w:val="198"/>
        </w:trPr>
        <w:tc>
          <w:tcPr>
            <w:tcW w:w="36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231F20"/>
              </w:rPr>
              <w:t>Exercise of common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152,211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631</w:t>
            </w:r>
          </w:p>
        </w:tc>
        <w:tc>
          <w:tcPr>
            <w:tcW w:w="60" w:type="dxa"/>
            <w:vAlign w:val="bottom"/>
          </w:tcPr>
          <w:p>
            <w:pPr>
              <w:spacing w:after="0"/>
              <w:rPr>
                <w:sz w:val="17"/>
                <w:szCs w:val="17"/>
                <w:color w:val="auto"/>
              </w:rPr>
            </w:pPr>
          </w:p>
        </w:tc>
      </w:tr>
      <w:tr>
        <w:trPr>
          <w:trHeight w:val="198"/>
        </w:trPr>
        <w:tc>
          <w:tcPr>
            <w:tcW w:w="3600" w:type="dxa"/>
            <w:vAlign w:val="bottom"/>
            <w:gridSpan w:val="4"/>
            <w:shd w:val="clear" w:color="auto" w:fill="EBECEC"/>
          </w:tcPr>
          <w:p>
            <w:pPr>
              <w:ind w:left="200"/>
              <w:spacing w:after="0"/>
              <w:rPr>
                <w:sz w:val="20"/>
                <w:szCs w:val="20"/>
                <w:color w:val="auto"/>
              </w:rPr>
            </w:pPr>
            <w:r>
              <w:rPr>
                <w:rFonts w:ascii="Times New Roman" w:cs="Times New Roman" w:eastAsia="Times New Roman" w:hAnsi="Times New Roman"/>
                <w:sz w:val="16"/>
                <w:szCs w:val="16"/>
                <w:color w:val="231F20"/>
              </w:rPr>
              <w:t>Issuance of common stock upon vesting of RSUs</w:t>
            </w:r>
          </w:p>
        </w:tc>
        <w:tc>
          <w:tcPr>
            <w:tcW w:w="8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306,850</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800" w:type="dxa"/>
            <w:vAlign w:val="bottom"/>
            <w:gridSpan w:val="2"/>
            <w:shd w:val="clear" w:color="auto" w:fill="EBECEC"/>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9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40" w:type="dxa"/>
            <w:vAlign w:val="bottom"/>
            <w:shd w:val="clear" w:color="auto" w:fill="EBECEC"/>
          </w:tcPr>
          <w:p>
            <w:pPr>
              <w:spacing w:after="0"/>
              <w:rPr>
                <w:sz w:val="17"/>
                <w:szCs w:val="17"/>
                <w:color w:val="auto"/>
              </w:rPr>
            </w:pPr>
          </w:p>
        </w:tc>
        <w:tc>
          <w:tcPr>
            <w:tcW w:w="1340" w:type="dxa"/>
            <w:vAlign w:val="bottom"/>
            <w:gridSpan w:val="5"/>
            <w:shd w:val="clear" w:color="auto" w:fill="EBECEC"/>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EBECEC"/>
          </w:tcPr>
          <w:p>
            <w:pPr>
              <w:spacing w:after="0"/>
              <w:rPr>
                <w:sz w:val="17"/>
                <w:szCs w:val="17"/>
                <w:color w:val="auto"/>
              </w:rPr>
            </w:pPr>
          </w:p>
        </w:tc>
        <w:tc>
          <w:tcPr>
            <w:tcW w:w="8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60" w:type="dxa"/>
            <w:vAlign w:val="bottom"/>
            <w:shd w:val="clear" w:color="auto" w:fill="EBECEC"/>
          </w:tcPr>
          <w:p>
            <w:pPr>
              <w:spacing w:after="0"/>
              <w:rPr>
                <w:sz w:val="17"/>
                <w:szCs w:val="17"/>
                <w:color w:val="auto"/>
              </w:rPr>
            </w:pPr>
          </w:p>
        </w:tc>
        <w:tc>
          <w:tcPr>
            <w:tcW w:w="114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r>
      <w:tr>
        <w:trPr>
          <w:trHeight w:val="198"/>
        </w:trPr>
        <w:tc>
          <w:tcPr>
            <w:tcW w:w="36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231F20"/>
              </w:rPr>
              <w:t>Issuance of common stock from ESPP</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340,137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1,084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1,084</w:t>
            </w:r>
          </w:p>
        </w:tc>
        <w:tc>
          <w:tcPr>
            <w:tcW w:w="60" w:type="dxa"/>
            <w:vAlign w:val="bottom"/>
          </w:tcPr>
          <w:p>
            <w:pPr>
              <w:spacing w:after="0"/>
              <w:rPr>
                <w:sz w:val="17"/>
                <w:szCs w:val="17"/>
                <w:color w:val="auto"/>
              </w:rPr>
            </w:pPr>
          </w:p>
        </w:tc>
      </w:tr>
      <w:tr>
        <w:trPr>
          <w:trHeight w:val="198"/>
        </w:trPr>
        <w:tc>
          <w:tcPr>
            <w:tcW w:w="3600" w:type="dxa"/>
            <w:vAlign w:val="bottom"/>
            <w:gridSpan w:val="4"/>
            <w:shd w:val="clear" w:color="auto" w:fill="EBECEC"/>
          </w:tcPr>
          <w:p>
            <w:pPr>
              <w:ind w:left="200"/>
              <w:spacing w:after="0"/>
              <w:rPr>
                <w:sz w:val="20"/>
                <w:szCs w:val="20"/>
                <w:color w:val="auto"/>
              </w:rPr>
            </w:pPr>
            <w:r>
              <w:rPr>
                <w:rFonts w:ascii="Times New Roman" w:cs="Times New Roman" w:eastAsia="Times New Roman" w:hAnsi="Times New Roman"/>
                <w:sz w:val="16"/>
                <w:szCs w:val="16"/>
                <w:color w:val="231F20"/>
              </w:rPr>
              <w:t>Stock-based compensation expense</w:t>
            </w:r>
          </w:p>
        </w:tc>
        <w:tc>
          <w:tcPr>
            <w:tcW w:w="8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800" w:type="dxa"/>
            <w:vAlign w:val="bottom"/>
            <w:gridSpan w:val="2"/>
            <w:shd w:val="clear" w:color="auto" w:fill="EBECEC"/>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9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20,213</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40" w:type="dxa"/>
            <w:vAlign w:val="bottom"/>
            <w:shd w:val="clear" w:color="auto" w:fill="EBECEC"/>
          </w:tcPr>
          <w:p>
            <w:pPr>
              <w:spacing w:after="0"/>
              <w:rPr>
                <w:sz w:val="17"/>
                <w:szCs w:val="17"/>
                <w:color w:val="auto"/>
              </w:rPr>
            </w:pPr>
          </w:p>
        </w:tc>
        <w:tc>
          <w:tcPr>
            <w:tcW w:w="1340" w:type="dxa"/>
            <w:vAlign w:val="bottom"/>
            <w:gridSpan w:val="5"/>
            <w:shd w:val="clear" w:color="auto" w:fill="EBECEC"/>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EBECEC"/>
          </w:tcPr>
          <w:p>
            <w:pPr>
              <w:spacing w:after="0"/>
              <w:rPr>
                <w:sz w:val="17"/>
                <w:szCs w:val="17"/>
                <w:color w:val="auto"/>
              </w:rPr>
            </w:pPr>
          </w:p>
        </w:tc>
        <w:tc>
          <w:tcPr>
            <w:tcW w:w="8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60" w:type="dxa"/>
            <w:vAlign w:val="bottom"/>
            <w:shd w:val="clear" w:color="auto" w:fill="EBECEC"/>
          </w:tcPr>
          <w:p>
            <w:pPr>
              <w:spacing w:after="0"/>
              <w:rPr>
                <w:sz w:val="17"/>
                <w:szCs w:val="17"/>
                <w:color w:val="auto"/>
              </w:rPr>
            </w:pPr>
          </w:p>
        </w:tc>
        <w:tc>
          <w:tcPr>
            <w:tcW w:w="10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20,213</w:t>
            </w:r>
          </w:p>
        </w:tc>
        <w:tc>
          <w:tcPr>
            <w:tcW w:w="60" w:type="dxa"/>
            <w:vAlign w:val="bottom"/>
            <w:shd w:val="clear" w:color="auto" w:fill="EBECEC"/>
          </w:tcPr>
          <w:p>
            <w:pPr>
              <w:spacing w:after="0"/>
              <w:rPr>
                <w:sz w:val="17"/>
                <w:szCs w:val="17"/>
                <w:color w:val="auto"/>
              </w:rPr>
            </w:pPr>
          </w:p>
        </w:tc>
      </w:tr>
      <w:tr>
        <w:trPr>
          <w:trHeight w:val="198"/>
        </w:trPr>
        <w:tc>
          <w:tcPr>
            <w:tcW w:w="36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231F20"/>
              </w:rPr>
              <w:t>Unrealized gain on investments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121</w:t>
            </w:r>
          </w:p>
        </w:tc>
        <w:tc>
          <w:tcPr>
            <w:tcW w:w="60" w:type="dxa"/>
            <w:vAlign w:val="bottom"/>
          </w:tcPr>
          <w:p>
            <w:pPr>
              <w:spacing w:after="0"/>
              <w:rPr>
                <w:sz w:val="17"/>
                <w:szCs w:val="17"/>
                <w:color w:val="auto"/>
              </w:rPr>
            </w:pPr>
          </w:p>
        </w:tc>
      </w:tr>
      <w:tr>
        <w:trPr>
          <w:trHeight w:val="198"/>
        </w:trPr>
        <w:tc>
          <w:tcPr>
            <w:tcW w:w="3600" w:type="dxa"/>
            <w:vAlign w:val="bottom"/>
            <w:gridSpan w:val="4"/>
            <w:shd w:val="clear" w:color="auto" w:fill="EBECEC"/>
          </w:tcPr>
          <w:p>
            <w:pPr>
              <w:ind w:left="200"/>
              <w:spacing w:after="0"/>
              <w:rPr>
                <w:sz w:val="20"/>
                <w:szCs w:val="20"/>
                <w:color w:val="auto"/>
              </w:rPr>
            </w:pPr>
            <w:r>
              <w:rPr>
                <w:rFonts w:ascii="Times New Roman" w:cs="Times New Roman" w:eastAsia="Times New Roman" w:hAnsi="Times New Roman"/>
                <w:sz w:val="16"/>
                <w:szCs w:val="16"/>
                <w:color w:val="231F20"/>
              </w:rPr>
              <w:t>Net loss</w:t>
            </w:r>
          </w:p>
        </w:tc>
        <w:tc>
          <w:tcPr>
            <w:tcW w:w="8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800" w:type="dxa"/>
            <w:vAlign w:val="bottom"/>
            <w:gridSpan w:val="2"/>
            <w:shd w:val="clear" w:color="auto" w:fill="EBECEC"/>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9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40" w:type="dxa"/>
            <w:vAlign w:val="bottom"/>
            <w:shd w:val="clear" w:color="auto" w:fill="EBECEC"/>
          </w:tcPr>
          <w:p>
            <w:pPr>
              <w:spacing w:after="0"/>
              <w:rPr>
                <w:sz w:val="17"/>
                <w:szCs w:val="17"/>
                <w:color w:val="auto"/>
              </w:rPr>
            </w:pPr>
          </w:p>
        </w:tc>
        <w:tc>
          <w:tcPr>
            <w:tcW w:w="1300" w:type="dxa"/>
            <w:vAlign w:val="bottom"/>
            <w:gridSpan w:val="3"/>
            <w:shd w:val="clear" w:color="auto" w:fill="EBECEC"/>
          </w:tcPr>
          <w:p>
            <w:pPr>
              <w:jc w:val="right"/>
              <w:ind w:right="180"/>
              <w:spacing w:after="0"/>
              <w:rPr>
                <w:sz w:val="20"/>
                <w:szCs w:val="20"/>
                <w:color w:val="auto"/>
              </w:rPr>
            </w:pPr>
            <w:r>
              <w:rPr>
                <w:rFonts w:ascii="Times New Roman" w:cs="Times New Roman" w:eastAsia="Times New Roman" w:hAnsi="Times New Roman"/>
                <w:sz w:val="16"/>
                <w:szCs w:val="16"/>
                <w:color w:val="231F20"/>
              </w:rPr>
              <w:t>(127,847)</w:t>
            </w: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120" w:type="dxa"/>
            <w:vAlign w:val="bottom"/>
            <w:shd w:val="clear" w:color="auto" w:fill="EBECEC"/>
          </w:tcPr>
          <w:p>
            <w:pPr>
              <w:spacing w:after="0"/>
              <w:rPr>
                <w:sz w:val="17"/>
                <w:szCs w:val="17"/>
                <w:color w:val="auto"/>
              </w:rPr>
            </w:pPr>
          </w:p>
        </w:tc>
        <w:tc>
          <w:tcPr>
            <w:tcW w:w="8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60" w:type="dxa"/>
            <w:vAlign w:val="bottom"/>
            <w:shd w:val="clear" w:color="auto" w:fill="EBECEC"/>
          </w:tcPr>
          <w:p>
            <w:pPr>
              <w:spacing w:after="0"/>
              <w:rPr>
                <w:sz w:val="17"/>
                <w:szCs w:val="17"/>
                <w:color w:val="auto"/>
              </w:rPr>
            </w:pPr>
          </w:p>
        </w:tc>
        <w:tc>
          <w:tcPr>
            <w:tcW w:w="114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16"/>
                <w:szCs w:val="16"/>
                <w:color w:val="231F20"/>
              </w:rPr>
              <w:t>(127,847)</w:t>
            </w:r>
          </w:p>
        </w:tc>
      </w:tr>
      <w:tr>
        <w:trPr>
          <w:trHeight w:val="193"/>
        </w:trPr>
        <w:tc>
          <w:tcPr>
            <w:tcW w:w="3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Balance at December 31, 2024</w:t>
            </w:r>
          </w:p>
        </w:tc>
        <w:tc>
          <w:tcPr>
            <w:tcW w:w="20" w:type="dxa"/>
            <w:vAlign w:val="bottom"/>
            <w:tcBorders>
              <w:top w:val="single" w:sz="8" w:color="231F20"/>
            </w:tcBorders>
          </w:tcPr>
          <w:p>
            <w:pPr>
              <w:spacing w:after="0"/>
              <w:rPr>
                <w:sz w:val="16"/>
                <w:szCs w:val="16"/>
                <w:color w:val="auto"/>
              </w:rPr>
            </w:pPr>
          </w:p>
        </w:tc>
        <w:tc>
          <w:tcPr>
            <w:tcW w:w="8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71,021,855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231F20"/>
            </w:tcBorders>
            <w:gridSpan w:val="2"/>
          </w:tcPr>
          <w:p>
            <w:pPr>
              <w:jc w:val="right"/>
              <w:ind w:right="15"/>
              <w:spacing w:after="0"/>
              <w:rPr>
                <w:sz w:val="20"/>
                <w:szCs w:val="20"/>
                <w:color w:val="auto"/>
              </w:rPr>
            </w:pPr>
            <w:r>
              <w:rPr>
                <w:rFonts w:ascii="Times New Roman" w:cs="Times New Roman" w:eastAsia="Times New Roman" w:hAnsi="Times New Roman"/>
                <w:sz w:val="11"/>
                <w:szCs w:val="11"/>
                <w:color w:val="231F20"/>
                <w:w w:val="71"/>
              </w:rPr>
              <w:t>$</w:t>
            </w:r>
          </w:p>
        </w:tc>
        <w:tc>
          <w:tcPr>
            <w:tcW w:w="7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231F20"/>
            </w:tcBorders>
            <w:gridSpan w:val="2"/>
          </w:tcPr>
          <w:p>
            <w:pPr>
              <w:jc w:val="right"/>
              <w:ind w:right="35"/>
              <w:spacing w:after="0"/>
              <w:rPr>
                <w:sz w:val="20"/>
                <w:szCs w:val="20"/>
                <w:color w:val="auto"/>
              </w:rPr>
            </w:pPr>
            <w:r>
              <w:rPr>
                <w:rFonts w:ascii="Times New Roman" w:cs="Times New Roman" w:eastAsia="Times New Roman" w:hAnsi="Times New Roman"/>
                <w:sz w:val="11"/>
                <w:szCs w:val="11"/>
                <w:color w:val="231F20"/>
                <w:w w:val="71"/>
              </w:rPr>
              <w:t>$</w:t>
            </w: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805,510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0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(562,774)</w:t>
            </w:r>
          </w:p>
        </w:tc>
        <w:tc>
          <w:tcPr>
            <w:tcW w:w="2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120" w:type="dxa"/>
            <w:vAlign w:val="bottom"/>
            <w:tcBorders>
              <w:top w:val="single" w:sz="8" w:color="231F20"/>
            </w:tcBorders>
          </w:tcPr>
          <w:p>
            <w:pPr>
              <w:jc w:val="right"/>
              <w:ind w:right="33"/>
              <w:spacing w:after="0"/>
              <w:rPr>
                <w:sz w:val="20"/>
                <w:szCs w:val="20"/>
                <w:color w:val="auto"/>
              </w:rPr>
            </w:pPr>
            <w:r>
              <w:rPr>
                <w:rFonts w:ascii="Times New Roman" w:cs="Times New Roman" w:eastAsia="Times New Roman" w:hAnsi="Times New Roman"/>
                <w:sz w:val="5"/>
                <w:szCs w:val="5"/>
                <w:color w:val="231F20"/>
                <w:w w:val="78"/>
              </w:rPr>
              <w:t>$</w:t>
            </w: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379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0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243,122</w:t>
            </w:r>
          </w:p>
        </w:tc>
        <w:tc>
          <w:tcPr>
            <w:tcW w:w="60" w:type="dxa"/>
            <w:vAlign w:val="bottom"/>
          </w:tcPr>
          <w:p>
            <w:pPr>
              <w:spacing w:after="0"/>
              <w:rPr>
                <w:sz w:val="16"/>
                <w:szCs w:val="16"/>
                <w:color w:val="auto"/>
              </w:rPr>
            </w:pPr>
          </w:p>
        </w:tc>
      </w:tr>
      <w:tr>
        <w:trPr>
          <w:trHeight w:val="183"/>
        </w:trPr>
        <w:tc>
          <w:tcPr>
            <w:tcW w:w="3600" w:type="dxa"/>
            <w:vAlign w:val="bottom"/>
            <w:gridSpan w:val="4"/>
            <w:shd w:val="clear" w:color="auto" w:fill="EBECEC"/>
          </w:tcPr>
          <w:p>
            <w:pPr>
              <w:ind w:left="200"/>
              <w:spacing w:after="0" w:line="183" w:lineRule="exact"/>
              <w:rPr>
                <w:sz w:val="20"/>
                <w:szCs w:val="20"/>
                <w:color w:val="auto"/>
              </w:rPr>
            </w:pPr>
            <w:r>
              <w:rPr>
                <w:rFonts w:ascii="Times New Roman" w:cs="Times New Roman" w:eastAsia="Times New Roman" w:hAnsi="Times New Roman"/>
                <w:sz w:val="16"/>
                <w:szCs w:val="16"/>
                <w:color w:val="231F20"/>
              </w:rPr>
              <w:t>Issuance of common stock and pre-funded</w:t>
            </w:r>
          </w:p>
        </w:tc>
        <w:tc>
          <w:tcPr>
            <w:tcW w:w="800" w:type="dxa"/>
            <w:vAlign w:val="bottom"/>
            <w:shd w:val="clear" w:color="auto" w:fill="EBECEC"/>
          </w:tcPr>
          <w:p>
            <w:pPr>
              <w:spacing w:after="0"/>
              <w:rPr>
                <w:sz w:val="15"/>
                <w:szCs w:val="15"/>
                <w:color w:val="auto"/>
              </w:rPr>
            </w:pPr>
          </w:p>
        </w:tc>
        <w:tc>
          <w:tcPr>
            <w:tcW w:w="20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80" w:type="dxa"/>
            <w:vAlign w:val="bottom"/>
            <w:shd w:val="clear" w:color="auto" w:fill="EBECEC"/>
          </w:tcPr>
          <w:p>
            <w:pPr>
              <w:spacing w:after="0"/>
              <w:rPr>
                <w:sz w:val="15"/>
                <w:szCs w:val="15"/>
                <w:color w:val="auto"/>
              </w:rPr>
            </w:pPr>
          </w:p>
        </w:tc>
        <w:tc>
          <w:tcPr>
            <w:tcW w:w="78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6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00" w:type="dxa"/>
            <w:vAlign w:val="bottom"/>
            <w:shd w:val="clear" w:color="auto" w:fill="EBECEC"/>
          </w:tcPr>
          <w:p>
            <w:pPr>
              <w:spacing w:after="0"/>
              <w:rPr>
                <w:sz w:val="15"/>
                <w:szCs w:val="15"/>
                <w:color w:val="auto"/>
              </w:rPr>
            </w:pPr>
          </w:p>
        </w:tc>
        <w:tc>
          <w:tcPr>
            <w:tcW w:w="960" w:type="dxa"/>
            <w:vAlign w:val="bottom"/>
            <w:shd w:val="clear" w:color="auto" w:fill="EBECEC"/>
          </w:tcPr>
          <w:p>
            <w:pPr>
              <w:spacing w:after="0"/>
              <w:rPr>
                <w:sz w:val="15"/>
                <w:szCs w:val="15"/>
                <w:color w:val="auto"/>
              </w:rPr>
            </w:pPr>
          </w:p>
        </w:tc>
        <w:tc>
          <w:tcPr>
            <w:tcW w:w="20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40" w:type="dxa"/>
            <w:vAlign w:val="bottom"/>
            <w:shd w:val="clear" w:color="auto" w:fill="EBECEC"/>
          </w:tcPr>
          <w:p>
            <w:pPr>
              <w:spacing w:after="0"/>
              <w:rPr>
                <w:sz w:val="15"/>
                <w:szCs w:val="15"/>
                <w:color w:val="auto"/>
              </w:rPr>
            </w:pPr>
          </w:p>
        </w:tc>
        <w:tc>
          <w:tcPr>
            <w:tcW w:w="106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120" w:type="dxa"/>
            <w:vAlign w:val="bottom"/>
            <w:shd w:val="clear" w:color="auto" w:fill="EBECEC"/>
          </w:tcPr>
          <w:p>
            <w:pPr>
              <w:spacing w:after="0"/>
              <w:rPr>
                <w:sz w:val="15"/>
                <w:szCs w:val="15"/>
                <w:color w:val="auto"/>
              </w:rPr>
            </w:pPr>
          </w:p>
        </w:tc>
        <w:tc>
          <w:tcPr>
            <w:tcW w:w="860" w:type="dxa"/>
            <w:vAlign w:val="bottom"/>
            <w:shd w:val="clear" w:color="auto" w:fill="EBECEC"/>
          </w:tcPr>
          <w:p>
            <w:pPr>
              <w:spacing w:after="0"/>
              <w:rPr>
                <w:sz w:val="15"/>
                <w:szCs w:val="15"/>
                <w:color w:val="auto"/>
              </w:rPr>
            </w:pPr>
          </w:p>
        </w:tc>
        <w:tc>
          <w:tcPr>
            <w:tcW w:w="18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20" w:type="dxa"/>
            <w:vAlign w:val="bottom"/>
            <w:shd w:val="clear" w:color="auto" w:fill="EBECEC"/>
          </w:tcPr>
          <w:p>
            <w:pPr>
              <w:spacing w:after="0"/>
              <w:rPr>
                <w:sz w:val="15"/>
                <w:szCs w:val="15"/>
                <w:color w:val="auto"/>
              </w:rPr>
            </w:pPr>
          </w:p>
        </w:tc>
        <w:tc>
          <w:tcPr>
            <w:tcW w:w="60" w:type="dxa"/>
            <w:vAlign w:val="bottom"/>
            <w:shd w:val="clear" w:color="auto" w:fill="EBECEC"/>
          </w:tcPr>
          <w:p>
            <w:pPr>
              <w:spacing w:after="0"/>
              <w:rPr>
                <w:sz w:val="15"/>
                <w:szCs w:val="15"/>
                <w:color w:val="auto"/>
              </w:rPr>
            </w:pPr>
          </w:p>
        </w:tc>
        <w:tc>
          <w:tcPr>
            <w:tcW w:w="1080" w:type="dxa"/>
            <w:vAlign w:val="bottom"/>
            <w:shd w:val="clear" w:color="auto" w:fill="EBECEC"/>
          </w:tcPr>
          <w:p>
            <w:pPr>
              <w:spacing w:after="0"/>
              <w:rPr>
                <w:sz w:val="15"/>
                <w:szCs w:val="15"/>
                <w:color w:val="auto"/>
              </w:rPr>
            </w:pPr>
          </w:p>
        </w:tc>
        <w:tc>
          <w:tcPr>
            <w:tcW w:w="60" w:type="dxa"/>
            <w:vAlign w:val="bottom"/>
            <w:shd w:val="clear" w:color="auto" w:fill="EBECEC"/>
          </w:tcPr>
          <w:p>
            <w:pPr>
              <w:spacing w:after="0"/>
              <w:rPr>
                <w:sz w:val="15"/>
                <w:szCs w:val="15"/>
                <w:color w:val="auto"/>
              </w:rPr>
            </w:pPr>
          </w:p>
        </w:tc>
      </w:tr>
      <w:tr>
        <w:trPr>
          <w:trHeight w:val="199"/>
        </w:trPr>
        <w:tc>
          <w:tcPr>
            <w:tcW w:w="3600" w:type="dxa"/>
            <w:vAlign w:val="bottom"/>
            <w:gridSpan w:val="4"/>
            <w:shd w:val="clear" w:color="auto" w:fill="EBECEC"/>
          </w:tcPr>
          <w:p>
            <w:pPr>
              <w:ind w:left="200"/>
              <w:spacing w:after="0"/>
              <w:rPr>
                <w:sz w:val="20"/>
                <w:szCs w:val="20"/>
                <w:color w:val="auto"/>
              </w:rPr>
            </w:pPr>
            <w:r>
              <w:rPr>
                <w:rFonts w:ascii="Times New Roman" w:cs="Times New Roman" w:eastAsia="Times New Roman" w:hAnsi="Times New Roman"/>
                <w:sz w:val="16"/>
                <w:szCs w:val="16"/>
                <w:color w:val="231F20"/>
              </w:rPr>
              <w:t>warrants, net</w:t>
            </w:r>
          </w:p>
        </w:tc>
        <w:tc>
          <w:tcPr>
            <w:tcW w:w="8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25,910,345</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7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3</w:t>
            </w:r>
          </w:p>
        </w:tc>
        <w:tc>
          <w:tcPr>
            <w:tcW w:w="20" w:type="dxa"/>
            <w:vAlign w:val="bottom"/>
            <w:shd w:val="clear" w:color="auto" w:fill="EBECEC"/>
          </w:tcPr>
          <w:p>
            <w:pPr>
              <w:spacing w:after="0"/>
              <w:rPr>
                <w:sz w:val="17"/>
                <w:szCs w:val="17"/>
                <w:color w:val="auto"/>
              </w:rPr>
            </w:pPr>
          </w:p>
        </w:tc>
        <w:tc>
          <w:tcPr>
            <w:tcW w:w="16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9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241,969</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40" w:type="dxa"/>
            <w:vAlign w:val="bottom"/>
            <w:shd w:val="clear" w:color="auto" w:fill="EBECEC"/>
          </w:tcPr>
          <w:p>
            <w:pPr>
              <w:spacing w:after="0"/>
              <w:rPr>
                <w:sz w:val="17"/>
                <w:szCs w:val="17"/>
                <w:color w:val="auto"/>
              </w:rPr>
            </w:pPr>
          </w:p>
        </w:tc>
        <w:tc>
          <w:tcPr>
            <w:tcW w:w="1340" w:type="dxa"/>
            <w:vAlign w:val="bottom"/>
            <w:gridSpan w:val="5"/>
            <w:shd w:val="clear" w:color="auto" w:fill="EBECEC"/>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EBECEC"/>
          </w:tcPr>
          <w:p>
            <w:pPr>
              <w:spacing w:after="0"/>
              <w:rPr>
                <w:sz w:val="17"/>
                <w:szCs w:val="17"/>
                <w:color w:val="auto"/>
              </w:rPr>
            </w:pPr>
          </w:p>
        </w:tc>
        <w:tc>
          <w:tcPr>
            <w:tcW w:w="8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60" w:type="dxa"/>
            <w:vAlign w:val="bottom"/>
            <w:shd w:val="clear" w:color="auto" w:fill="EBECEC"/>
          </w:tcPr>
          <w:p>
            <w:pPr>
              <w:spacing w:after="0"/>
              <w:rPr>
                <w:sz w:val="17"/>
                <w:szCs w:val="17"/>
                <w:color w:val="auto"/>
              </w:rPr>
            </w:pPr>
          </w:p>
        </w:tc>
        <w:tc>
          <w:tcPr>
            <w:tcW w:w="10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241,972</w:t>
            </w:r>
          </w:p>
        </w:tc>
        <w:tc>
          <w:tcPr>
            <w:tcW w:w="60" w:type="dxa"/>
            <w:vAlign w:val="bottom"/>
            <w:shd w:val="clear" w:color="auto" w:fill="EBECEC"/>
          </w:tcPr>
          <w:p>
            <w:pPr>
              <w:spacing w:after="0"/>
              <w:rPr>
                <w:sz w:val="17"/>
                <w:szCs w:val="17"/>
                <w:color w:val="auto"/>
              </w:rPr>
            </w:pPr>
          </w:p>
        </w:tc>
      </w:tr>
      <w:tr>
        <w:trPr>
          <w:trHeight w:val="198"/>
        </w:trPr>
        <w:tc>
          <w:tcPr>
            <w:tcW w:w="36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231F20"/>
              </w:rPr>
              <w:t>Exercise of pre-funded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636,887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r>
      <w:tr>
        <w:trPr>
          <w:trHeight w:val="198"/>
        </w:trPr>
        <w:tc>
          <w:tcPr>
            <w:tcW w:w="3600" w:type="dxa"/>
            <w:vAlign w:val="bottom"/>
            <w:gridSpan w:val="4"/>
            <w:shd w:val="clear" w:color="auto" w:fill="EBECEC"/>
          </w:tcPr>
          <w:p>
            <w:pPr>
              <w:ind w:left="200"/>
              <w:spacing w:after="0"/>
              <w:rPr>
                <w:sz w:val="20"/>
                <w:szCs w:val="20"/>
                <w:color w:val="auto"/>
              </w:rPr>
            </w:pPr>
            <w:r>
              <w:rPr>
                <w:rFonts w:ascii="Times New Roman" w:cs="Times New Roman" w:eastAsia="Times New Roman" w:hAnsi="Times New Roman"/>
                <w:sz w:val="16"/>
                <w:szCs w:val="16"/>
                <w:color w:val="231F20"/>
              </w:rPr>
              <w:t>Exercise of common stock options</w:t>
            </w:r>
          </w:p>
        </w:tc>
        <w:tc>
          <w:tcPr>
            <w:tcW w:w="8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390,055</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7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20" w:type="dxa"/>
            <w:vAlign w:val="bottom"/>
            <w:shd w:val="clear" w:color="auto" w:fill="EBECEC"/>
          </w:tcPr>
          <w:p>
            <w:pPr>
              <w:spacing w:after="0"/>
              <w:rPr>
                <w:sz w:val="17"/>
                <w:szCs w:val="17"/>
                <w:color w:val="auto"/>
              </w:rPr>
            </w:pPr>
          </w:p>
        </w:tc>
        <w:tc>
          <w:tcPr>
            <w:tcW w:w="16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9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1,978</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40" w:type="dxa"/>
            <w:vAlign w:val="bottom"/>
            <w:shd w:val="clear" w:color="auto" w:fill="EBECEC"/>
          </w:tcPr>
          <w:p>
            <w:pPr>
              <w:spacing w:after="0"/>
              <w:rPr>
                <w:sz w:val="17"/>
                <w:szCs w:val="17"/>
                <w:color w:val="auto"/>
              </w:rPr>
            </w:pPr>
          </w:p>
        </w:tc>
        <w:tc>
          <w:tcPr>
            <w:tcW w:w="1340" w:type="dxa"/>
            <w:vAlign w:val="bottom"/>
            <w:gridSpan w:val="5"/>
            <w:shd w:val="clear" w:color="auto" w:fill="EBECEC"/>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EBECEC"/>
          </w:tcPr>
          <w:p>
            <w:pPr>
              <w:spacing w:after="0"/>
              <w:rPr>
                <w:sz w:val="17"/>
                <w:szCs w:val="17"/>
                <w:color w:val="auto"/>
              </w:rPr>
            </w:pPr>
          </w:p>
        </w:tc>
        <w:tc>
          <w:tcPr>
            <w:tcW w:w="8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60" w:type="dxa"/>
            <w:vAlign w:val="bottom"/>
            <w:shd w:val="clear" w:color="auto" w:fill="EBECEC"/>
          </w:tcPr>
          <w:p>
            <w:pPr>
              <w:spacing w:after="0"/>
              <w:rPr>
                <w:sz w:val="17"/>
                <w:szCs w:val="17"/>
                <w:color w:val="auto"/>
              </w:rPr>
            </w:pPr>
          </w:p>
        </w:tc>
        <w:tc>
          <w:tcPr>
            <w:tcW w:w="10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1,979</w:t>
            </w:r>
          </w:p>
        </w:tc>
        <w:tc>
          <w:tcPr>
            <w:tcW w:w="60" w:type="dxa"/>
            <w:vAlign w:val="bottom"/>
            <w:shd w:val="clear" w:color="auto" w:fill="EBECEC"/>
          </w:tcPr>
          <w:p>
            <w:pPr>
              <w:spacing w:after="0"/>
              <w:rPr>
                <w:sz w:val="17"/>
                <w:szCs w:val="17"/>
                <w:color w:val="auto"/>
              </w:rPr>
            </w:pPr>
          </w:p>
        </w:tc>
      </w:tr>
      <w:tr>
        <w:trPr>
          <w:trHeight w:val="198"/>
        </w:trPr>
        <w:tc>
          <w:tcPr>
            <w:tcW w:w="36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231F20"/>
              </w:rPr>
              <w:t>Issuance of common stock upon vesting of RSUs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395,252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r>
      <w:tr>
        <w:trPr>
          <w:trHeight w:val="198"/>
        </w:trPr>
        <w:tc>
          <w:tcPr>
            <w:tcW w:w="3600" w:type="dxa"/>
            <w:vAlign w:val="bottom"/>
            <w:gridSpan w:val="4"/>
            <w:shd w:val="clear" w:color="auto" w:fill="EBECEC"/>
          </w:tcPr>
          <w:p>
            <w:pPr>
              <w:ind w:left="200"/>
              <w:spacing w:after="0"/>
              <w:rPr>
                <w:sz w:val="20"/>
                <w:szCs w:val="20"/>
                <w:color w:val="auto"/>
              </w:rPr>
            </w:pPr>
            <w:r>
              <w:rPr>
                <w:rFonts w:ascii="Times New Roman" w:cs="Times New Roman" w:eastAsia="Times New Roman" w:hAnsi="Times New Roman"/>
                <w:sz w:val="16"/>
                <w:szCs w:val="16"/>
                <w:color w:val="231F20"/>
              </w:rPr>
              <w:t>Issuance of common stock from ESPP</w:t>
            </w:r>
          </w:p>
        </w:tc>
        <w:tc>
          <w:tcPr>
            <w:tcW w:w="8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174,555</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800" w:type="dxa"/>
            <w:vAlign w:val="bottom"/>
            <w:gridSpan w:val="2"/>
            <w:shd w:val="clear" w:color="auto" w:fill="EBECEC"/>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9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1,313</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40" w:type="dxa"/>
            <w:vAlign w:val="bottom"/>
            <w:shd w:val="clear" w:color="auto" w:fill="EBECEC"/>
          </w:tcPr>
          <w:p>
            <w:pPr>
              <w:spacing w:after="0"/>
              <w:rPr>
                <w:sz w:val="17"/>
                <w:szCs w:val="17"/>
                <w:color w:val="auto"/>
              </w:rPr>
            </w:pPr>
          </w:p>
        </w:tc>
        <w:tc>
          <w:tcPr>
            <w:tcW w:w="1340" w:type="dxa"/>
            <w:vAlign w:val="bottom"/>
            <w:gridSpan w:val="5"/>
            <w:shd w:val="clear" w:color="auto" w:fill="EBECEC"/>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EBECEC"/>
          </w:tcPr>
          <w:p>
            <w:pPr>
              <w:spacing w:after="0"/>
              <w:rPr>
                <w:sz w:val="17"/>
                <w:szCs w:val="17"/>
                <w:color w:val="auto"/>
              </w:rPr>
            </w:pPr>
          </w:p>
        </w:tc>
        <w:tc>
          <w:tcPr>
            <w:tcW w:w="8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60" w:type="dxa"/>
            <w:vAlign w:val="bottom"/>
            <w:shd w:val="clear" w:color="auto" w:fill="EBECEC"/>
          </w:tcPr>
          <w:p>
            <w:pPr>
              <w:spacing w:after="0"/>
              <w:rPr>
                <w:sz w:val="17"/>
                <w:szCs w:val="17"/>
                <w:color w:val="auto"/>
              </w:rPr>
            </w:pPr>
          </w:p>
        </w:tc>
        <w:tc>
          <w:tcPr>
            <w:tcW w:w="10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1,313</w:t>
            </w:r>
          </w:p>
        </w:tc>
        <w:tc>
          <w:tcPr>
            <w:tcW w:w="60" w:type="dxa"/>
            <w:vAlign w:val="bottom"/>
            <w:shd w:val="clear" w:color="auto" w:fill="EBECEC"/>
          </w:tcPr>
          <w:p>
            <w:pPr>
              <w:spacing w:after="0"/>
              <w:rPr>
                <w:sz w:val="17"/>
                <w:szCs w:val="17"/>
                <w:color w:val="auto"/>
              </w:rPr>
            </w:pPr>
          </w:p>
        </w:tc>
      </w:tr>
      <w:tr>
        <w:trPr>
          <w:trHeight w:val="198"/>
        </w:trPr>
        <w:tc>
          <w:tcPr>
            <w:tcW w:w="36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231F20"/>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25,037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25,037</w:t>
            </w:r>
          </w:p>
        </w:tc>
        <w:tc>
          <w:tcPr>
            <w:tcW w:w="60" w:type="dxa"/>
            <w:vAlign w:val="bottom"/>
          </w:tcPr>
          <w:p>
            <w:pPr>
              <w:spacing w:after="0"/>
              <w:rPr>
                <w:sz w:val="17"/>
                <w:szCs w:val="17"/>
                <w:color w:val="auto"/>
              </w:rPr>
            </w:pPr>
          </w:p>
        </w:tc>
      </w:tr>
      <w:tr>
        <w:trPr>
          <w:trHeight w:val="198"/>
        </w:trPr>
        <w:tc>
          <w:tcPr>
            <w:tcW w:w="3600" w:type="dxa"/>
            <w:vAlign w:val="bottom"/>
            <w:gridSpan w:val="4"/>
            <w:shd w:val="clear" w:color="auto" w:fill="EBECEC"/>
          </w:tcPr>
          <w:p>
            <w:pPr>
              <w:ind w:left="200"/>
              <w:spacing w:after="0"/>
              <w:rPr>
                <w:sz w:val="20"/>
                <w:szCs w:val="20"/>
                <w:color w:val="auto"/>
              </w:rPr>
            </w:pPr>
            <w:r>
              <w:rPr>
                <w:rFonts w:ascii="Times New Roman" w:cs="Times New Roman" w:eastAsia="Times New Roman" w:hAnsi="Times New Roman"/>
                <w:sz w:val="16"/>
                <w:szCs w:val="16"/>
                <w:color w:val="231F20"/>
              </w:rPr>
              <w:t>Unrealized gain on investments</w:t>
            </w:r>
          </w:p>
        </w:tc>
        <w:tc>
          <w:tcPr>
            <w:tcW w:w="8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c>
          <w:tcPr>
            <w:tcW w:w="800" w:type="dxa"/>
            <w:vAlign w:val="bottom"/>
            <w:gridSpan w:val="2"/>
            <w:shd w:val="clear" w:color="auto" w:fill="EBECEC"/>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100" w:type="dxa"/>
            <w:vAlign w:val="bottom"/>
            <w:shd w:val="clear" w:color="auto" w:fill="EBECEC"/>
          </w:tcPr>
          <w:p>
            <w:pPr>
              <w:spacing w:after="0"/>
              <w:rPr>
                <w:sz w:val="17"/>
                <w:szCs w:val="17"/>
                <w:color w:val="auto"/>
              </w:rPr>
            </w:pPr>
          </w:p>
        </w:tc>
        <w:tc>
          <w:tcPr>
            <w:tcW w:w="9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40" w:type="dxa"/>
            <w:vAlign w:val="bottom"/>
            <w:shd w:val="clear" w:color="auto" w:fill="EBECEC"/>
          </w:tcPr>
          <w:p>
            <w:pPr>
              <w:spacing w:after="0"/>
              <w:rPr>
                <w:sz w:val="17"/>
                <w:szCs w:val="17"/>
                <w:color w:val="auto"/>
              </w:rPr>
            </w:pPr>
          </w:p>
        </w:tc>
        <w:tc>
          <w:tcPr>
            <w:tcW w:w="1340" w:type="dxa"/>
            <w:vAlign w:val="bottom"/>
            <w:gridSpan w:val="5"/>
            <w:shd w:val="clear" w:color="auto" w:fill="EBECEC"/>
          </w:tcPr>
          <w:p>
            <w:pPr>
              <w:jc w:val="right"/>
              <w:ind w:right="3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EBECEC"/>
          </w:tcPr>
          <w:p>
            <w:pPr>
              <w:spacing w:after="0"/>
              <w:rPr>
                <w:sz w:val="17"/>
                <w:szCs w:val="17"/>
                <w:color w:val="auto"/>
              </w:rPr>
            </w:pPr>
          </w:p>
        </w:tc>
        <w:tc>
          <w:tcPr>
            <w:tcW w:w="8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407</w:t>
            </w:r>
          </w:p>
        </w:tc>
        <w:tc>
          <w:tcPr>
            <w:tcW w:w="18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20" w:type="dxa"/>
            <w:vAlign w:val="bottom"/>
            <w:shd w:val="clear" w:color="auto" w:fill="EBECEC"/>
          </w:tcPr>
          <w:p>
            <w:pPr>
              <w:spacing w:after="0"/>
              <w:rPr>
                <w:sz w:val="17"/>
                <w:szCs w:val="17"/>
                <w:color w:val="auto"/>
              </w:rPr>
            </w:pPr>
          </w:p>
        </w:tc>
        <w:tc>
          <w:tcPr>
            <w:tcW w:w="60" w:type="dxa"/>
            <w:vAlign w:val="bottom"/>
            <w:shd w:val="clear" w:color="auto" w:fill="EBECEC"/>
          </w:tcPr>
          <w:p>
            <w:pPr>
              <w:spacing w:after="0"/>
              <w:rPr>
                <w:sz w:val="17"/>
                <w:szCs w:val="17"/>
                <w:color w:val="auto"/>
              </w:rPr>
            </w:pPr>
          </w:p>
        </w:tc>
        <w:tc>
          <w:tcPr>
            <w:tcW w:w="10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407</w:t>
            </w:r>
          </w:p>
        </w:tc>
        <w:tc>
          <w:tcPr>
            <w:tcW w:w="60" w:type="dxa"/>
            <w:vAlign w:val="bottom"/>
            <w:shd w:val="clear" w:color="auto" w:fill="EBECEC"/>
          </w:tcPr>
          <w:p>
            <w:pPr>
              <w:spacing w:after="0"/>
              <w:rPr>
                <w:sz w:val="17"/>
                <w:szCs w:val="17"/>
                <w:color w:val="auto"/>
              </w:rPr>
            </w:pPr>
          </w:p>
        </w:tc>
      </w:tr>
      <w:tr>
        <w:trPr>
          <w:trHeight w:val="198"/>
        </w:trPr>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231F20"/>
              </w:rPr>
              <w:t>Net loss</w:t>
            </w:r>
          </w:p>
        </w:tc>
        <w:tc>
          <w:tcPr>
            <w:tcW w:w="40" w:type="dxa"/>
            <w:vAlign w:val="bottom"/>
            <w:gridSpan w:val="2"/>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231F20"/>
              </w:rPr>
              <w:t>(129,468)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(129,468)</w:t>
            </w:r>
          </w:p>
        </w:tc>
      </w:tr>
      <w:tr>
        <w:trPr>
          <w:trHeight w:val="213"/>
        </w:trPr>
        <w:tc>
          <w:tcPr>
            <w:tcW w:w="3560" w:type="dxa"/>
            <w:vAlign w:val="bottom"/>
            <w:tcBorders>
              <w:top w:val="single" w:sz="8" w:color="EBECEC"/>
            </w:tcBorders>
            <w:gridSpan w:val="2"/>
            <w:shd w:val="clear" w:color="auto" w:fill="EBECEC"/>
          </w:tcPr>
          <w:p>
            <w:pPr>
              <w:spacing w:after="0"/>
              <w:rPr>
                <w:sz w:val="20"/>
                <w:szCs w:val="20"/>
                <w:color w:val="auto"/>
              </w:rPr>
            </w:pPr>
            <w:r>
              <w:rPr>
                <w:rFonts w:ascii="Times New Roman" w:cs="Times New Roman" w:eastAsia="Times New Roman" w:hAnsi="Times New Roman"/>
                <w:sz w:val="16"/>
                <w:szCs w:val="16"/>
                <w:b w:val="1"/>
                <w:bCs w:val="1"/>
                <w:color w:val="231F20"/>
              </w:rPr>
              <w:t>Balance at December 31, 2025</w:t>
            </w:r>
          </w:p>
        </w:tc>
        <w:tc>
          <w:tcPr>
            <w:tcW w:w="40" w:type="dxa"/>
            <w:vAlign w:val="bottom"/>
            <w:tcBorders>
              <w:top w:val="single" w:sz="8" w:color="231F20"/>
            </w:tcBorders>
            <w:gridSpan w:val="2"/>
            <w:shd w:val="clear" w:color="auto" w:fill="EBECEC"/>
          </w:tcPr>
          <w:p>
            <w:pPr>
              <w:spacing w:after="0"/>
              <w:rPr>
                <w:sz w:val="18"/>
                <w:szCs w:val="18"/>
                <w:color w:val="auto"/>
              </w:rPr>
            </w:pPr>
          </w:p>
        </w:tc>
        <w:tc>
          <w:tcPr>
            <w:tcW w:w="80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98,528,949</w:t>
            </w:r>
          </w:p>
        </w:tc>
        <w:tc>
          <w:tcPr>
            <w:tcW w:w="200" w:type="dxa"/>
            <w:vAlign w:val="bottom"/>
            <w:tcBorders>
              <w:top w:val="single" w:sz="8" w:color="EBECEC"/>
            </w:tcBorders>
            <w:shd w:val="clear" w:color="auto" w:fill="EBECEC"/>
          </w:tcPr>
          <w:p>
            <w:pPr>
              <w:spacing w:after="0"/>
              <w:rPr>
                <w:sz w:val="18"/>
                <w:szCs w:val="18"/>
                <w:color w:val="auto"/>
              </w:rPr>
            </w:pPr>
          </w:p>
        </w:tc>
        <w:tc>
          <w:tcPr>
            <w:tcW w:w="20" w:type="dxa"/>
            <w:vAlign w:val="bottom"/>
            <w:tcBorders>
              <w:top w:val="single" w:sz="8" w:color="231F20"/>
            </w:tcBorders>
            <w:shd w:val="clear" w:color="auto" w:fill="EBECEC"/>
          </w:tcPr>
          <w:p>
            <w:pPr>
              <w:spacing w:after="0"/>
              <w:rPr>
                <w:sz w:val="18"/>
                <w:szCs w:val="18"/>
                <w:color w:val="auto"/>
              </w:rPr>
            </w:pPr>
          </w:p>
        </w:tc>
        <w:tc>
          <w:tcPr>
            <w:tcW w:w="20" w:type="dxa"/>
            <w:vAlign w:val="bottom"/>
            <w:tcBorders>
              <w:top w:val="single" w:sz="8" w:color="231F20"/>
            </w:tcBorders>
            <w:shd w:val="clear" w:color="auto" w:fill="EBECEC"/>
          </w:tcPr>
          <w:p>
            <w:pPr>
              <w:spacing w:after="0"/>
              <w:rPr>
                <w:sz w:val="18"/>
                <w:szCs w:val="18"/>
                <w:color w:val="auto"/>
              </w:rPr>
            </w:pPr>
          </w:p>
        </w:tc>
        <w:tc>
          <w:tcPr>
            <w:tcW w:w="80" w:type="dxa"/>
            <w:vAlign w:val="bottom"/>
            <w:tcBorders>
              <w:top w:val="single" w:sz="8" w:color="231F20"/>
            </w:tcBorders>
            <w:shd w:val="clear" w:color="auto" w:fill="EBECEC"/>
          </w:tcPr>
          <w:p>
            <w:pPr>
              <w:jc w:val="right"/>
              <w:ind w:right="15"/>
              <w:spacing w:after="0"/>
              <w:rPr>
                <w:sz w:val="20"/>
                <w:szCs w:val="20"/>
                <w:color w:val="auto"/>
              </w:rPr>
            </w:pPr>
            <w:r>
              <w:rPr>
                <w:rFonts w:ascii="Times New Roman" w:cs="Times New Roman" w:eastAsia="Times New Roman" w:hAnsi="Times New Roman"/>
                <w:sz w:val="5"/>
                <w:szCs w:val="5"/>
                <w:color w:val="231F20"/>
                <w:w w:val="78"/>
              </w:rPr>
              <w:t>$</w:t>
            </w:r>
          </w:p>
        </w:tc>
        <w:tc>
          <w:tcPr>
            <w:tcW w:w="78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20" w:type="dxa"/>
            <w:vAlign w:val="bottom"/>
            <w:shd w:val="clear" w:color="auto" w:fill="EBECEC"/>
          </w:tcPr>
          <w:p>
            <w:pPr>
              <w:spacing w:after="0"/>
              <w:rPr>
                <w:sz w:val="18"/>
                <w:szCs w:val="18"/>
                <w:color w:val="auto"/>
              </w:rPr>
            </w:pPr>
          </w:p>
        </w:tc>
        <w:tc>
          <w:tcPr>
            <w:tcW w:w="160" w:type="dxa"/>
            <w:vAlign w:val="bottom"/>
            <w:tcBorders>
              <w:top w:val="single" w:sz="8" w:color="EBECEC"/>
            </w:tcBorders>
            <w:shd w:val="clear" w:color="auto" w:fill="EBECEC"/>
          </w:tcPr>
          <w:p>
            <w:pPr>
              <w:spacing w:after="0"/>
              <w:rPr>
                <w:sz w:val="18"/>
                <w:szCs w:val="18"/>
                <w:color w:val="auto"/>
              </w:rPr>
            </w:pPr>
          </w:p>
        </w:tc>
        <w:tc>
          <w:tcPr>
            <w:tcW w:w="20" w:type="dxa"/>
            <w:vAlign w:val="bottom"/>
            <w:tcBorders>
              <w:top w:val="single" w:sz="8" w:color="231F20"/>
            </w:tcBorders>
            <w:shd w:val="clear" w:color="auto" w:fill="EBECEC"/>
          </w:tcPr>
          <w:p>
            <w:pPr>
              <w:spacing w:after="0"/>
              <w:rPr>
                <w:sz w:val="18"/>
                <w:szCs w:val="18"/>
                <w:color w:val="auto"/>
              </w:rPr>
            </w:pPr>
          </w:p>
        </w:tc>
        <w:tc>
          <w:tcPr>
            <w:tcW w:w="20" w:type="dxa"/>
            <w:vAlign w:val="bottom"/>
            <w:tcBorders>
              <w:top w:val="single" w:sz="8" w:color="231F20"/>
            </w:tcBorders>
            <w:shd w:val="clear" w:color="auto" w:fill="EBECEC"/>
          </w:tcPr>
          <w:p>
            <w:pPr>
              <w:spacing w:after="0"/>
              <w:rPr>
                <w:sz w:val="18"/>
                <w:szCs w:val="18"/>
                <w:color w:val="auto"/>
              </w:rPr>
            </w:pPr>
          </w:p>
        </w:tc>
        <w:tc>
          <w:tcPr>
            <w:tcW w:w="100" w:type="dxa"/>
            <w:vAlign w:val="bottom"/>
            <w:tcBorders>
              <w:top w:val="single" w:sz="8" w:color="231F20"/>
            </w:tcBorders>
            <w:shd w:val="clear" w:color="auto" w:fill="EBECEC"/>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96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1,075,807</w:t>
            </w:r>
          </w:p>
        </w:tc>
        <w:tc>
          <w:tcPr>
            <w:tcW w:w="200" w:type="dxa"/>
            <w:vAlign w:val="bottom"/>
            <w:tcBorders>
              <w:top w:val="single" w:sz="8" w:color="EBECEC"/>
            </w:tcBorders>
            <w:shd w:val="clear" w:color="auto" w:fill="EBECEC"/>
          </w:tcPr>
          <w:p>
            <w:pPr>
              <w:spacing w:after="0"/>
              <w:rPr>
                <w:sz w:val="18"/>
                <w:szCs w:val="18"/>
                <w:color w:val="auto"/>
              </w:rPr>
            </w:pPr>
          </w:p>
        </w:tc>
        <w:tc>
          <w:tcPr>
            <w:tcW w:w="20" w:type="dxa"/>
            <w:vAlign w:val="bottom"/>
            <w:tcBorders>
              <w:top w:val="single" w:sz="8" w:color="231F20"/>
            </w:tcBorders>
            <w:shd w:val="clear" w:color="auto" w:fill="EBECEC"/>
          </w:tcPr>
          <w:p>
            <w:pPr>
              <w:spacing w:after="0"/>
              <w:rPr>
                <w:sz w:val="18"/>
                <w:szCs w:val="18"/>
                <w:color w:val="auto"/>
              </w:rPr>
            </w:pPr>
          </w:p>
        </w:tc>
        <w:tc>
          <w:tcPr>
            <w:tcW w:w="20" w:type="dxa"/>
            <w:vAlign w:val="bottom"/>
            <w:tcBorders>
              <w:top w:val="single" w:sz="8" w:color="231F20"/>
            </w:tcBorders>
            <w:shd w:val="clear" w:color="auto" w:fill="EBECEC"/>
          </w:tcPr>
          <w:p>
            <w:pPr>
              <w:spacing w:after="0"/>
              <w:rPr>
                <w:sz w:val="18"/>
                <w:szCs w:val="18"/>
                <w:color w:val="auto"/>
              </w:rPr>
            </w:pPr>
          </w:p>
        </w:tc>
        <w:tc>
          <w:tcPr>
            <w:tcW w:w="4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6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(692,242)</w:t>
            </w:r>
          </w:p>
        </w:tc>
        <w:tc>
          <w:tcPr>
            <w:tcW w:w="20" w:type="dxa"/>
            <w:vAlign w:val="bottom"/>
            <w:shd w:val="clear" w:color="auto" w:fill="EBECEC"/>
          </w:tcPr>
          <w:p>
            <w:pPr>
              <w:spacing w:after="0"/>
              <w:rPr>
                <w:sz w:val="18"/>
                <w:szCs w:val="18"/>
                <w:color w:val="auto"/>
              </w:rPr>
            </w:pPr>
          </w:p>
        </w:tc>
        <w:tc>
          <w:tcPr>
            <w:tcW w:w="220" w:type="dxa"/>
            <w:vAlign w:val="bottom"/>
            <w:tcBorders>
              <w:top w:val="single" w:sz="8" w:color="EBECEC"/>
            </w:tcBorders>
            <w:shd w:val="clear" w:color="auto" w:fill="EBECEC"/>
          </w:tcPr>
          <w:p>
            <w:pPr>
              <w:spacing w:after="0"/>
              <w:rPr>
                <w:sz w:val="18"/>
                <w:szCs w:val="18"/>
                <w:color w:val="auto"/>
              </w:rPr>
            </w:pPr>
          </w:p>
        </w:tc>
        <w:tc>
          <w:tcPr>
            <w:tcW w:w="20" w:type="dxa"/>
            <w:vAlign w:val="bottom"/>
            <w:tcBorders>
              <w:top w:val="single" w:sz="8" w:color="231F20"/>
            </w:tcBorders>
            <w:shd w:val="clear" w:color="auto" w:fill="EBECEC"/>
          </w:tcPr>
          <w:p>
            <w:pPr>
              <w:spacing w:after="0"/>
              <w:rPr>
                <w:sz w:val="18"/>
                <w:szCs w:val="18"/>
                <w:color w:val="auto"/>
              </w:rPr>
            </w:pPr>
          </w:p>
        </w:tc>
        <w:tc>
          <w:tcPr>
            <w:tcW w:w="20" w:type="dxa"/>
            <w:vAlign w:val="bottom"/>
            <w:tcBorders>
              <w:top w:val="single" w:sz="8" w:color="231F20"/>
            </w:tcBorders>
            <w:shd w:val="clear" w:color="auto" w:fill="EBECEC"/>
          </w:tcPr>
          <w:p>
            <w:pPr>
              <w:spacing w:after="0"/>
              <w:rPr>
                <w:sz w:val="18"/>
                <w:szCs w:val="18"/>
                <w:color w:val="auto"/>
              </w:rPr>
            </w:pPr>
          </w:p>
        </w:tc>
        <w:tc>
          <w:tcPr>
            <w:tcW w:w="120" w:type="dxa"/>
            <w:vAlign w:val="bottom"/>
            <w:tcBorders>
              <w:top w:val="single" w:sz="8" w:color="231F20"/>
            </w:tcBorders>
            <w:shd w:val="clear" w:color="auto" w:fill="EBECEC"/>
          </w:tcPr>
          <w:p>
            <w:pPr>
              <w:jc w:val="right"/>
              <w:ind w:right="33"/>
              <w:spacing w:after="0"/>
              <w:rPr>
                <w:sz w:val="20"/>
                <w:szCs w:val="20"/>
                <w:color w:val="auto"/>
              </w:rPr>
            </w:pPr>
            <w:r>
              <w:rPr>
                <w:rFonts w:ascii="Times New Roman" w:cs="Times New Roman" w:eastAsia="Times New Roman" w:hAnsi="Times New Roman"/>
                <w:sz w:val="5"/>
                <w:szCs w:val="5"/>
                <w:color w:val="231F20"/>
                <w:w w:val="78"/>
              </w:rPr>
              <w:t>$</w:t>
            </w:r>
          </w:p>
        </w:tc>
        <w:tc>
          <w:tcPr>
            <w:tcW w:w="86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786</w:t>
            </w:r>
          </w:p>
        </w:tc>
        <w:tc>
          <w:tcPr>
            <w:tcW w:w="180" w:type="dxa"/>
            <w:vAlign w:val="bottom"/>
            <w:tcBorders>
              <w:top w:val="single" w:sz="8" w:color="EBECEC"/>
            </w:tcBorders>
            <w:shd w:val="clear" w:color="auto" w:fill="EBECEC"/>
          </w:tcPr>
          <w:p>
            <w:pPr>
              <w:spacing w:after="0"/>
              <w:rPr>
                <w:sz w:val="18"/>
                <w:szCs w:val="18"/>
                <w:color w:val="auto"/>
              </w:rPr>
            </w:pPr>
          </w:p>
        </w:tc>
        <w:tc>
          <w:tcPr>
            <w:tcW w:w="20" w:type="dxa"/>
            <w:vAlign w:val="bottom"/>
            <w:tcBorders>
              <w:top w:val="single" w:sz="8" w:color="231F20"/>
            </w:tcBorders>
            <w:shd w:val="clear" w:color="auto" w:fill="EBECEC"/>
          </w:tcPr>
          <w:p>
            <w:pPr>
              <w:spacing w:after="0"/>
              <w:rPr>
                <w:sz w:val="18"/>
                <w:szCs w:val="18"/>
                <w:color w:val="auto"/>
              </w:rPr>
            </w:pPr>
          </w:p>
        </w:tc>
        <w:tc>
          <w:tcPr>
            <w:tcW w:w="20" w:type="dxa"/>
            <w:vAlign w:val="bottom"/>
            <w:tcBorders>
              <w:top w:val="single" w:sz="8" w:color="231F20"/>
            </w:tcBorders>
            <w:shd w:val="clear" w:color="auto" w:fill="EBECEC"/>
          </w:tcPr>
          <w:p>
            <w:pPr>
              <w:spacing w:after="0"/>
              <w:rPr>
                <w:sz w:val="18"/>
                <w:szCs w:val="18"/>
                <w:color w:val="auto"/>
              </w:rPr>
            </w:pPr>
          </w:p>
        </w:tc>
        <w:tc>
          <w:tcPr>
            <w:tcW w:w="6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8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6"/>
                <w:szCs w:val="16"/>
                <w:color w:val="231F20"/>
              </w:rPr>
              <w:t>384,362</w:t>
            </w:r>
          </w:p>
        </w:tc>
        <w:tc>
          <w:tcPr>
            <w:tcW w:w="60" w:type="dxa"/>
            <w:vAlign w:val="bottom"/>
            <w:tcBorders>
              <w:top w:val="single" w:sz="8" w:color="EBECEC"/>
            </w:tcBorders>
            <w:shd w:val="clear" w:color="auto" w:fill="EBECEC"/>
          </w:tcPr>
          <w:p>
            <w:pPr>
              <w:spacing w:after="0"/>
              <w:rPr>
                <w:sz w:val="18"/>
                <w:szCs w:val="18"/>
                <w:color w:val="auto"/>
              </w:rPr>
            </w:pPr>
          </w:p>
        </w:tc>
      </w:tr>
      <w:tr>
        <w:trPr>
          <w:trHeight w:val="20"/>
        </w:trPr>
        <w:tc>
          <w:tcPr>
            <w:tcW w:w="3540" w:type="dxa"/>
            <w:vAlign w:val="bottom"/>
            <w:tcBorders>
              <w:top w:val="single" w:sz="8" w:color="EBEC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EBEC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EBECEC"/>
            </w:tcBorders>
          </w:tcPr>
          <w:p>
            <w:pPr>
              <w:spacing w:after="0" w:line="20" w:lineRule="exact"/>
              <w:rPr>
                <w:sz w:val="1"/>
                <w:szCs w:val="1"/>
                <w:color w:val="auto"/>
              </w:rPr>
            </w:pPr>
          </w:p>
        </w:tc>
        <w:tc>
          <w:tcPr>
            <w:tcW w:w="160" w:type="dxa"/>
            <w:vAlign w:val="bottom"/>
            <w:tcBorders>
              <w:top w:val="single" w:sz="8" w:color="EBEC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EBEC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EBECEC"/>
            </w:tcBorders>
          </w:tcPr>
          <w:p>
            <w:pPr>
              <w:spacing w:after="0" w:line="20" w:lineRule="exact"/>
              <w:rPr>
                <w:sz w:val="1"/>
                <w:szCs w:val="1"/>
                <w:color w:val="auto"/>
              </w:rPr>
            </w:pPr>
          </w:p>
        </w:tc>
        <w:tc>
          <w:tcPr>
            <w:tcW w:w="220" w:type="dxa"/>
            <w:vAlign w:val="bottom"/>
            <w:tcBorders>
              <w:top w:val="single" w:sz="8" w:color="EBEC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EBEC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BECEC"/>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accompanying notes to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111</w:t>
      </w:r>
    </w:p>
    <w:p>
      <w:pPr>
        <w:sectPr>
          <w:pgSz w:w="11880" w:h="15480" w:orient="portrait"/>
          <w:cols w:equalWidth="0" w:num="1">
            <w:col w:w="10800"/>
          </w:cols>
          <w:pgMar w:left="540" w:top="746" w:right="540" w:bottom="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231F20"/>
        </w:rPr>
        <w:t>ORIC PHARMACEUTICALS,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STATEMENTS OF CASH FLOWS</w:t>
      </w:r>
    </w:p>
    <w:p>
      <w:pPr>
        <w:jc w:val="center"/>
        <w:spacing w:after="0"/>
        <w:rPr>
          <w:sz w:val="20"/>
          <w:szCs w:val="20"/>
          <w:color w:val="auto"/>
        </w:rPr>
      </w:pPr>
      <w:r>
        <w:rPr>
          <w:rFonts w:ascii="Times New Roman" w:cs="Times New Roman" w:eastAsia="Times New Roman" w:hAnsi="Times New Roman"/>
          <w:sz w:val="20"/>
          <w:szCs w:val="20"/>
          <w:color w:val="231F20"/>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8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231F20"/>
              </w:rPr>
              <w:t>Years Ended December 31,</w:t>
            </w:r>
          </w:p>
        </w:tc>
      </w:tr>
      <w:tr>
        <w:trPr>
          <w:trHeight w:val="221"/>
        </w:trPr>
        <w:tc>
          <w:tcPr>
            <w:tcW w:w="6700" w:type="dxa"/>
            <w:vAlign w:val="bottom"/>
            <w:tcBorders>
              <w:bottom w:val="single" w:sz="8" w:color="EBECEC"/>
            </w:tcBorders>
          </w:tcPr>
          <w:p>
            <w:pPr>
              <w:spacing w:after="0"/>
              <w:rPr>
                <w:sz w:val="19"/>
                <w:szCs w:val="19"/>
                <w:color w:val="auto"/>
              </w:rPr>
            </w:pPr>
          </w:p>
        </w:tc>
        <w:tc>
          <w:tcPr>
            <w:tcW w:w="680" w:type="dxa"/>
            <w:vAlign w:val="bottom"/>
            <w:tcBorders>
              <w:bottom w:val="single" w:sz="8" w:color="EBECEC"/>
            </w:tcBorders>
          </w:tcPr>
          <w:p>
            <w:pPr>
              <w:spacing w:after="0"/>
              <w:rPr>
                <w:sz w:val="19"/>
                <w:szCs w:val="19"/>
                <w:color w:val="auto"/>
              </w:rPr>
            </w:pPr>
          </w:p>
        </w:tc>
        <w:tc>
          <w:tcPr>
            <w:tcW w:w="340" w:type="dxa"/>
            <w:vAlign w:val="bottom"/>
            <w:tcBorders>
              <w:top w:val="single" w:sz="8" w:color="231F20"/>
              <w:bottom w:val="single" w:sz="8" w:color="231F20"/>
            </w:tcBorders>
          </w:tcPr>
          <w:p>
            <w:pPr>
              <w:spacing w:after="0"/>
              <w:rPr>
                <w:sz w:val="19"/>
                <w:szCs w:val="19"/>
                <w:color w:val="auto"/>
              </w:rPr>
            </w:pPr>
          </w:p>
        </w:tc>
        <w:tc>
          <w:tcPr>
            <w:tcW w:w="1200" w:type="dxa"/>
            <w:vAlign w:val="bottom"/>
            <w:tcBorders>
              <w:top w:val="single" w:sz="8" w:color="231F20"/>
              <w:bottom w:val="single" w:sz="8" w:color="231F20"/>
            </w:tcBorders>
          </w:tcPr>
          <w:p>
            <w:pPr>
              <w:jc w:val="right"/>
              <w:ind w:right="50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60" w:type="dxa"/>
            <w:vAlign w:val="bottom"/>
            <w:tcBorders>
              <w:top w:val="single" w:sz="8" w:color="231F20"/>
              <w:bottom w:val="single" w:sz="8" w:color="EBECEC"/>
            </w:tcBorders>
          </w:tcPr>
          <w:p>
            <w:pPr>
              <w:spacing w:after="0"/>
              <w:rPr>
                <w:sz w:val="19"/>
                <w:szCs w:val="19"/>
                <w:color w:val="auto"/>
              </w:rPr>
            </w:pPr>
          </w:p>
        </w:tc>
        <w:tc>
          <w:tcPr>
            <w:tcW w:w="100" w:type="dxa"/>
            <w:vAlign w:val="bottom"/>
            <w:tcBorders>
              <w:top w:val="single" w:sz="8" w:color="231F20"/>
              <w:bottom w:val="single" w:sz="8" w:color="EBECEC"/>
            </w:tcBorders>
          </w:tcPr>
          <w:p>
            <w:pPr>
              <w:spacing w:after="0"/>
              <w:rPr>
                <w:sz w:val="19"/>
                <w:szCs w:val="19"/>
                <w:color w:val="auto"/>
              </w:rPr>
            </w:pPr>
          </w:p>
        </w:tc>
        <w:tc>
          <w:tcPr>
            <w:tcW w:w="340" w:type="dxa"/>
            <w:vAlign w:val="bottom"/>
            <w:tcBorders>
              <w:top w:val="single" w:sz="8" w:color="231F20"/>
              <w:bottom w:val="single" w:sz="8" w:color="231F20"/>
            </w:tcBorders>
          </w:tcPr>
          <w:p>
            <w:pPr>
              <w:spacing w:after="0"/>
              <w:rPr>
                <w:sz w:val="19"/>
                <w:szCs w:val="19"/>
                <w:color w:val="auto"/>
              </w:rPr>
            </w:pPr>
          </w:p>
        </w:tc>
        <w:tc>
          <w:tcPr>
            <w:tcW w:w="1200" w:type="dxa"/>
            <w:vAlign w:val="bottom"/>
            <w:tcBorders>
              <w:top w:val="single" w:sz="8" w:color="231F20"/>
              <w:bottom w:val="single" w:sz="8" w:color="231F20"/>
            </w:tcBorders>
          </w:tcPr>
          <w:p>
            <w:pPr>
              <w:jc w:val="right"/>
              <w:ind w:right="50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Borders>
              <w:bottom w:val="single" w:sz="8" w:color="EBECEC"/>
            </w:tcBorders>
          </w:tcPr>
          <w:p>
            <w:pPr>
              <w:spacing w:after="0"/>
              <w:rPr>
                <w:sz w:val="19"/>
                <w:szCs w:val="19"/>
                <w:color w:val="auto"/>
              </w:rPr>
            </w:pPr>
          </w:p>
        </w:tc>
      </w:tr>
      <w:tr>
        <w:trPr>
          <w:trHeight w:val="239"/>
        </w:trPr>
        <w:tc>
          <w:tcPr>
            <w:tcW w:w="67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Cash flows from operating activities:</w:t>
            </w:r>
          </w:p>
        </w:tc>
        <w:tc>
          <w:tcPr>
            <w:tcW w:w="680" w:type="dxa"/>
            <w:vAlign w:val="bottom"/>
            <w:shd w:val="clear" w:color="auto" w:fill="EBECEC"/>
          </w:tcPr>
          <w:p>
            <w:pPr>
              <w:spacing w:after="0"/>
              <w:rPr>
                <w:sz w:val="20"/>
                <w:szCs w:val="20"/>
                <w:color w:val="auto"/>
              </w:rPr>
            </w:pPr>
          </w:p>
        </w:tc>
        <w:tc>
          <w:tcPr>
            <w:tcW w:w="340" w:type="dxa"/>
            <w:vAlign w:val="bottom"/>
            <w:shd w:val="clear" w:color="auto" w:fill="EBECEC"/>
          </w:tcPr>
          <w:p>
            <w:pPr>
              <w:spacing w:after="0"/>
              <w:rPr>
                <w:sz w:val="20"/>
                <w:szCs w:val="20"/>
                <w:color w:val="auto"/>
              </w:rPr>
            </w:pPr>
          </w:p>
        </w:tc>
        <w:tc>
          <w:tcPr>
            <w:tcW w:w="1200" w:type="dxa"/>
            <w:vAlign w:val="bottom"/>
            <w:shd w:val="clear" w:color="auto" w:fill="EBECEC"/>
          </w:tcPr>
          <w:p>
            <w:pPr>
              <w:spacing w:after="0"/>
              <w:rPr>
                <w:sz w:val="20"/>
                <w:szCs w:val="20"/>
                <w:color w:val="auto"/>
              </w:rPr>
            </w:pPr>
          </w:p>
        </w:tc>
        <w:tc>
          <w:tcPr>
            <w:tcW w:w="16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340" w:type="dxa"/>
            <w:vAlign w:val="bottom"/>
            <w:shd w:val="clear" w:color="auto" w:fill="EBECEC"/>
          </w:tcPr>
          <w:p>
            <w:pPr>
              <w:spacing w:after="0"/>
              <w:rPr>
                <w:sz w:val="20"/>
                <w:szCs w:val="20"/>
                <w:color w:val="auto"/>
              </w:rPr>
            </w:pPr>
          </w:p>
        </w:tc>
        <w:tc>
          <w:tcPr>
            <w:tcW w:w="120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loss</w:t>
            </w:r>
          </w:p>
        </w:tc>
        <w:tc>
          <w:tcPr>
            <w:tcW w:w="68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(129,468)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(127,847)</w:t>
            </w:r>
          </w:p>
        </w:tc>
        <w:tc>
          <w:tcPr>
            <w:tcW w:w="80" w:type="dxa"/>
            <w:vAlign w:val="bottom"/>
          </w:tcPr>
          <w:p>
            <w:pPr>
              <w:spacing w:after="0"/>
              <w:rPr>
                <w:sz w:val="21"/>
                <w:szCs w:val="21"/>
                <w:color w:val="auto"/>
              </w:rPr>
            </w:pPr>
          </w:p>
        </w:tc>
      </w:tr>
      <w:tr>
        <w:trPr>
          <w:trHeight w:val="244"/>
        </w:trPr>
        <w:tc>
          <w:tcPr>
            <w:tcW w:w="67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Adjustments to reconcile net loss to net cash used in operating activities:</w:t>
            </w:r>
          </w:p>
        </w:tc>
        <w:tc>
          <w:tcPr>
            <w:tcW w:w="68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0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00" w:type="dxa"/>
            <w:vAlign w:val="bottom"/>
            <w:shd w:val="clear" w:color="auto" w:fill="EBECEC"/>
          </w:tcPr>
          <w:p>
            <w:pPr>
              <w:spacing w:after="0"/>
              <w:rPr>
                <w:sz w:val="21"/>
                <w:szCs w:val="21"/>
                <w:color w:val="auto"/>
              </w:rPr>
            </w:pPr>
          </w:p>
        </w:tc>
        <w:tc>
          <w:tcPr>
            <w:tcW w:w="80" w:type="dxa"/>
            <w:vAlign w:val="bottom"/>
            <w:shd w:val="clear" w:color="auto" w:fill="EBECEC"/>
          </w:tcPr>
          <w:p>
            <w:pPr>
              <w:spacing w:after="0"/>
              <w:rPr>
                <w:sz w:val="21"/>
                <w:szCs w:val="21"/>
                <w:color w:val="auto"/>
              </w:rPr>
            </w:pPr>
          </w:p>
        </w:tc>
      </w:tr>
      <w:tr>
        <w:trPr>
          <w:trHeight w:val="244"/>
        </w:trPr>
        <w:tc>
          <w:tcPr>
            <w:tcW w:w="67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Depreciation</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1,107</w:t>
            </w:r>
          </w:p>
        </w:tc>
        <w:tc>
          <w:tcPr>
            <w:tcW w:w="80" w:type="dxa"/>
            <w:vAlign w:val="bottom"/>
          </w:tcPr>
          <w:p>
            <w:pPr>
              <w:spacing w:after="0"/>
              <w:rPr>
                <w:sz w:val="21"/>
                <w:szCs w:val="21"/>
                <w:color w:val="auto"/>
              </w:rPr>
            </w:pPr>
          </w:p>
        </w:tc>
      </w:tr>
      <w:tr>
        <w:trPr>
          <w:trHeight w:val="244"/>
        </w:trPr>
        <w:tc>
          <w:tcPr>
            <w:tcW w:w="6700" w:type="dxa"/>
            <w:vAlign w:val="bottom"/>
            <w:shd w:val="clear" w:color="auto" w:fill="EBECEC"/>
          </w:tcPr>
          <w:p>
            <w:pPr>
              <w:ind w:left="40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68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25,037</w:t>
            </w:r>
          </w:p>
        </w:tc>
        <w:tc>
          <w:tcPr>
            <w:tcW w:w="16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20,213</w:t>
            </w:r>
          </w:p>
        </w:tc>
        <w:tc>
          <w:tcPr>
            <w:tcW w:w="80" w:type="dxa"/>
            <w:vAlign w:val="bottom"/>
            <w:shd w:val="clear" w:color="auto" w:fill="EBECEC"/>
          </w:tcPr>
          <w:p>
            <w:pPr>
              <w:spacing w:after="0"/>
              <w:rPr>
                <w:sz w:val="21"/>
                <w:szCs w:val="21"/>
                <w:color w:val="auto"/>
              </w:rPr>
            </w:pPr>
          </w:p>
        </w:tc>
      </w:tr>
      <w:tr>
        <w:trPr>
          <w:trHeight w:val="244"/>
        </w:trPr>
        <w:tc>
          <w:tcPr>
            <w:tcW w:w="67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Accretion of discount on investments, net</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(8,103)</w:t>
            </w:r>
          </w:p>
        </w:tc>
      </w:tr>
      <w:tr>
        <w:trPr>
          <w:trHeight w:val="244"/>
        </w:trPr>
        <w:tc>
          <w:tcPr>
            <w:tcW w:w="67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Changes in operating assets and liabilities:</w:t>
            </w:r>
          </w:p>
        </w:tc>
        <w:tc>
          <w:tcPr>
            <w:tcW w:w="68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0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00" w:type="dxa"/>
            <w:vAlign w:val="bottom"/>
            <w:shd w:val="clear" w:color="auto" w:fill="EBECEC"/>
          </w:tcPr>
          <w:p>
            <w:pPr>
              <w:spacing w:after="0"/>
              <w:rPr>
                <w:sz w:val="21"/>
                <w:szCs w:val="21"/>
                <w:color w:val="auto"/>
              </w:rPr>
            </w:pPr>
          </w:p>
        </w:tc>
        <w:tc>
          <w:tcPr>
            <w:tcW w:w="80" w:type="dxa"/>
            <w:vAlign w:val="bottom"/>
            <w:shd w:val="clear" w:color="auto" w:fill="EBECEC"/>
          </w:tcPr>
          <w:p>
            <w:pPr>
              <w:spacing w:after="0"/>
              <w:rPr>
                <w:sz w:val="21"/>
                <w:szCs w:val="21"/>
                <w:color w:val="auto"/>
              </w:rPr>
            </w:pPr>
          </w:p>
        </w:tc>
      </w:tr>
      <w:tr>
        <w:trPr>
          <w:trHeight w:val="244"/>
        </w:trPr>
        <w:tc>
          <w:tcPr>
            <w:tcW w:w="67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Prepaid expenses and other assets</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1,787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w:t>
            </w:r>
          </w:p>
        </w:tc>
        <w:tc>
          <w:tcPr>
            <w:tcW w:w="80" w:type="dxa"/>
            <w:vAlign w:val="bottom"/>
          </w:tcPr>
          <w:p>
            <w:pPr>
              <w:spacing w:after="0"/>
              <w:rPr>
                <w:sz w:val="21"/>
                <w:szCs w:val="21"/>
                <w:color w:val="auto"/>
              </w:rPr>
            </w:pPr>
          </w:p>
        </w:tc>
      </w:tr>
      <w:tr>
        <w:trPr>
          <w:trHeight w:val="244"/>
        </w:trPr>
        <w:tc>
          <w:tcPr>
            <w:tcW w:w="6700" w:type="dxa"/>
            <w:vAlign w:val="bottom"/>
            <w:shd w:val="clear" w:color="auto" w:fill="EBECEC"/>
          </w:tcPr>
          <w:p>
            <w:pPr>
              <w:ind w:left="400"/>
              <w:spacing w:after="0"/>
              <w:rPr>
                <w:sz w:val="20"/>
                <w:szCs w:val="20"/>
                <w:color w:val="auto"/>
              </w:rPr>
            </w:pPr>
            <w:r>
              <w:rPr>
                <w:rFonts w:ascii="Times New Roman" w:cs="Times New Roman" w:eastAsia="Times New Roman" w:hAnsi="Times New Roman"/>
                <w:sz w:val="20"/>
                <w:szCs w:val="20"/>
                <w:color w:val="231F20"/>
              </w:rPr>
              <w:t>Accounts payable and accrued other liabilities</w:t>
            </w:r>
          </w:p>
        </w:tc>
        <w:tc>
          <w:tcPr>
            <w:tcW w:w="68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36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rPr>
              <w:t>(7,246)</w:t>
            </w:r>
          </w:p>
        </w:tc>
        <w:tc>
          <w:tcPr>
            <w:tcW w:w="10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1,825</w:t>
            </w:r>
          </w:p>
        </w:tc>
        <w:tc>
          <w:tcPr>
            <w:tcW w:w="80" w:type="dxa"/>
            <w:vAlign w:val="bottom"/>
            <w:shd w:val="clear" w:color="auto" w:fill="EBECEC"/>
          </w:tcPr>
          <w:p>
            <w:pPr>
              <w:spacing w:after="0"/>
              <w:rPr>
                <w:sz w:val="21"/>
                <w:szCs w:val="21"/>
                <w:color w:val="auto"/>
              </w:rPr>
            </w:pPr>
          </w:p>
        </w:tc>
      </w:tr>
      <w:tr>
        <w:trPr>
          <w:trHeight w:val="239"/>
        </w:trPr>
        <w:tc>
          <w:tcPr>
            <w:tcW w:w="6700" w:type="dxa"/>
            <w:vAlign w:val="bottom"/>
            <w:tcBorders>
              <w:bottom w:val="single" w:sz="8" w:color="EBECEC"/>
            </w:tcBorders>
          </w:tcPr>
          <w:p>
            <w:pPr>
              <w:ind w:left="800"/>
              <w:spacing w:after="0"/>
              <w:rPr>
                <w:sz w:val="20"/>
                <w:szCs w:val="20"/>
                <w:color w:val="auto"/>
              </w:rPr>
            </w:pPr>
            <w:r>
              <w:rPr>
                <w:rFonts w:ascii="Times New Roman" w:cs="Times New Roman" w:eastAsia="Times New Roman" w:hAnsi="Times New Roman"/>
                <w:sz w:val="20"/>
                <w:szCs w:val="20"/>
                <w:color w:val="231F20"/>
              </w:rPr>
              <w:t>Net cash used in operating activities</w:t>
            </w:r>
          </w:p>
        </w:tc>
        <w:tc>
          <w:tcPr>
            <w:tcW w:w="680" w:type="dxa"/>
            <w:vAlign w:val="bottom"/>
            <w:tcBorders>
              <w:bottom w:val="single" w:sz="8" w:color="EBECEC"/>
            </w:tcBorders>
          </w:tcPr>
          <w:p>
            <w:pPr>
              <w:spacing w:after="0"/>
              <w:rPr>
                <w:sz w:val="20"/>
                <w:szCs w:val="20"/>
                <w:color w:val="auto"/>
              </w:rPr>
            </w:pPr>
          </w:p>
        </w:tc>
        <w:tc>
          <w:tcPr>
            <w:tcW w:w="340" w:type="dxa"/>
            <w:vAlign w:val="bottom"/>
            <w:tcBorders>
              <w:top w:val="single" w:sz="8" w:color="231F20"/>
              <w:bottom w:val="single" w:sz="8" w:color="231F20"/>
            </w:tcBorders>
          </w:tcPr>
          <w:p>
            <w:pPr>
              <w:spacing w:after="0"/>
              <w:rPr>
                <w:sz w:val="20"/>
                <w:szCs w:val="20"/>
                <w:color w:val="auto"/>
              </w:rPr>
            </w:pPr>
          </w:p>
        </w:tc>
        <w:tc>
          <w:tcPr>
            <w:tcW w:w="1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(110,970)</w:t>
            </w:r>
          </w:p>
        </w:tc>
        <w:tc>
          <w:tcPr>
            <w:tcW w:w="160" w:type="dxa"/>
            <w:vAlign w:val="bottom"/>
            <w:tcBorders>
              <w:bottom w:val="single" w:sz="8" w:color="EBECEC"/>
            </w:tcBorders>
          </w:tcPr>
          <w:p>
            <w:pPr>
              <w:spacing w:after="0"/>
              <w:rPr>
                <w:sz w:val="20"/>
                <w:szCs w:val="20"/>
                <w:color w:val="auto"/>
              </w:rPr>
            </w:pPr>
          </w:p>
        </w:tc>
        <w:tc>
          <w:tcPr>
            <w:tcW w:w="100" w:type="dxa"/>
            <w:vAlign w:val="bottom"/>
            <w:tcBorders>
              <w:bottom w:val="single" w:sz="8" w:color="EBECEC"/>
            </w:tcBorders>
          </w:tcPr>
          <w:p>
            <w:pPr>
              <w:spacing w:after="0"/>
              <w:rPr>
                <w:sz w:val="20"/>
                <w:szCs w:val="20"/>
                <w:color w:val="auto"/>
              </w:rPr>
            </w:pPr>
          </w:p>
        </w:tc>
        <w:tc>
          <w:tcPr>
            <w:tcW w:w="340" w:type="dxa"/>
            <w:vAlign w:val="bottom"/>
            <w:tcBorders>
              <w:top w:val="single" w:sz="8" w:color="231F20"/>
              <w:bottom w:val="single" w:sz="8" w:color="231F20"/>
            </w:tcBorders>
          </w:tcPr>
          <w:p>
            <w:pPr>
              <w:spacing w:after="0"/>
              <w:rPr>
                <w:sz w:val="20"/>
                <w:szCs w:val="20"/>
                <w:color w:val="auto"/>
              </w:rPr>
            </w:pPr>
          </w:p>
        </w:tc>
        <w:tc>
          <w:tcPr>
            <w:tcW w:w="1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(112,662)</w:t>
            </w:r>
          </w:p>
        </w:tc>
        <w:tc>
          <w:tcPr>
            <w:tcW w:w="80" w:type="dxa"/>
            <w:vAlign w:val="bottom"/>
            <w:tcBorders>
              <w:bottom w:val="single" w:sz="8" w:color="EBECEC"/>
            </w:tcBorders>
          </w:tcPr>
          <w:p>
            <w:pPr>
              <w:spacing w:after="0"/>
              <w:rPr>
                <w:sz w:val="20"/>
                <w:szCs w:val="20"/>
                <w:color w:val="auto"/>
              </w:rPr>
            </w:pPr>
          </w:p>
        </w:tc>
      </w:tr>
      <w:tr>
        <w:trPr>
          <w:trHeight w:val="239"/>
        </w:trPr>
        <w:tc>
          <w:tcPr>
            <w:tcW w:w="6700" w:type="dxa"/>
            <w:vAlign w:val="bottom"/>
            <w:shd w:val="clear" w:color="auto" w:fill="EBECEC"/>
          </w:tcPr>
          <w:p>
            <w:pPr>
              <w:spacing w:after="0"/>
              <w:rPr>
                <w:sz w:val="20"/>
                <w:szCs w:val="20"/>
                <w:color w:val="auto"/>
              </w:rPr>
            </w:pPr>
          </w:p>
        </w:tc>
        <w:tc>
          <w:tcPr>
            <w:tcW w:w="680" w:type="dxa"/>
            <w:vAlign w:val="bottom"/>
            <w:shd w:val="clear" w:color="auto" w:fill="EBECEC"/>
          </w:tcPr>
          <w:p>
            <w:pPr>
              <w:spacing w:after="0"/>
              <w:rPr>
                <w:sz w:val="20"/>
                <w:szCs w:val="20"/>
                <w:color w:val="auto"/>
              </w:rPr>
            </w:pPr>
          </w:p>
        </w:tc>
        <w:tc>
          <w:tcPr>
            <w:tcW w:w="340" w:type="dxa"/>
            <w:vAlign w:val="bottom"/>
            <w:shd w:val="clear" w:color="auto" w:fill="EBECEC"/>
          </w:tcPr>
          <w:p>
            <w:pPr>
              <w:spacing w:after="0"/>
              <w:rPr>
                <w:sz w:val="20"/>
                <w:szCs w:val="20"/>
                <w:color w:val="auto"/>
              </w:rPr>
            </w:pPr>
          </w:p>
        </w:tc>
        <w:tc>
          <w:tcPr>
            <w:tcW w:w="1200" w:type="dxa"/>
            <w:vAlign w:val="bottom"/>
            <w:shd w:val="clear" w:color="auto" w:fill="EBECEC"/>
          </w:tcPr>
          <w:p>
            <w:pPr>
              <w:spacing w:after="0"/>
              <w:rPr>
                <w:sz w:val="20"/>
                <w:szCs w:val="20"/>
                <w:color w:val="auto"/>
              </w:rPr>
            </w:pPr>
          </w:p>
        </w:tc>
        <w:tc>
          <w:tcPr>
            <w:tcW w:w="16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340" w:type="dxa"/>
            <w:vAlign w:val="bottom"/>
            <w:shd w:val="clear" w:color="auto" w:fill="EBECEC"/>
          </w:tcPr>
          <w:p>
            <w:pPr>
              <w:spacing w:after="0"/>
              <w:rPr>
                <w:sz w:val="20"/>
                <w:szCs w:val="20"/>
                <w:color w:val="auto"/>
              </w:rPr>
            </w:pPr>
          </w:p>
        </w:tc>
        <w:tc>
          <w:tcPr>
            <w:tcW w:w="120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231F20"/>
              </w:rPr>
              <w:t>Cash flows from investing activities:</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7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Acquisitions of property and equipment</w:t>
            </w:r>
          </w:p>
        </w:tc>
        <w:tc>
          <w:tcPr>
            <w:tcW w:w="68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36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rPr>
              <w:t>(712)</w:t>
            </w:r>
          </w:p>
        </w:tc>
        <w:tc>
          <w:tcPr>
            <w:tcW w:w="10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8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rPr>
              <w:t>(1,188)</w:t>
            </w: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Purchases of investments</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(399,819)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(251,920)</w:t>
            </w:r>
          </w:p>
        </w:tc>
      </w:tr>
      <w:tr>
        <w:trPr>
          <w:trHeight w:val="264"/>
        </w:trPr>
        <w:tc>
          <w:tcPr>
            <w:tcW w:w="6700" w:type="dxa"/>
            <w:vAlign w:val="bottom"/>
            <w:tcBorders>
              <w:bottom w:val="single" w:sz="8" w:color="EBECEC"/>
            </w:tcBorders>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Maturities of investments</w:t>
            </w:r>
          </w:p>
        </w:tc>
        <w:tc>
          <w:tcPr>
            <w:tcW w:w="680" w:type="dxa"/>
            <w:vAlign w:val="bottom"/>
            <w:tcBorders>
              <w:bottom w:val="single" w:sz="8" w:color="EBECEC"/>
            </w:tcBorders>
            <w:shd w:val="clear" w:color="auto" w:fill="EBECEC"/>
          </w:tcPr>
          <w:p>
            <w:pPr>
              <w:spacing w:after="0"/>
              <w:rPr>
                <w:sz w:val="22"/>
                <w:szCs w:val="22"/>
                <w:color w:val="auto"/>
              </w:rPr>
            </w:pPr>
          </w:p>
        </w:tc>
        <w:tc>
          <w:tcPr>
            <w:tcW w:w="340" w:type="dxa"/>
            <w:vAlign w:val="bottom"/>
            <w:tcBorders>
              <w:bottom w:val="single" w:sz="8" w:color="231F20"/>
            </w:tcBorders>
            <w:shd w:val="clear" w:color="auto" w:fill="EBECEC"/>
          </w:tcPr>
          <w:p>
            <w:pPr>
              <w:spacing w:after="0"/>
              <w:rPr>
                <w:sz w:val="22"/>
                <w:szCs w:val="22"/>
                <w:color w:val="auto"/>
              </w:rPr>
            </w:pPr>
          </w:p>
        </w:tc>
        <w:tc>
          <w:tcPr>
            <w:tcW w:w="12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252,500</w:t>
            </w:r>
          </w:p>
        </w:tc>
        <w:tc>
          <w:tcPr>
            <w:tcW w:w="160" w:type="dxa"/>
            <w:vAlign w:val="bottom"/>
            <w:tcBorders>
              <w:bottom w:val="single" w:sz="8" w:color="EBECEC"/>
            </w:tcBorders>
            <w:shd w:val="clear" w:color="auto" w:fill="EBECEC"/>
          </w:tcPr>
          <w:p>
            <w:pPr>
              <w:spacing w:after="0"/>
              <w:rPr>
                <w:sz w:val="22"/>
                <w:szCs w:val="22"/>
                <w:color w:val="auto"/>
              </w:rPr>
            </w:pPr>
          </w:p>
        </w:tc>
        <w:tc>
          <w:tcPr>
            <w:tcW w:w="100" w:type="dxa"/>
            <w:vAlign w:val="bottom"/>
            <w:tcBorders>
              <w:bottom w:val="single" w:sz="8" w:color="EBECEC"/>
            </w:tcBorders>
            <w:shd w:val="clear" w:color="auto" w:fill="EBECEC"/>
          </w:tcPr>
          <w:p>
            <w:pPr>
              <w:spacing w:after="0"/>
              <w:rPr>
                <w:sz w:val="22"/>
                <w:szCs w:val="22"/>
                <w:color w:val="auto"/>
              </w:rPr>
            </w:pPr>
          </w:p>
        </w:tc>
        <w:tc>
          <w:tcPr>
            <w:tcW w:w="340" w:type="dxa"/>
            <w:vAlign w:val="bottom"/>
            <w:tcBorders>
              <w:bottom w:val="single" w:sz="8" w:color="231F20"/>
            </w:tcBorders>
            <w:shd w:val="clear" w:color="auto" w:fill="EBECEC"/>
          </w:tcPr>
          <w:p>
            <w:pPr>
              <w:spacing w:after="0"/>
              <w:rPr>
                <w:sz w:val="22"/>
                <w:szCs w:val="22"/>
                <w:color w:val="auto"/>
              </w:rPr>
            </w:pPr>
          </w:p>
        </w:tc>
        <w:tc>
          <w:tcPr>
            <w:tcW w:w="12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275,245</w:t>
            </w:r>
          </w:p>
        </w:tc>
        <w:tc>
          <w:tcPr>
            <w:tcW w:w="80" w:type="dxa"/>
            <w:vAlign w:val="bottom"/>
            <w:tcBorders>
              <w:bottom w:val="single" w:sz="8" w:color="EBECEC"/>
            </w:tcBorders>
            <w:shd w:val="clear" w:color="auto" w:fill="EBECEC"/>
          </w:tcPr>
          <w:p>
            <w:pPr>
              <w:spacing w:after="0"/>
              <w:rPr>
                <w:sz w:val="22"/>
                <w:szCs w:val="22"/>
                <w:color w:val="auto"/>
              </w:rPr>
            </w:pPr>
          </w:p>
        </w:tc>
      </w:tr>
      <w:tr>
        <w:trPr>
          <w:trHeight w:val="219"/>
        </w:trPr>
        <w:tc>
          <w:tcPr>
            <w:tcW w:w="6700" w:type="dxa"/>
            <w:vAlign w:val="bottom"/>
            <w:tcBorders>
              <w:bottom w:val="single" w:sz="8" w:color="EBECEC"/>
            </w:tcBorders>
          </w:tcPr>
          <w:p>
            <w:pPr>
              <w:ind w:left="800"/>
              <w:spacing w:after="0" w:line="219" w:lineRule="exact"/>
              <w:rPr>
                <w:sz w:val="20"/>
                <w:szCs w:val="20"/>
                <w:color w:val="auto"/>
              </w:rPr>
            </w:pPr>
            <w:r>
              <w:rPr>
                <w:rFonts w:ascii="Times New Roman" w:cs="Times New Roman" w:eastAsia="Times New Roman" w:hAnsi="Times New Roman"/>
                <w:sz w:val="20"/>
                <w:szCs w:val="20"/>
                <w:color w:val="231F20"/>
              </w:rPr>
              <w:t>Net cash (used in) provided by investing activities</w:t>
            </w:r>
          </w:p>
        </w:tc>
        <w:tc>
          <w:tcPr>
            <w:tcW w:w="680" w:type="dxa"/>
            <w:vAlign w:val="bottom"/>
            <w:tcBorders>
              <w:bottom w:val="single" w:sz="8" w:color="EBECEC"/>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(148,031)</w:t>
            </w:r>
          </w:p>
        </w:tc>
        <w:tc>
          <w:tcPr>
            <w:tcW w:w="160" w:type="dxa"/>
            <w:vAlign w:val="bottom"/>
            <w:tcBorders>
              <w:bottom w:val="single" w:sz="8" w:color="EBECEC"/>
            </w:tcBorders>
          </w:tcPr>
          <w:p>
            <w:pPr>
              <w:spacing w:after="0"/>
              <w:rPr>
                <w:sz w:val="19"/>
                <w:szCs w:val="19"/>
                <w:color w:val="auto"/>
              </w:rPr>
            </w:pPr>
          </w:p>
        </w:tc>
        <w:tc>
          <w:tcPr>
            <w:tcW w:w="100" w:type="dxa"/>
            <w:vAlign w:val="bottom"/>
            <w:tcBorders>
              <w:bottom w:val="single" w:sz="8" w:color="EBECEC"/>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22,137</w:t>
            </w:r>
          </w:p>
        </w:tc>
        <w:tc>
          <w:tcPr>
            <w:tcW w:w="80" w:type="dxa"/>
            <w:vAlign w:val="bottom"/>
            <w:tcBorders>
              <w:bottom w:val="single" w:sz="8" w:color="EBECEC"/>
            </w:tcBorders>
          </w:tcPr>
          <w:p>
            <w:pPr>
              <w:spacing w:after="0"/>
              <w:rPr>
                <w:sz w:val="19"/>
                <w:szCs w:val="19"/>
                <w:color w:val="auto"/>
              </w:rPr>
            </w:pPr>
          </w:p>
        </w:tc>
      </w:tr>
      <w:tr>
        <w:trPr>
          <w:trHeight w:val="239"/>
        </w:trPr>
        <w:tc>
          <w:tcPr>
            <w:tcW w:w="6700" w:type="dxa"/>
            <w:vAlign w:val="bottom"/>
            <w:shd w:val="clear" w:color="auto" w:fill="EBECEC"/>
          </w:tcPr>
          <w:p>
            <w:pPr>
              <w:spacing w:after="0"/>
              <w:rPr>
                <w:sz w:val="20"/>
                <w:szCs w:val="20"/>
                <w:color w:val="auto"/>
              </w:rPr>
            </w:pPr>
          </w:p>
        </w:tc>
        <w:tc>
          <w:tcPr>
            <w:tcW w:w="680" w:type="dxa"/>
            <w:vAlign w:val="bottom"/>
            <w:shd w:val="clear" w:color="auto" w:fill="EBECEC"/>
          </w:tcPr>
          <w:p>
            <w:pPr>
              <w:spacing w:after="0"/>
              <w:rPr>
                <w:sz w:val="20"/>
                <w:szCs w:val="20"/>
                <w:color w:val="auto"/>
              </w:rPr>
            </w:pPr>
          </w:p>
        </w:tc>
        <w:tc>
          <w:tcPr>
            <w:tcW w:w="340" w:type="dxa"/>
            <w:vAlign w:val="bottom"/>
            <w:shd w:val="clear" w:color="auto" w:fill="EBECEC"/>
          </w:tcPr>
          <w:p>
            <w:pPr>
              <w:spacing w:after="0"/>
              <w:rPr>
                <w:sz w:val="20"/>
                <w:szCs w:val="20"/>
                <w:color w:val="auto"/>
              </w:rPr>
            </w:pPr>
          </w:p>
        </w:tc>
        <w:tc>
          <w:tcPr>
            <w:tcW w:w="1200" w:type="dxa"/>
            <w:vAlign w:val="bottom"/>
            <w:shd w:val="clear" w:color="auto" w:fill="EBECEC"/>
          </w:tcPr>
          <w:p>
            <w:pPr>
              <w:spacing w:after="0"/>
              <w:rPr>
                <w:sz w:val="20"/>
                <w:szCs w:val="20"/>
                <w:color w:val="auto"/>
              </w:rPr>
            </w:pPr>
          </w:p>
        </w:tc>
        <w:tc>
          <w:tcPr>
            <w:tcW w:w="16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340" w:type="dxa"/>
            <w:vAlign w:val="bottom"/>
            <w:shd w:val="clear" w:color="auto" w:fill="EBECEC"/>
          </w:tcPr>
          <w:p>
            <w:pPr>
              <w:spacing w:after="0"/>
              <w:rPr>
                <w:sz w:val="20"/>
                <w:szCs w:val="20"/>
                <w:color w:val="auto"/>
              </w:rPr>
            </w:pPr>
          </w:p>
        </w:tc>
        <w:tc>
          <w:tcPr>
            <w:tcW w:w="120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r>
      <w:tr>
        <w:trPr>
          <w:trHeight w:val="244"/>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231F20"/>
              </w:rPr>
              <w:t>Cash flows from financing activities:</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7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Proceeds from issuance of common stock and pre-funded warrants</w:t>
            </w:r>
          </w:p>
        </w:tc>
        <w:tc>
          <w:tcPr>
            <w:tcW w:w="68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244,369</w:t>
            </w:r>
          </w:p>
        </w:tc>
        <w:tc>
          <w:tcPr>
            <w:tcW w:w="16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125,000</w:t>
            </w:r>
          </w:p>
        </w:tc>
        <w:tc>
          <w:tcPr>
            <w:tcW w:w="80" w:type="dxa"/>
            <w:vAlign w:val="bottom"/>
            <w:shd w:val="clear" w:color="auto" w:fill="EBECEC"/>
          </w:tcPr>
          <w:p>
            <w:pPr>
              <w:spacing w:after="0"/>
              <w:rPr>
                <w:sz w:val="21"/>
                <w:szCs w:val="21"/>
                <w:color w:val="auto"/>
              </w:rPr>
            </w:pPr>
          </w:p>
        </w:tc>
      </w:tr>
      <w:tr>
        <w:trPr>
          <w:trHeight w:val="244"/>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Issuance costs associated with financings</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(2,397)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(168)</w:t>
            </w:r>
          </w:p>
        </w:tc>
      </w:tr>
      <w:tr>
        <w:trPr>
          <w:trHeight w:val="244"/>
        </w:trPr>
        <w:tc>
          <w:tcPr>
            <w:tcW w:w="67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Proceeds from issuance of common stock under ESPP</w:t>
            </w:r>
          </w:p>
        </w:tc>
        <w:tc>
          <w:tcPr>
            <w:tcW w:w="68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1,313</w:t>
            </w:r>
          </w:p>
        </w:tc>
        <w:tc>
          <w:tcPr>
            <w:tcW w:w="16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1,084</w:t>
            </w:r>
          </w:p>
        </w:tc>
        <w:tc>
          <w:tcPr>
            <w:tcW w:w="80" w:type="dxa"/>
            <w:vAlign w:val="bottom"/>
            <w:shd w:val="clear" w:color="auto" w:fill="EBECEC"/>
          </w:tcPr>
          <w:p>
            <w:pPr>
              <w:spacing w:after="0"/>
              <w:rPr>
                <w:sz w:val="21"/>
                <w:szCs w:val="21"/>
                <w:color w:val="auto"/>
              </w:rPr>
            </w:pPr>
          </w:p>
        </w:tc>
      </w:tr>
      <w:tr>
        <w:trPr>
          <w:trHeight w:val="244"/>
        </w:trPr>
        <w:tc>
          <w:tcPr>
            <w:tcW w:w="670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Proceeds from stock option exercises</w:t>
            </w:r>
          </w:p>
        </w:tc>
        <w:tc>
          <w:tcPr>
            <w:tcW w:w="680" w:type="dxa"/>
            <w:vAlign w:val="bottom"/>
            <w:tcBorders>
              <w:bottom w:val="single" w:sz="8" w:color="EBECEC"/>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1,979</w:t>
            </w:r>
          </w:p>
        </w:tc>
        <w:tc>
          <w:tcPr>
            <w:tcW w:w="160" w:type="dxa"/>
            <w:vAlign w:val="bottom"/>
            <w:tcBorders>
              <w:bottom w:val="single" w:sz="8" w:color="EBECEC"/>
            </w:tcBorders>
          </w:tcPr>
          <w:p>
            <w:pPr>
              <w:spacing w:after="0"/>
              <w:rPr>
                <w:sz w:val="21"/>
                <w:szCs w:val="21"/>
                <w:color w:val="auto"/>
              </w:rPr>
            </w:pPr>
          </w:p>
        </w:tc>
        <w:tc>
          <w:tcPr>
            <w:tcW w:w="100" w:type="dxa"/>
            <w:vAlign w:val="bottom"/>
            <w:tcBorders>
              <w:bottom w:val="single" w:sz="8" w:color="EBECEC"/>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631</w:t>
            </w:r>
          </w:p>
        </w:tc>
        <w:tc>
          <w:tcPr>
            <w:tcW w:w="80" w:type="dxa"/>
            <w:vAlign w:val="bottom"/>
            <w:tcBorders>
              <w:bottom w:val="single" w:sz="8" w:color="EBECEC"/>
            </w:tcBorders>
          </w:tcPr>
          <w:p>
            <w:pPr>
              <w:spacing w:after="0"/>
              <w:rPr>
                <w:sz w:val="21"/>
                <w:szCs w:val="21"/>
                <w:color w:val="auto"/>
              </w:rPr>
            </w:pPr>
          </w:p>
        </w:tc>
      </w:tr>
      <w:tr>
        <w:trPr>
          <w:trHeight w:val="239"/>
        </w:trPr>
        <w:tc>
          <w:tcPr>
            <w:tcW w:w="6700" w:type="dxa"/>
            <w:vAlign w:val="bottom"/>
            <w:tcBorders>
              <w:bottom w:val="single" w:sz="8" w:color="EBECEC"/>
            </w:tcBorders>
            <w:shd w:val="clear" w:color="auto" w:fill="EBECEC"/>
          </w:tcPr>
          <w:p>
            <w:pPr>
              <w:ind w:left="800"/>
              <w:spacing w:after="0"/>
              <w:rPr>
                <w:sz w:val="20"/>
                <w:szCs w:val="20"/>
                <w:color w:val="auto"/>
              </w:rPr>
            </w:pPr>
            <w:r>
              <w:rPr>
                <w:rFonts w:ascii="Times New Roman" w:cs="Times New Roman" w:eastAsia="Times New Roman" w:hAnsi="Times New Roman"/>
                <w:sz w:val="20"/>
                <w:szCs w:val="20"/>
                <w:color w:val="231F20"/>
              </w:rPr>
              <w:t>Net cash provided by financing activities</w:t>
            </w:r>
          </w:p>
        </w:tc>
        <w:tc>
          <w:tcPr>
            <w:tcW w:w="680" w:type="dxa"/>
            <w:vAlign w:val="bottom"/>
            <w:tcBorders>
              <w:bottom w:val="single" w:sz="8" w:color="EBECEC"/>
            </w:tcBorders>
            <w:shd w:val="clear" w:color="auto" w:fill="EBECEC"/>
          </w:tcPr>
          <w:p>
            <w:pPr>
              <w:spacing w:after="0"/>
              <w:rPr>
                <w:sz w:val="20"/>
                <w:szCs w:val="20"/>
                <w:color w:val="auto"/>
              </w:rPr>
            </w:pPr>
          </w:p>
        </w:tc>
        <w:tc>
          <w:tcPr>
            <w:tcW w:w="340" w:type="dxa"/>
            <w:vAlign w:val="bottom"/>
            <w:tcBorders>
              <w:bottom w:val="single" w:sz="8" w:color="231F20"/>
            </w:tcBorders>
            <w:shd w:val="clear" w:color="auto" w:fill="EBECEC"/>
          </w:tcPr>
          <w:p>
            <w:pPr>
              <w:spacing w:after="0"/>
              <w:rPr>
                <w:sz w:val="20"/>
                <w:szCs w:val="20"/>
                <w:color w:val="auto"/>
              </w:rPr>
            </w:pPr>
          </w:p>
        </w:tc>
        <w:tc>
          <w:tcPr>
            <w:tcW w:w="12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245,264</w:t>
            </w:r>
          </w:p>
        </w:tc>
        <w:tc>
          <w:tcPr>
            <w:tcW w:w="160" w:type="dxa"/>
            <w:vAlign w:val="bottom"/>
            <w:tcBorders>
              <w:bottom w:val="single" w:sz="8" w:color="EBECEC"/>
            </w:tcBorders>
            <w:shd w:val="clear" w:color="auto" w:fill="EBECEC"/>
          </w:tcPr>
          <w:p>
            <w:pPr>
              <w:spacing w:after="0"/>
              <w:rPr>
                <w:sz w:val="20"/>
                <w:szCs w:val="20"/>
                <w:color w:val="auto"/>
              </w:rPr>
            </w:pPr>
          </w:p>
        </w:tc>
        <w:tc>
          <w:tcPr>
            <w:tcW w:w="100" w:type="dxa"/>
            <w:vAlign w:val="bottom"/>
            <w:tcBorders>
              <w:bottom w:val="single" w:sz="8" w:color="EBECEC"/>
            </w:tcBorders>
            <w:shd w:val="clear" w:color="auto" w:fill="EBECEC"/>
          </w:tcPr>
          <w:p>
            <w:pPr>
              <w:spacing w:after="0"/>
              <w:rPr>
                <w:sz w:val="20"/>
                <w:szCs w:val="20"/>
                <w:color w:val="auto"/>
              </w:rPr>
            </w:pPr>
          </w:p>
        </w:tc>
        <w:tc>
          <w:tcPr>
            <w:tcW w:w="340" w:type="dxa"/>
            <w:vAlign w:val="bottom"/>
            <w:tcBorders>
              <w:bottom w:val="single" w:sz="8" w:color="231F20"/>
            </w:tcBorders>
            <w:shd w:val="clear" w:color="auto" w:fill="EBECEC"/>
          </w:tcPr>
          <w:p>
            <w:pPr>
              <w:spacing w:after="0"/>
              <w:rPr>
                <w:sz w:val="20"/>
                <w:szCs w:val="20"/>
                <w:color w:val="auto"/>
              </w:rPr>
            </w:pPr>
          </w:p>
        </w:tc>
        <w:tc>
          <w:tcPr>
            <w:tcW w:w="12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126,547</w:t>
            </w:r>
          </w:p>
        </w:tc>
        <w:tc>
          <w:tcPr>
            <w:tcW w:w="80" w:type="dxa"/>
            <w:vAlign w:val="bottom"/>
            <w:tcBorders>
              <w:bottom w:val="single" w:sz="8" w:color="EBECEC"/>
            </w:tcBorders>
            <w:shd w:val="clear" w:color="auto" w:fill="EBECEC"/>
          </w:tcPr>
          <w:p>
            <w:pPr>
              <w:spacing w:after="0"/>
              <w:rPr>
                <w:sz w:val="20"/>
                <w:szCs w:val="20"/>
                <w:color w:val="auto"/>
              </w:rPr>
            </w:pPr>
          </w:p>
        </w:tc>
      </w:tr>
      <w:tr>
        <w:trPr>
          <w:trHeight w:val="239"/>
        </w:trPr>
        <w:tc>
          <w:tcPr>
            <w:tcW w:w="6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67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Net (decrease) increase in cash, cash equivalents and restricted cash</w:t>
            </w:r>
          </w:p>
        </w:tc>
        <w:tc>
          <w:tcPr>
            <w:tcW w:w="68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36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rPr>
              <w:t>(13,737)</w:t>
            </w:r>
          </w:p>
        </w:tc>
        <w:tc>
          <w:tcPr>
            <w:tcW w:w="10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2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36,022</w:t>
            </w:r>
          </w:p>
        </w:tc>
        <w:tc>
          <w:tcPr>
            <w:tcW w:w="80" w:type="dxa"/>
            <w:vAlign w:val="bottom"/>
            <w:shd w:val="clear" w:color="auto" w:fill="EBECEC"/>
          </w:tcPr>
          <w:p>
            <w:pPr>
              <w:spacing w:after="0"/>
              <w:rPr>
                <w:sz w:val="21"/>
                <w:szCs w:val="21"/>
                <w:color w:val="auto"/>
              </w:rPr>
            </w:pPr>
          </w:p>
        </w:tc>
      </w:tr>
      <w:tr>
        <w:trPr>
          <w:trHeight w:val="244"/>
        </w:trPr>
        <w:tc>
          <w:tcPr>
            <w:tcW w:w="6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4"/>
        </w:trPr>
        <w:tc>
          <w:tcPr>
            <w:tcW w:w="670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Cash, cash equivalents and restricted cash at beginning of period</w:t>
            </w:r>
          </w:p>
        </w:tc>
        <w:tc>
          <w:tcPr>
            <w:tcW w:w="680" w:type="dxa"/>
            <w:vAlign w:val="bottom"/>
            <w:tcBorders>
              <w:bottom w:val="single" w:sz="8" w:color="EBECEC"/>
            </w:tcBorders>
            <w:shd w:val="clear" w:color="auto" w:fill="EBECEC"/>
          </w:tcPr>
          <w:p>
            <w:pPr>
              <w:spacing w:after="0"/>
              <w:rPr>
                <w:sz w:val="22"/>
                <w:szCs w:val="22"/>
                <w:color w:val="auto"/>
              </w:rPr>
            </w:pPr>
          </w:p>
        </w:tc>
        <w:tc>
          <w:tcPr>
            <w:tcW w:w="340" w:type="dxa"/>
            <w:vAlign w:val="bottom"/>
            <w:tcBorders>
              <w:bottom w:val="single" w:sz="8" w:color="231F20"/>
            </w:tcBorders>
            <w:shd w:val="clear" w:color="auto" w:fill="EBECEC"/>
          </w:tcPr>
          <w:p>
            <w:pPr>
              <w:spacing w:after="0"/>
              <w:rPr>
                <w:sz w:val="22"/>
                <w:szCs w:val="22"/>
                <w:color w:val="auto"/>
              </w:rPr>
            </w:pPr>
          </w:p>
        </w:tc>
        <w:tc>
          <w:tcPr>
            <w:tcW w:w="12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59,897</w:t>
            </w:r>
          </w:p>
        </w:tc>
        <w:tc>
          <w:tcPr>
            <w:tcW w:w="160" w:type="dxa"/>
            <w:vAlign w:val="bottom"/>
            <w:tcBorders>
              <w:bottom w:val="single" w:sz="8" w:color="EBECEC"/>
            </w:tcBorders>
            <w:shd w:val="clear" w:color="auto" w:fill="EBECEC"/>
          </w:tcPr>
          <w:p>
            <w:pPr>
              <w:spacing w:after="0"/>
              <w:rPr>
                <w:sz w:val="22"/>
                <w:szCs w:val="22"/>
                <w:color w:val="auto"/>
              </w:rPr>
            </w:pPr>
          </w:p>
        </w:tc>
        <w:tc>
          <w:tcPr>
            <w:tcW w:w="100" w:type="dxa"/>
            <w:vAlign w:val="bottom"/>
            <w:tcBorders>
              <w:bottom w:val="single" w:sz="8" w:color="EBECEC"/>
            </w:tcBorders>
            <w:shd w:val="clear" w:color="auto" w:fill="EBECEC"/>
          </w:tcPr>
          <w:p>
            <w:pPr>
              <w:spacing w:after="0"/>
              <w:rPr>
                <w:sz w:val="22"/>
                <w:szCs w:val="22"/>
                <w:color w:val="auto"/>
              </w:rPr>
            </w:pPr>
          </w:p>
        </w:tc>
        <w:tc>
          <w:tcPr>
            <w:tcW w:w="340" w:type="dxa"/>
            <w:vAlign w:val="bottom"/>
            <w:tcBorders>
              <w:bottom w:val="single" w:sz="8" w:color="231F20"/>
            </w:tcBorders>
            <w:shd w:val="clear" w:color="auto" w:fill="EBECEC"/>
          </w:tcPr>
          <w:p>
            <w:pPr>
              <w:spacing w:after="0"/>
              <w:rPr>
                <w:sz w:val="22"/>
                <w:szCs w:val="22"/>
                <w:color w:val="auto"/>
              </w:rPr>
            </w:pPr>
          </w:p>
        </w:tc>
        <w:tc>
          <w:tcPr>
            <w:tcW w:w="12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23,875</w:t>
            </w:r>
          </w:p>
        </w:tc>
        <w:tc>
          <w:tcPr>
            <w:tcW w:w="80" w:type="dxa"/>
            <w:vAlign w:val="bottom"/>
            <w:tcBorders>
              <w:bottom w:val="single" w:sz="8" w:color="EBECEC"/>
            </w:tcBorders>
            <w:shd w:val="clear" w:color="auto" w:fill="EBECEC"/>
          </w:tcPr>
          <w:p>
            <w:pPr>
              <w:spacing w:after="0"/>
              <w:rPr>
                <w:sz w:val="22"/>
                <w:szCs w:val="22"/>
                <w:color w:val="auto"/>
              </w:rPr>
            </w:pPr>
          </w:p>
        </w:tc>
      </w:tr>
      <w:tr>
        <w:trPr>
          <w:trHeight w:val="219"/>
        </w:trPr>
        <w:tc>
          <w:tcPr>
            <w:tcW w:w="67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Cash, cash equivalents and restricted cash at end of period</w:t>
            </w:r>
          </w:p>
        </w:tc>
        <w:tc>
          <w:tcPr>
            <w:tcW w:w="680" w:type="dxa"/>
            <w:vAlign w:val="bottom"/>
          </w:tcPr>
          <w:p>
            <w:pPr>
              <w:spacing w:after="0"/>
              <w:rPr>
                <w:sz w:val="19"/>
                <w:szCs w:val="19"/>
                <w:color w:val="auto"/>
              </w:rPr>
            </w:pPr>
          </w:p>
        </w:tc>
        <w:tc>
          <w:tcPr>
            <w:tcW w:w="340" w:type="dxa"/>
            <w:vAlign w:val="bottom"/>
            <w:tcBorders>
              <w:bottom w:val="single" w:sz="8" w:color="231F20"/>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46,160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231F20"/>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59,897</w:t>
            </w:r>
          </w:p>
        </w:tc>
        <w:tc>
          <w:tcPr>
            <w:tcW w:w="8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accompanying notes to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112</w:t>
      </w:r>
    </w:p>
    <w:p>
      <w:pPr>
        <w:sectPr>
          <w:pgSz w:w="11880" w:h="15480" w:orient="portrait"/>
          <w:cols w:equalWidth="0" w:num="1">
            <w:col w:w="10800"/>
          </w:cols>
          <w:pgMar w:left="540" w:top="746" w:right="540" w:bottom="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231F20"/>
        </w:rPr>
        <w:t>ORIC PHARMACEUTICALS,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FINANCIAL STATEMENTS</w:t>
      </w:r>
    </w:p>
    <w:p>
      <w:pPr>
        <w:spacing w:after="0" w:line="208" w:lineRule="exact"/>
        <w:rPr>
          <w:sz w:val="20"/>
          <w:szCs w:val="20"/>
          <w:color w:val="auto"/>
        </w:rPr>
      </w:pPr>
    </w:p>
    <w:p>
      <w:pPr>
        <w:ind w:left="200" w:hanging="200"/>
        <w:spacing w:after="0"/>
        <w:tabs>
          <w:tab w:leader="none" w:pos="200" w:val="left"/>
        </w:tabs>
        <w:numPr>
          <w:ilvl w:val="0"/>
          <w:numId w:val="6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u w:val="single" w:color="auto"/>
          <w:color w:val="231F20"/>
        </w:rPr>
        <w:t>Description of the Business</w:t>
      </w:r>
    </w:p>
    <w:p>
      <w:pPr>
        <w:spacing w:after="0" w:line="124"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231F20"/>
        </w:rPr>
        <w:t xml:space="preserve">ORIC Pharmaceuticals, Inc. (ORIC or the Company) is a clinical-stage biopharmaceutical company dedicated to improving patients’ lives by </w:t>
      </w:r>
      <w:r>
        <w:rPr>
          <w:rFonts w:ascii="Times New Roman" w:cs="Times New Roman" w:eastAsia="Times New Roman" w:hAnsi="Times New Roman"/>
          <w:sz w:val="20"/>
          <w:szCs w:val="20"/>
          <w:i w:val="1"/>
          <w:iCs w:val="1"/>
          <w:u w:val="single" w:color="auto"/>
          <w:color w:val="231F20"/>
        </w:rPr>
        <w:t>O</w:t>
      </w:r>
      <w:r>
        <w:rPr>
          <w:rFonts w:ascii="Times New Roman" w:cs="Times New Roman" w:eastAsia="Times New Roman" w:hAnsi="Times New Roman"/>
          <w:sz w:val="20"/>
          <w:szCs w:val="20"/>
          <w:i w:val="1"/>
          <w:iCs w:val="1"/>
          <w:color w:val="231F20"/>
        </w:rPr>
        <w:t>vercoming</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u w:val="single" w:color="auto"/>
          <w:color w:val="231F20"/>
        </w:rPr>
        <w:t>R</w:t>
      </w:r>
      <w:r>
        <w:rPr>
          <w:rFonts w:ascii="Times New Roman" w:cs="Times New Roman" w:eastAsia="Times New Roman" w:hAnsi="Times New Roman"/>
          <w:sz w:val="20"/>
          <w:szCs w:val="20"/>
          <w:i w:val="1"/>
          <w:iCs w:val="1"/>
          <w:color w:val="231F20"/>
        </w:rPr>
        <w:t>esistance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u w:val="single" w:color="auto"/>
          <w:color w:val="231F20"/>
        </w:rPr>
        <w:t>I</w:t>
      </w:r>
      <w:r>
        <w:rPr>
          <w:rFonts w:ascii="Times New Roman" w:cs="Times New Roman" w:eastAsia="Times New Roman" w:hAnsi="Times New Roman"/>
          <w:sz w:val="20"/>
          <w:szCs w:val="20"/>
          <w:i w:val="1"/>
          <w:iCs w:val="1"/>
          <w:color w:val="231F20"/>
        </w:rPr>
        <w:t>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u w:val="single" w:color="auto"/>
          <w:color w:val="231F20"/>
        </w:rPr>
        <w:t>C</w:t>
      </w:r>
      <w:r>
        <w:rPr>
          <w:rFonts w:ascii="Times New Roman" w:cs="Times New Roman" w:eastAsia="Times New Roman" w:hAnsi="Times New Roman"/>
          <w:sz w:val="20"/>
          <w:szCs w:val="20"/>
          <w:i w:val="1"/>
          <w:iCs w:val="1"/>
          <w:color w:val="231F20"/>
        </w:rPr>
        <w:t>ancer</w:t>
      </w:r>
      <w:r>
        <w:rPr>
          <w:rFonts w:ascii="Times New Roman" w:cs="Times New Roman" w:eastAsia="Times New Roman" w:hAnsi="Times New Roman"/>
          <w:sz w:val="20"/>
          <w:szCs w:val="20"/>
          <w:color w:val="231F20"/>
        </w:rPr>
        <w:t>. The Company was incorporated in Delaware in August 2014 and has offices in South San Francisco and San Diego, California. The Company’s principal operations are in the United States and the Company operates in one segment.</w:t>
      </w:r>
    </w:p>
    <w:p>
      <w:pPr>
        <w:spacing w:after="0" w:line="194"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development and commercialization rights to an allosteric inhibitor program directed towards the polycomb repressive complex 2 (PRC2) and in October 2020, the Company licensed from Voronoi Inc. development and commercialization rights to a brain-penetrant, orally bioavailable, irreversible inhibitor designed to selectively target epidermal growth factor receptor (EGFR) and human epidermal growth factor receptor 2 (HER2) with high potency against exon 20 mutations.</w:t>
      </w:r>
    </w:p>
    <w:p>
      <w:pPr>
        <w:spacing w:after="0" w:line="200" w:lineRule="exact"/>
        <w:rPr>
          <w:sz w:val="20"/>
          <w:szCs w:val="20"/>
          <w:color w:val="auto"/>
        </w:rPr>
      </w:pPr>
    </w:p>
    <w:p>
      <w:pPr>
        <w:ind w:right="180" w:firstLine="720"/>
        <w:spacing w:after="0" w:line="305" w:lineRule="auto"/>
        <w:rPr>
          <w:sz w:val="20"/>
          <w:szCs w:val="20"/>
          <w:color w:val="auto"/>
        </w:rPr>
      </w:pPr>
      <w:r>
        <w:rPr>
          <w:rFonts w:ascii="Times New Roman" w:cs="Times New Roman" w:eastAsia="Times New Roman" w:hAnsi="Times New Roman"/>
          <w:sz w:val="19"/>
          <w:szCs w:val="19"/>
          <w:color w:val="231F20"/>
        </w:rPr>
        <w:t>As of December 31, 2025, the Company had an accumulated deficit of $692.2 million. Through December 31, 2025, all of the Company’s financial support has been provided by proceeds from the issuance of common stock and convertible preferred stock.</w:t>
      </w:r>
    </w:p>
    <w:p>
      <w:pPr>
        <w:spacing w:after="0" w:line="145"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spacing w:after="0" w:line="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Strategic Pipeline Prioritization</w:t>
      </w:r>
    </w:p>
    <w:p>
      <w:pPr>
        <w:spacing w:after="0" w:line="120"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231F20"/>
        </w:rPr>
        <w:t>On August 12, 2025, the Company announced a strategic pipeline prioritization to focus operational and financial resources on the continued advancement of its two lead clinical programs, rinzimetostat (formerly ORIC-944) and enozertinib (formerly ORIC-114). This initiative has resulted in a substantial decrease in preclinical research, primarily from the elimination of the Company’s discovery research group. This resulted in an approximately 20% workforce reduction and the Company has incurred a one-time cost of approximately $1.9 million primarily related to termination benefits, including severance and healthcare-related benefits. The workforce reduction was completed in the fourth quarter of 2025.</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At-The-Market Sales Agreement and Offering</w:t>
      </w:r>
    </w:p>
    <w:p>
      <w:pPr>
        <w:spacing w:after="0" w:line="120"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231F20"/>
        </w:rPr>
        <w:t>The Company previously entered into an “at the market” (ATM) sales agreement with Jefferies LLC as the Company’s sales agent, to sell shares of the Company’s common stock. On March 11, 2024, pursuant to the terms of the ATM sales agreement, the Company filed a Form S-3ASR and prospectus supplement, to allow the Company to sell from time to time up to $200.0 million of shares of the Company’s common stock in negotiated transactions or transactions deemed to be an ATM offering. During the year ended December 31, 2025, the Company raised net proceeds in ATM offerings, including participation from healthcare specialist funds, of approximately $117.6 million through the sale of 11,780,032 shares at a weighted average purchase price of $10.13. In January 2026, the Company raised net proceeds in an ATM offering with participation from a healthcare specialist fund of approximately $20.0 million. The Company did not raise proceeds under an ATM offering in 2024.</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Private Placements</w:t>
      </w:r>
    </w:p>
    <w:p>
      <w:pPr>
        <w:spacing w:after="0" w:line="12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On May 23, 2025, the Company entered into a securities purchase agreement with a select group of institutional and accredited healthcare specialist investors for the private placement of 14,130,313 shares of common stock at a price of $6.50 per share and pre-funded warrants to purchase 5,100,532 shares of common stock at a purchase price of $6.4999 per pre-funded warrant, resulting in gross proceeds of $125.0 million. The purchase price per share represents a premium of approximately 18% to ORIC’s 10-day trailing volume-weighted average stock price as of deal signing on May 23, 2025. The pre-funded warrants have an exercise price of $0.0001 per share of common stock, were immediately exercisable and will remain exercisable until exercised in full. After deducting expenses related to the private placement of $0.6 million, the net proceeds to the Company from the private placement were $124.4 million. The private placement closed on May 29, 2025. On June 11, 2025, the Company filed a Form S-3 registering the shares sold in the private placement. The Form S-3 was declared effective by the Securities and Exchange Commission (SEC) on June 20, 2025.</w:t>
      </w:r>
    </w:p>
    <w:p>
      <w:pPr>
        <w:sectPr>
          <w:pgSz w:w="11880" w:h="15480" w:orient="portrait"/>
          <w:cols w:equalWidth="0" w:num="1">
            <w:col w:w="10800"/>
          </w:cols>
          <w:pgMar w:left="540" w:top="746" w:right="540" w:bottom="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113</w:t>
      </w:r>
    </w:p>
    <w:p>
      <w:pPr>
        <w:sectPr>
          <w:pgSz w:w="11880" w:h="15480" w:orient="portrait"/>
          <w:cols w:equalWidth="0" w:num="1">
            <w:col w:w="10800"/>
          </w:cols>
          <w:pgMar w:left="540" w:top="746" w:right="540" w:bottom="0" w:gutter="0" w:footer="0" w:header="0"/>
          <w:type w:val="continuous"/>
        </w:sectPr>
      </w:pPr>
    </w:p>
    <w:bookmarkStart w:id="119" w:name="page120"/>
    <w:bookmarkEnd w:id="119"/>
    <w:p>
      <w:pPr>
        <w:ind w:right="140" w:firstLine="720"/>
        <w:spacing w:after="0" w:line="246" w:lineRule="auto"/>
        <w:rPr>
          <w:sz w:val="20"/>
          <w:szCs w:val="20"/>
          <w:color w:val="auto"/>
        </w:rPr>
      </w:pPr>
      <w:r>
        <w:rPr>
          <w:rFonts w:ascii="Times New Roman" w:cs="Times New Roman" w:eastAsia="Times New Roman" w:hAnsi="Times New Roman"/>
          <w:sz w:val="20"/>
          <w:szCs w:val="20"/>
          <w:color w:val="231F20"/>
        </w:rPr>
        <w:t>On January 20, 2024, the Company entered into a securities purchase agreement with a select group of institutional and accredited healthcare specialist investors for the private placement of 12,500,000 shares of common stock at a price of $10.00 per share, resulting in gross proceeds of $125.0 million. The purchase price per share represents a premium to ORIC's 5-day trailing average stock price at the time of sale. After deducting expenses related to the private placement of $0.2 million, the net proceeds to the Company from the private placement were $ 124.8 million. The private placement closed on January 23, 2024. On January 26, 2024, the Company filed a Form S-3 registering the shares sold in the private placement. The Form S-3 was declared effective by the SEC on February 2, 2024.</w:t>
      </w:r>
    </w:p>
    <w:p>
      <w:pPr>
        <w:spacing w:after="0" w:line="316" w:lineRule="exact"/>
        <w:rPr>
          <w:sz w:val="20"/>
          <w:szCs w:val="20"/>
          <w:color w:val="auto"/>
        </w:rPr>
      </w:pPr>
    </w:p>
    <w:p>
      <w:pPr>
        <w:ind w:left="720" w:right="4640" w:hanging="720"/>
        <w:spacing w:after="0" w:line="367" w:lineRule="auto"/>
        <w:tabs>
          <w:tab w:leader="none" w:pos="200" w:val="left"/>
        </w:tabs>
        <w:numPr>
          <w:ilvl w:val="0"/>
          <w:numId w:val="6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u w:val="single" w:color="auto"/>
          <w:color w:val="231F20"/>
        </w:rPr>
        <w:t xml:space="preserve">Basis of Presentation and Summary of Significant Accounting Policies </w:t>
      </w:r>
      <w:r>
        <w:rPr>
          <w:rFonts w:ascii="Times New Roman" w:cs="Times New Roman" w:eastAsia="Times New Roman" w:hAnsi="Times New Roman"/>
          <w:sz w:val="20"/>
          <w:szCs w:val="20"/>
          <w:b w:val="1"/>
          <w:bCs w:val="1"/>
          <w:i w:val="1"/>
          <w:iCs w:val="1"/>
          <w:color w:val="231F20"/>
        </w:rPr>
        <w:t>Basis of Presentation</w:t>
      </w:r>
    </w:p>
    <w:p>
      <w:pPr>
        <w:spacing w:after="0" w:line="1"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The accompanying financial statements have been prepared in accordance with accounting principles generally accepted in the United States (GAAP). The accompanying financial statements include all known adjustments necessary for a fair presentation of the results as required by GAAP. These adjustments consist primarily of normal recurring accruals and estimates that impact the carrying value of assets and liabilities. Operating results for the year ended December 31, 2025, are not necessarily indicative of future results.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Use of Estimates</w:t>
      </w:r>
    </w:p>
    <w:p>
      <w:pPr>
        <w:spacing w:after="0" w:line="12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The preparation of the Company’s financial statements in conformity with GAAP requires management to make estimates and assumptions that impact the reported amounts of assets, liabilities, expenses, and the disclosure of contingent assets and liabilities in the Company’s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Segment Reporting</w:t>
      </w:r>
    </w:p>
    <w:p>
      <w:pPr>
        <w:spacing w:after="0" w:line="120"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231F20"/>
        </w:rPr>
        <w:t>The Company’s chief operating decision maker (CODM) is the Company’s Chief Executive Officer. The CODM is assisted in their responsibilities of making decisions regarding resource allocation and performance assessment by the leadership team, consisting of executives, an executive vice president, a senior vice president and a vice president.</w:t>
      </w:r>
    </w:p>
    <w:p>
      <w:pPr>
        <w:spacing w:after="0" w:line="188"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231F20"/>
        </w:rPr>
        <w:t>The Company views its operations and manages its business as one operating segment, focused on the discovery and development of innovative therapies designed to counter the resistance mechanisms in cancer. Segment profit or loss is measured as the Company’s net loss as reported on the Company’s Statement of Operations and Comprehensive Loss. The Company monitors its cash and cash equivalents, short-term investments and long-term investments as reported on the Company’s Balance Sheets to determine funding for its research and development.</w:t>
      </w:r>
    </w:p>
    <w:p>
      <w:pPr>
        <w:spacing w:after="0" w:line="19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As the Company does not currently generate revenue, the CODM assesses Company performance through the achievement of pre-clinical and clinical research goals. In addition to the Company’s Statement of Operations and Comprehensive Loss, the CODM is regularly provided with budgeted and forecasted expense information which is used to determine the Company’s liquidity needs and cash allocation.</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Concentration of Credit Risk</w:t>
      </w:r>
    </w:p>
    <w:p>
      <w:pPr>
        <w:spacing w:after="0" w:line="120"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Financial instruments, which potentially subject the Company to concentration of credit risk, consist primarily of cash, cash equivalents and investments. The Company maintains deposits in federally insured financial institutions in excess of federally insured limits. The Company is exposed to credit risk in the event of default by the financial institutions holding its cash, cash equivalents and investments that are recorded on its balance sheets. The Company mitigates its risk by investing in high-grade instruments and limiting the concentration in any one issuer, which limits its exposure.</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Cash, Cash Equivalents and Restricted Cash</w:t>
      </w:r>
    </w:p>
    <w:p>
      <w:pPr>
        <w:spacing w:after="0" w:line="120" w:lineRule="exact"/>
        <w:rPr>
          <w:sz w:val="20"/>
          <w:szCs w:val="20"/>
          <w:color w:val="auto"/>
        </w:rPr>
      </w:pPr>
    </w:p>
    <w:p>
      <w:pPr>
        <w:jc w:val="both"/>
        <w:ind w:right="580" w:firstLine="720"/>
        <w:spacing w:after="0" w:line="258" w:lineRule="auto"/>
        <w:rPr>
          <w:sz w:val="20"/>
          <w:szCs w:val="20"/>
          <w:color w:val="auto"/>
        </w:rPr>
      </w:pPr>
      <w:r>
        <w:rPr>
          <w:rFonts w:ascii="Times New Roman" w:cs="Times New Roman" w:eastAsia="Times New Roman" w:hAnsi="Times New Roman"/>
          <w:sz w:val="20"/>
          <w:szCs w:val="20"/>
          <w:color w:val="231F20"/>
        </w:rPr>
        <w:t>The Company considers all highly liquid investments with maturities of 90 days or less at the time of purchase that are readily convertible into cash as cash equivalents. These investments may include money market funds, securities issued by U.S. Government agencies, corporate debt securities and commercial paper.</w:t>
      </w:r>
    </w:p>
    <w:p>
      <w:pPr>
        <w:spacing w:after="0" w:line="188"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231F20"/>
        </w:rPr>
        <w:t>Cash that is restricted and not available for general operations is considered restricted cash. The Company's restricted cash is in connection to a property lease and restrictions will be removed at the respective lease expiration.</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114</w:t>
      </w:r>
    </w:p>
    <w:p>
      <w:pPr>
        <w:sectPr>
          <w:pgSz w:w="11880" w:h="15480" w:orient="portrait"/>
          <w:cols w:equalWidth="0" w:num="1">
            <w:col w:w="10800"/>
          </w:cols>
          <w:pgMar w:left="540" w:top="750" w:right="540" w:bottom="0" w:gutter="0" w:footer="0" w:header="0"/>
          <w:type w:val="continuous"/>
        </w:sectPr>
      </w:pPr>
    </w:p>
    <w:bookmarkStart w:id="120" w:name="page121"/>
    <w:bookmarkEnd w:id="120"/>
    <w:p>
      <w:pPr>
        <w:ind w:right="60" w:firstLine="720"/>
        <w:spacing w:after="0" w:line="277" w:lineRule="auto"/>
        <w:rPr>
          <w:sz w:val="20"/>
          <w:szCs w:val="20"/>
          <w:color w:val="auto"/>
        </w:rPr>
      </w:pPr>
      <w:r>
        <w:rPr>
          <w:rFonts w:ascii="Times New Roman" w:cs="Times New Roman" w:eastAsia="Times New Roman" w:hAnsi="Times New Roman"/>
          <w:sz w:val="20"/>
          <w:szCs w:val="20"/>
          <w:color w:val="231F20"/>
        </w:rPr>
        <w:t>The following table provides a reconciliation of cash, cash equivalents and restricted cash reported in the balance sheet to the total of the amount presented in the statement of cash flows,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60" w:type="dxa"/>
            <w:vAlign w:val="bottom"/>
          </w:tcPr>
          <w:p>
            <w:pPr>
              <w:spacing w:after="0"/>
              <w:rPr>
                <w:sz w:val="21"/>
                <w:szCs w:val="21"/>
                <w:color w:val="auto"/>
              </w:rPr>
            </w:pPr>
          </w:p>
        </w:tc>
        <w:tc>
          <w:tcPr>
            <w:tcW w:w="980" w:type="dxa"/>
            <w:vAlign w:val="bottom"/>
            <w:tcBorders>
              <w:bottom w:val="single" w:sz="8" w:color="231F20"/>
            </w:tcBorders>
          </w:tcPr>
          <w:p>
            <w:pPr>
              <w:spacing w:after="0"/>
              <w:rPr>
                <w:sz w:val="21"/>
                <w:szCs w:val="21"/>
                <w:color w:val="auto"/>
              </w:rPr>
            </w:pPr>
          </w:p>
        </w:tc>
        <w:tc>
          <w:tcPr>
            <w:tcW w:w="134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231F20"/>
              </w:rPr>
              <w:t>December 31,</w:t>
            </w:r>
          </w:p>
        </w:tc>
        <w:tc>
          <w:tcPr>
            <w:tcW w:w="106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r>
      <w:tr>
        <w:trPr>
          <w:trHeight w:val="253"/>
        </w:trPr>
        <w:tc>
          <w:tcPr>
            <w:tcW w:w="7360" w:type="dxa"/>
            <w:vAlign w:val="bottom"/>
            <w:tcBorders>
              <w:bottom w:val="single" w:sz="8" w:color="EBECEC"/>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580" w:type="dxa"/>
            <w:vAlign w:val="bottom"/>
            <w:tcBorders>
              <w:bottom w:val="single" w:sz="8" w:color="231F20"/>
            </w:tcBorders>
          </w:tcPr>
          <w:p>
            <w:pPr>
              <w:spacing w:after="0"/>
              <w:rPr>
                <w:sz w:val="22"/>
                <w:szCs w:val="22"/>
                <w:color w:val="auto"/>
              </w:rPr>
            </w:pPr>
          </w:p>
        </w:tc>
        <w:tc>
          <w:tcPr>
            <w:tcW w:w="140" w:type="dxa"/>
            <w:vAlign w:val="bottom"/>
            <w:tcBorders>
              <w:bottom w:val="single" w:sz="8" w:color="EBECEC"/>
            </w:tcBorders>
          </w:tcPr>
          <w:p>
            <w:pPr>
              <w:spacing w:after="0"/>
              <w:rPr>
                <w:sz w:val="22"/>
                <w:szCs w:val="22"/>
                <w:color w:val="auto"/>
              </w:rPr>
            </w:pPr>
          </w:p>
        </w:tc>
        <w:tc>
          <w:tcPr>
            <w:tcW w:w="120" w:type="dxa"/>
            <w:vAlign w:val="bottom"/>
            <w:tcBorders>
              <w:bottom w:val="single" w:sz="8" w:color="EBECEC"/>
            </w:tcBorders>
          </w:tcPr>
          <w:p>
            <w:pPr>
              <w:spacing w:after="0"/>
              <w:rPr>
                <w:sz w:val="22"/>
                <w:szCs w:val="22"/>
                <w:color w:val="auto"/>
              </w:rPr>
            </w:pPr>
          </w:p>
        </w:tc>
        <w:tc>
          <w:tcPr>
            <w:tcW w:w="5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50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Borders>
              <w:bottom w:val="single" w:sz="8" w:color="EBECEC"/>
            </w:tcBorders>
          </w:tcPr>
          <w:p>
            <w:pPr>
              <w:spacing w:after="0"/>
              <w:rPr>
                <w:sz w:val="22"/>
                <w:szCs w:val="22"/>
                <w:color w:val="auto"/>
              </w:rPr>
            </w:pPr>
          </w:p>
        </w:tc>
      </w:tr>
      <w:tr>
        <w:trPr>
          <w:trHeight w:val="225"/>
        </w:trPr>
        <w:tc>
          <w:tcPr>
            <w:tcW w:w="736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Cash and cash equivalents</w:t>
            </w:r>
          </w:p>
        </w:tc>
        <w:tc>
          <w:tcPr>
            <w:tcW w:w="980" w:type="dxa"/>
            <w:vAlign w:val="bottom"/>
            <w:shd w:val="clear" w:color="auto" w:fill="EBECEC"/>
          </w:tcPr>
          <w:p>
            <w:pPr>
              <w:jc w:val="right"/>
              <w:ind w:right="783"/>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45,669</w:t>
            </w:r>
          </w:p>
        </w:tc>
        <w:tc>
          <w:tcPr>
            <w:tcW w:w="140" w:type="dxa"/>
            <w:vAlign w:val="bottom"/>
            <w:shd w:val="clear" w:color="auto" w:fill="EBECEC"/>
          </w:tcPr>
          <w:p>
            <w:pPr>
              <w:spacing w:after="0"/>
              <w:rPr>
                <w:sz w:val="19"/>
                <w:szCs w:val="19"/>
                <w:color w:val="auto"/>
              </w:rPr>
            </w:pPr>
          </w:p>
        </w:tc>
        <w:tc>
          <w:tcPr>
            <w:tcW w:w="120" w:type="dxa"/>
            <w:vAlign w:val="bottom"/>
            <w:shd w:val="clear" w:color="auto" w:fill="EBECEC"/>
          </w:tcPr>
          <w:p>
            <w:pPr>
              <w:spacing w:after="0"/>
              <w:rPr>
                <w:sz w:val="19"/>
                <w:szCs w:val="19"/>
                <w:color w:val="auto"/>
              </w:rPr>
            </w:pPr>
          </w:p>
        </w:tc>
        <w:tc>
          <w:tcPr>
            <w:tcW w:w="500" w:type="dxa"/>
            <w:vAlign w:val="bottom"/>
            <w:shd w:val="clear" w:color="auto" w:fill="EBECEC"/>
          </w:tcPr>
          <w:p>
            <w:pPr>
              <w:jc w:val="right"/>
              <w:ind w:right="3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59,406</w:t>
            </w:r>
          </w:p>
        </w:tc>
        <w:tc>
          <w:tcPr>
            <w:tcW w:w="60" w:type="dxa"/>
            <w:vAlign w:val="bottom"/>
            <w:shd w:val="clear" w:color="auto" w:fill="EBECEC"/>
          </w:tcPr>
          <w:p>
            <w:pPr>
              <w:spacing w:after="0"/>
              <w:rPr>
                <w:sz w:val="19"/>
                <w:szCs w:val="19"/>
                <w:color w:val="auto"/>
              </w:rPr>
            </w:pPr>
          </w:p>
        </w:tc>
      </w:tr>
      <w:tr>
        <w:trPr>
          <w:trHeight w:val="230"/>
        </w:trPr>
        <w:tc>
          <w:tcPr>
            <w:tcW w:w="736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Restricted cash included in other assets</w:t>
            </w:r>
          </w:p>
        </w:tc>
        <w:tc>
          <w:tcPr>
            <w:tcW w:w="980" w:type="dxa"/>
            <w:vAlign w:val="bottom"/>
            <w:tcBorders>
              <w:bottom w:val="single" w:sz="8" w:color="231F20"/>
            </w:tcBorders>
          </w:tcPr>
          <w:p>
            <w:pPr>
              <w:spacing w:after="0"/>
              <w:rPr>
                <w:sz w:val="20"/>
                <w:szCs w:val="20"/>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491</w:t>
            </w:r>
          </w:p>
        </w:tc>
        <w:tc>
          <w:tcPr>
            <w:tcW w:w="140" w:type="dxa"/>
            <w:vAlign w:val="bottom"/>
            <w:tcBorders>
              <w:bottom w:val="single" w:sz="8" w:color="EBECEC"/>
            </w:tcBorders>
          </w:tcPr>
          <w:p>
            <w:pPr>
              <w:spacing w:after="0"/>
              <w:rPr>
                <w:sz w:val="20"/>
                <w:szCs w:val="20"/>
                <w:color w:val="auto"/>
              </w:rPr>
            </w:pPr>
          </w:p>
        </w:tc>
        <w:tc>
          <w:tcPr>
            <w:tcW w:w="120" w:type="dxa"/>
            <w:vAlign w:val="bottom"/>
            <w:tcBorders>
              <w:bottom w:val="single" w:sz="8" w:color="EBECEC"/>
            </w:tcBorders>
          </w:tcPr>
          <w:p>
            <w:pPr>
              <w:spacing w:after="0"/>
              <w:rPr>
                <w:sz w:val="20"/>
                <w:szCs w:val="20"/>
                <w:color w:val="auto"/>
              </w:rPr>
            </w:pPr>
          </w:p>
        </w:tc>
        <w:tc>
          <w:tcPr>
            <w:tcW w:w="50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491</w:t>
            </w:r>
          </w:p>
        </w:tc>
        <w:tc>
          <w:tcPr>
            <w:tcW w:w="60" w:type="dxa"/>
            <w:vAlign w:val="bottom"/>
            <w:tcBorders>
              <w:bottom w:val="single" w:sz="8" w:color="EBECEC"/>
            </w:tcBorders>
          </w:tcPr>
          <w:p>
            <w:pPr>
              <w:spacing w:after="0"/>
              <w:rPr>
                <w:sz w:val="20"/>
                <w:szCs w:val="20"/>
                <w:color w:val="auto"/>
              </w:rPr>
            </w:pPr>
          </w:p>
        </w:tc>
      </w:tr>
      <w:tr>
        <w:trPr>
          <w:trHeight w:val="225"/>
        </w:trPr>
        <w:tc>
          <w:tcPr>
            <w:tcW w:w="7360" w:type="dxa"/>
            <w:vAlign w:val="bottom"/>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Total cash, cash equivalents and restricted cash</w:t>
            </w:r>
          </w:p>
        </w:tc>
        <w:tc>
          <w:tcPr>
            <w:tcW w:w="980" w:type="dxa"/>
            <w:vAlign w:val="bottom"/>
            <w:tcBorders>
              <w:bottom w:val="single" w:sz="8" w:color="231F20"/>
            </w:tcBorders>
            <w:shd w:val="clear" w:color="auto" w:fill="EBECEC"/>
          </w:tcPr>
          <w:p>
            <w:pPr>
              <w:jc w:val="right"/>
              <w:ind w:right="763"/>
              <w:spacing w:after="0" w:line="225" w:lineRule="exact"/>
              <w:rPr>
                <w:sz w:val="20"/>
                <w:szCs w:val="20"/>
                <w:color w:val="auto"/>
              </w:rPr>
            </w:pPr>
            <w:r>
              <w:rPr>
                <w:rFonts w:ascii="Times New Roman" w:cs="Times New Roman" w:eastAsia="Times New Roman" w:hAnsi="Times New Roman"/>
                <w:sz w:val="20"/>
                <w:szCs w:val="20"/>
                <w:color w:val="231F20"/>
                <w:w w:val="99"/>
              </w:rPr>
              <w:t>$</w:t>
            </w:r>
          </w:p>
        </w:tc>
        <w:tc>
          <w:tcPr>
            <w:tcW w:w="58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46,160</w:t>
            </w:r>
          </w:p>
        </w:tc>
        <w:tc>
          <w:tcPr>
            <w:tcW w:w="140" w:type="dxa"/>
            <w:vAlign w:val="bottom"/>
            <w:shd w:val="clear" w:color="auto" w:fill="EBECEC"/>
          </w:tcPr>
          <w:p>
            <w:pPr>
              <w:spacing w:after="0"/>
              <w:rPr>
                <w:sz w:val="19"/>
                <w:szCs w:val="19"/>
                <w:color w:val="auto"/>
              </w:rPr>
            </w:pPr>
          </w:p>
        </w:tc>
        <w:tc>
          <w:tcPr>
            <w:tcW w:w="120" w:type="dxa"/>
            <w:vAlign w:val="bottom"/>
            <w:shd w:val="clear" w:color="auto" w:fill="EBECEC"/>
          </w:tcPr>
          <w:p>
            <w:pPr>
              <w:spacing w:after="0"/>
              <w:rPr>
                <w:sz w:val="19"/>
                <w:szCs w:val="19"/>
                <w:color w:val="auto"/>
              </w:rPr>
            </w:pPr>
          </w:p>
        </w:tc>
        <w:tc>
          <w:tcPr>
            <w:tcW w:w="500" w:type="dxa"/>
            <w:vAlign w:val="bottom"/>
            <w:tcBorders>
              <w:bottom w:val="single" w:sz="8" w:color="231F20"/>
            </w:tcBorders>
            <w:shd w:val="clear" w:color="auto" w:fill="EBECEC"/>
          </w:tcPr>
          <w:p>
            <w:pPr>
              <w:jc w:val="right"/>
              <w:ind w:right="3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59,897</w:t>
            </w:r>
          </w:p>
        </w:tc>
        <w:tc>
          <w:tcPr>
            <w:tcW w:w="60" w:type="dxa"/>
            <w:vAlign w:val="bottom"/>
            <w:shd w:val="clear" w:color="auto" w:fill="EBECEC"/>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Investments</w:t>
      </w:r>
    </w:p>
    <w:p>
      <w:pPr>
        <w:spacing w:after="0" w:line="120"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231F20"/>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The Company reviews its portfolio of available-for-sale debt securities, using both quantitative and qualitative factors, to determine if declines in fair value below cost have resulted from a credit-related loss or other factors. If the decline in fair value is due to credit- related factors, a loss is recognized in statements of operations, whereas if the decline in fair value is not due to credit-related factors, the loss is recorded in other comprehensive income (loss).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w:t>
      </w:r>
    </w:p>
    <w:p>
      <w:pPr>
        <w:spacing w:after="0" w:line="120"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231F20"/>
        </w:rPr>
        <w:t>Property and equipment, which consist of lab equipment, leasehold improvements, computer hardware and software, and furniture and fixtures, are stated at historical cost less accumulated depreciation. Depreciation is recognized on a straight-line basis over the estimated useful lives of the related assets, which are generally three to seven years. Leasehold improvements are amortized using the straight-line method over the shorter of the lease term or the estimate useful life of the asset.</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Property and Equipment</w:t>
      </w:r>
    </w:p>
    <w:p>
      <w:pPr>
        <w:spacing w:after="0" w:line="120"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231F20"/>
        </w:rPr>
        <w:t>The Company accounts for the impairment of long-lived assets by reviewing these assets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undiscounted-cash-flow basis, an impairment is recognized to the extent that the carrying value exceeds its fair value. The Company did not recognize impairment losses for the years ended December 31, 2025 and 2024.</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120"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231F20"/>
        </w:rPr>
        <w:t>The Company determines if an arrangement is or contains a lease at inception. For leases with a term greater than one year, lease right-of-use assets and lease liabilities are recognized at the lease commencement date based on the present value of lease payments over the lease term. In determining the net present value of lease payments, the Company uses its incremental borrowing rate which represents an estimated rate of interest that the Company would have to pay to borrow equivalent funds on a collateralized basis at the lease commencement date. Leases are classified as finance or operating, with classification affecting the pattern and classification of expense recognition in the statement of operations.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 and Accrued Research and Development Expenses</w:t>
      </w:r>
    </w:p>
    <w:p>
      <w:pPr>
        <w:spacing w:after="0" w:line="120"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231F20"/>
        </w:rPr>
        <w:t>The Company is required to estimate its expenses resulting from its obligations under contracts with vendors, consultants, contract research organizations (CRO), and contract manufacturing organizations (CMO) in connection with conducting research and development activities. The financial terms of these contracts vary from contract to contract and may result in payment flows that do not match the periods over which materials or services are provided under such contracts.</w:t>
      </w:r>
    </w:p>
    <w:p>
      <w:pPr>
        <w:spacing w:after="0" w:line="194"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Research and development costs are expensed in the period in which they are incurred. External costs consist primarily of payments to outside consultants, third-party CROs, CMOs, clinical trial sites and central laboratories in connection with the Company’s discovery and preclinical activities, process development, clinical manufacturing and clinical development activities. External expenses are recognized based on an evaluation of the progress to completion of specific tasks using information provided to the Company by its service providers or its estimate of the level of service that has been performed at each reporting date. The Company tracks external costs by program, clinical or preclinical. Internal costs consist primarily of employee-related costs,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115</w:t>
      </w:r>
    </w:p>
    <w:p>
      <w:pPr>
        <w:sectPr>
          <w:pgSz w:w="11880" w:h="15480" w:orient="portrait"/>
          <w:cols w:equalWidth="0" w:num="1">
            <w:col w:w="10800"/>
          </w:cols>
          <w:pgMar w:left="540" w:top="750" w:right="540" w:bottom="0" w:gutter="0" w:footer="0" w:header="0"/>
          <w:type w:val="continuous"/>
        </w:sectPr>
      </w:pPr>
    </w:p>
    <w:bookmarkStart w:id="121" w:name="page122"/>
    <w:bookmarkEnd w:id="121"/>
    <w:p>
      <w:pPr>
        <w:ind w:right="20"/>
        <w:spacing w:after="0" w:line="277" w:lineRule="auto"/>
        <w:rPr>
          <w:sz w:val="20"/>
          <w:szCs w:val="20"/>
          <w:color w:val="auto"/>
        </w:rPr>
      </w:pPr>
      <w:r>
        <w:rPr>
          <w:rFonts w:ascii="Times New Roman" w:cs="Times New Roman" w:eastAsia="Times New Roman" w:hAnsi="Times New Roman"/>
          <w:sz w:val="20"/>
          <w:szCs w:val="20"/>
          <w:color w:val="231F20"/>
        </w:rPr>
        <w:t>laboratory supplies, facilities, depreciation and costs related to compliance with regulatory requirements. The Company does not track internal costs by program because these costs are deployed across multiple programs and, as such, are not separately classified.</w:t>
      </w:r>
    </w:p>
    <w:p>
      <w:pPr>
        <w:spacing w:after="0" w:line="169"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The Company makes estimates of accrued expenses as of each balance sheet date based on facts and circumstances known at that time. The Company periodically confirms the accuracy of its estimates with the service providers and makes adjustments if necessary. The significant estimates in its accrued research and development expenses include the costs incurred for services performed by vendors in connection with research and development activities for which the Company has not yet been invoiced.</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20"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97"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w:t>
      </w:r>
    </w:p>
    <w:p>
      <w:pPr>
        <w:spacing w:after="0" w:line="200"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231F20"/>
        </w:rPr>
        <w:t>As of December 31, 2025 and 2024, the Company maintained valuation allowances against its deferred tax assets as the Company concluded it had not met the “more likely than not” to be realized threshold. Changes in the valuation allowance when they are recognized in the provision for income taxes would result in a change in the effective tax rate.</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120"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231F20"/>
        </w:rPr>
        <w:t>Stock-based compensation expense represents the grant date fair value of employee, officer, director and non-employee stock option and restricted stock unit grants, estimated in accordance with the applicable accounting guidance and recognized over the vesting period, which approximates the requisite service period of the awards. The Company recognizes forfeitures as they occur.</w:t>
      </w:r>
    </w:p>
    <w:p>
      <w:pPr>
        <w:spacing w:after="0" w:line="188"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231F20"/>
        </w:rPr>
        <w:t>The fair value of stock options is estimated using a Black-Scholes Merton valuation model on the date of grant. This method requires certain assumptions be used as inputs, such as a risk-free interest rate, expected volatility of the Company’s common stock and expected term of the option before exercise. The risk-free interest rate is based on U.S. Treasury instruments with maturities similar to the expected term. The expected volatility is computed using historical volatility for a period equal to the expected term. Given the limited period of time the Company's stock has been traded, expected volatility is based on the Company's historical volatility and the historical volatility of a group of similar companies that are publicly traded for any stock options with an expected term that is longer than the Company's publicly traded history. The expected term represents the length of time the stock options are expected to be outstanding. Because the Company does not have sufficient exercise behavior, it determines the expected term assumption using the simplified method, which is an average of the contractual term of the option and its vesting period. Options granted have a maximum contractual term of ten years.</w:t>
      </w:r>
    </w:p>
    <w:p>
      <w:pPr>
        <w:spacing w:after="0" w:line="82" w:lineRule="exact"/>
        <w:rPr>
          <w:sz w:val="20"/>
          <w:szCs w:val="20"/>
          <w:color w:val="auto"/>
        </w:rPr>
      </w:pPr>
    </w:p>
    <w:p>
      <w:pPr>
        <w:ind w:right="320" w:firstLine="720"/>
        <w:spacing w:after="0" w:line="277" w:lineRule="auto"/>
        <w:rPr>
          <w:sz w:val="20"/>
          <w:szCs w:val="20"/>
          <w:color w:val="auto"/>
        </w:rPr>
      </w:pPr>
      <w:r>
        <w:rPr>
          <w:rFonts w:ascii="Times New Roman" w:cs="Times New Roman" w:eastAsia="Times New Roman" w:hAnsi="Times New Roman"/>
          <w:sz w:val="20"/>
          <w:szCs w:val="20"/>
          <w:color w:val="231F20"/>
        </w:rPr>
        <w:t>The fair value of restricted stock units is equal to the closing price of the Company's stock on the date of grant. Restricted stock units generally vest over a three-year period.</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License Fees</w:t>
      </w:r>
    </w:p>
    <w:p>
      <w:pPr>
        <w:spacing w:after="0" w:line="120" w:lineRule="exact"/>
        <w:rPr>
          <w:sz w:val="20"/>
          <w:szCs w:val="20"/>
          <w:color w:val="auto"/>
        </w:rPr>
      </w:pPr>
    </w:p>
    <w:p>
      <w:pPr>
        <w:ind w:right="440" w:firstLine="720"/>
        <w:spacing w:after="0" w:line="258" w:lineRule="auto"/>
        <w:rPr>
          <w:sz w:val="20"/>
          <w:szCs w:val="20"/>
          <w:color w:val="auto"/>
        </w:rPr>
      </w:pPr>
      <w:r>
        <w:rPr>
          <w:rFonts w:ascii="Times New Roman" w:cs="Times New Roman" w:eastAsia="Times New Roman" w:hAnsi="Times New Roman"/>
          <w:sz w:val="20"/>
          <w:szCs w:val="20"/>
          <w:color w:val="231F20"/>
        </w:rPr>
        <w:t>Acquisitions of technology licenses are charged to acquired in-process research and development expense or capitalized based upon the asset achieving technological feasibility in accordance with management’s assessment regarding the ultimate recoverability of the amounts paid and the potential for alternative future use.</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Deferred Offering Costs</w:t>
      </w:r>
    </w:p>
    <w:p>
      <w:pPr>
        <w:spacing w:after="0" w:line="12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The Company capitalizes costs that are directly associated with equity financings until such financings are consummated at which time such costs are recorded against the gross proceeds of the offering. Should an in-process equity financing be abandoned, the deferred offering costs will be expensed immediately as a charge to operating expenses in the statements of operations and comprehensive loss.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116</w:t>
      </w:r>
    </w:p>
    <w:p>
      <w:pPr>
        <w:sectPr>
          <w:pgSz w:w="11880" w:h="15480" w:orient="portrait"/>
          <w:cols w:equalWidth="0" w:num="1">
            <w:col w:w="10780"/>
          </w:cols>
          <w:pgMar w:left="540" w:top="750" w:right="560" w:bottom="0" w:gutter="0" w:footer="0" w:header="0"/>
          <w:type w:val="continuous"/>
        </w:sectPr>
      </w:pPr>
    </w:p>
    <w:bookmarkStart w:id="122" w:name="page123"/>
    <w:bookmarkEnd w:id="122"/>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Other Comprehensive Gain (Loss)</w:t>
      </w:r>
    </w:p>
    <w:p>
      <w:pPr>
        <w:spacing w:after="0" w:line="120"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231F20"/>
        </w:rPr>
        <w:t>Other comprehensive gain (loss) is defined as the change in equity during a period from transactions and other events and circumstances from non-owner sources, including unrealized gains and losses on investments and foreign currency gains and losses. The unrealized gains (losses) on available for sale investments represent the only component of other comprehensive loss that is excluded from the reported net loss.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Net Loss Per Share</w:t>
      </w:r>
    </w:p>
    <w:p>
      <w:pPr>
        <w:spacing w:after="0" w:line="120"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231F20"/>
        </w:rPr>
        <w:t>Basic net loss per common share is calculated by dividing the net loss by the weighted-average number of common shares outstanding, including pre-funded warrants issued, during the period, without consideration of potentially dilutive securities. Diluted net loss per share is computed by dividing the net loss by the weighted-average number of common shares, including pre-funded warrants issued, and potentially dilutive securities outstanding for the period. As the Company has reported a net loss for all periods presented, diluted net loss per common share is the same as basic net loss per common share for those periods.</w:t>
      </w:r>
    </w:p>
    <w:p>
      <w:pPr>
        <w:spacing w:after="0" w:line="77"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the computation of the basic and diluted net loss per share (in thousands, except share and per share amounts).</w:t>
      </w:r>
    </w:p>
    <w:p>
      <w:pPr>
        <w:spacing w:after="0" w:line="22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231F20"/>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3854450</wp:posOffset>
                </wp:positionH>
                <wp:positionV relativeFrom="paragraph">
                  <wp:posOffset>26670</wp:posOffset>
                </wp:positionV>
                <wp:extent cx="204660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6605" cy="4763"/>
                        </a:xfrm>
                        <a:prstGeom prst="line">
                          <a:avLst/>
                        </a:prstGeom>
                        <a:solidFill>
                          <a:srgbClr val="FFFFFF"/>
                        </a:solidFill>
                        <a:ln w="28575">
                          <a:solidFill>
                            <a:srgbClr val="231F2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5pt,2.1pt" to="464.65pt,2.1pt" o:allowincell="f" strokecolor="#231F20" strokeweight="2.25pt"/>
            </w:pict>
          </mc:Fallback>
        </mc:AlternateContent>
      </w:r>
    </w:p>
    <w:p>
      <w:pPr>
        <w:spacing w:after="0" w:line="87" w:lineRule="exact"/>
        <w:rPr>
          <w:sz w:val="20"/>
          <w:szCs w:val="20"/>
          <w:color w:val="auto"/>
        </w:rPr>
      </w:pPr>
    </w:p>
    <w:tbl>
      <w:tblPr>
        <w:tblLayout w:type="fixed"/>
        <w:tblInd w:w="1080" w:type="dxa"/>
        <w:tblCellMar>
          <w:top w:w="0" w:type="dxa"/>
          <w:left w:w="0" w:type="dxa"/>
          <w:bottom w:w="0" w:type="dxa"/>
          <w:right w:w="0" w:type="dxa"/>
        </w:tblCellMar>
      </w:tblPr>
      <w:tr>
        <w:trPr>
          <w:trHeight w:val="227"/>
        </w:trPr>
        <w:tc>
          <w:tcPr>
            <w:tcW w:w="4860" w:type="dxa"/>
            <w:vAlign w:val="bottom"/>
            <w:tcBorders>
              <w:bottom w:val="single" w:sz="8" w:color="EBECEC"/>
            </w:tcBorders>
          </w:tcPr>
          <w:p>
            <w:pPr>
              <w:spacing w:after="0"/>
              <w:rPr>
                <w:sz w:val="19"/>
                <w:szCs w:val="19"/>
                <w:color w:val="auto"/>
              </w:rPr>
            </w:pPr>
          </w:p>
        </w:tc>
        <w:tc>
          <w:tcPr>
            <w:tcW w:w="140" w:type="dxa"/>
            <w:vAlign w:val="bottom"/>
            <w:tcBorders>
              <w:bottom w:val="single" w:sz="8" w:color="EBECEC"/>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46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40" w:type="dxa"/>
            <w:vAlign w:val="bottom"/>
            <w:tcBorders>
              <w:bottom w:val="single" w:sz="8" w:color="EBECEC"/>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48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100" w:type="dxa"/>
            <w:vAlign w:val="bottom"/>
            <w:tcBorders>
              <w:bottom w:val="single" w:sz="8" w:color="EBECEC"/>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8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b w:val="1"/>
                <w:bCs w:val="1"/>
                <w:color w:val="231F20"/>
              </w:rPr>
              <w:t>Numerator</w:t>
            </w:r>
          </w:p>
        </w:tc>
        <w:tc>
          <w:tcPr>
            <w:tcW w:w="140" w:type="dxa"/>
            <w:vAlign w:val="bottom"/>
            <w:shd w:val="clear" w:color="auto" w:fill="EBECEC"/>
          </w:tcPr>
          <w:p>
            <w:pPr>
              <w:spacing w:after="0"/>
              <w:rPr>
                <w:sz w:val="22"/>
                <w:szCs w:val="22"/>
                <w:color w:val="auto"/>
              </w:rPr>
            </w:pPr>
          </w:p>
        </w:tc>
        <w:tc>
          <w:tcPr>
            <w:tcW w:w="320" w:type="dxa"/>
            <w:vAlign w:val="bottom"/>
            <w:shd w:val="clear" w:color="auto" w:fill="EBECEC"/>
          </w:tcPr>
          <w:p>
            <w:pPr>
              <w:spacing w:after="0"/>
              <w:rPr>
                <w:sz w:val="22"/>
                <w:szCs w:val="22"/>
                <w:color w:val="auto"/>
              </w:rPr>
            </w:pPr>
          </w:p>
        </w:tc>
        <w:tc>
          <w:tcPr>
            <w:tcW w:w="1160" w:type="dxa"/>
            <w:vAlign w:val="bottom"/>
            <w:shd w:val="clear" w:color="auto" w:fill="EBECEC"/>
          </w:tcPr>
          <w:p>
            <w:pPr>
              <w:spacing w:after="0"/>
              <w:rPr>
                <w:sz w:val="22"/>
                <w:szCs w:val="22"/>
                <w:color w:val="auto"/>
              </w:rPr>
            </w:pPr>
          </w:p>
        </w:tc>
        <w:tc>
          <w:tcPr>
            <w:tcW w:w="240" w:type="dxa"/>
            <w:vAlign w:val="bottom"/>
            <w:shd w:val="clear" w:color="auto" w:fill="EBECEC"/>
          </w:tcPr>
          <w:p>
            <w:pPr>
              <w:spacing w:after="0"/>
              <w:rPr>
                <w:sz w:val="22"/>
                <w:szCs w:val="22"/>
                <w:color w:val="auto"/>
              </w:rPr>
            </w:pPr>
          </w:p>
        </w:tc>
        <w:tc>
          <w:tcPr>
            <w:tcW w:w="340" w:type="dxa"/>
            <w:vAlign w:val="bottom"/>
            <w:shd w:val="clear" w:color="auto" w:fill="EBECEC"/>
          </w:tcPr>
          <w:p>
            <w:pPr>
              <w:spacing w:after="0"/>
              <w:rPr>
                <w:sz w:val="22"/>
                <w:szCs w:val="22"/>
                <w:color w:val="auto"/>
              </w:rPr>
            </w:pPr>
          </w:p>
        </w:tc>
        <w:tc>
          <w:tcPr>
            <w:tcW w:w="1160" w:type="dxa"/>
            <w:vAlign w:val="bottom"/>
            <w:shd w:val="clear" w:color="auto" w:fill="EBECEC"/>
          </w:tcPr>
          <w:p>
            <w:pPr>
              <w:spacing w:after="0"/>
              <w:rPr>
                <w:sz w:val="22"/>
                <w:szCs w:val="22"/>
                <w:color w:val="auto"/>
              </w:rPr>
            </w:pPr>
          </w:p>
        </w:tc>
        <w:tc>
          <w:tcPr>
            <w:tcW w:w="100" w:type="dxa"/>
            <w:vAlign w:val="bottom"/>
            <w:shd w:val="clear" w:color="auto" w:fill="EBECEC"/>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loss</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(129,468)</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(127,847)</w:t>
            </w:r>
          </w:p>
        </w:tc>
        <w:tc>
          <w:tcPr>
            <w:tcW w:w="0" w:type="dxa"/>
            <w:vAlign w:val="bottom"/>
          </w:tcPr>
          <w:p>
            <w:pPr>
              <w:spacing w:after="0"/>
              <w:rPr>
                <w:sz w:val="1"/>
                <w:szCs w:val="1"/>
                <w:color w:val="auto"/>
              </w:rPr>
            </w:pPr>
          </w:p>
        </w:tc>
      </w:tr>
      <w:tr>
        <w:trPr>
          <w:trHeight w:val="254"/>
        </w:trPr>
        <w:tc>
          <w:tcPr>
            <w:tcW w:w="4860" w:type="dxa"/>
            <w:vAlign w:val="bottom"/>
            <w:tcBorders>
              <w:top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b w:val="1"/>
                <w:bCs w:val="1"/>
                <w:color w:val="231F20"/>
              </w:rPr>
              <w:t>Denominator</w:t>
            </w:r>
          </w:p>
        </w:tc>
        <w:tc>
          <w:tcPr>
            <w:tcW w:w="140" w:type="dxa"/>
            <w:vAlign w:val="bottom"/>
            <w:tcBorders>
              <w:top w:val="single" w:sz="8" w:color="EBECEC"/>
            </w:tcBorders>
            <w:shd w:val="clear" w:color="auto" w:fill="EBECEC"/>
          </w:tcPr>
          <w:p>
            <w:pPr>
              <w:spacing w:after="0"/>
              <w:rPr>
                <w:sz w:val="22"/>
                <w:szCs w:val="22"/>
                <w:color w:val="auto"/>
              </w:rPr>
            </w:pPr>
          </w:p>
        </w:tc>
        <w:tc>
          <w:tcPr>
            <w:tcW w:w="320" w:type="dxa"/>
            <w:vAlign w:val="bottom"/>
            <w:tcBorders>
              <w:top w:val="single" w:sz="8" w:color="231F20"/>
            </w:tcBorders>
            <w:shd w:val="clear" w:color="auto" w:fill="EBECEC"/>
          </w:tcPr>
          <w:p>
            <w:pPr>
              <w:spacing w:after="0"/>
              <w:rPr>
                <w:sz w:val="22"/>
                <w:szCs w:val="22"/>
                <w:color w:val="auto"/>
              </w:rPr>
            </w:pPr>
          </w:p>
        </w:tc>
        <w:tc>
          <w:tcPr>
            <w:tcW w:w="1160" w:type="dxa"/>
            <w:vAlign w:val="bottom"/>
            <w:tcBorders>
              <w:top w:val="single" w:sz="8" w:color="231F20"/>
            </w:tcBorders>
            <w:shd w:val="clear" w:color="auto" w:fill="EBECEC"/>
          </w:tcPr>
          <w:p>
            <w:pPr>
              <w:spacing w:after="0"/>
              <w:rPr>
                <w:sz w:val="22"/>
                <w:szCs w:val="22"/>
                <w:color w:val="auto"/>
              </w:rPr>
            </w:pPr>
          </w:p>
        </w:tc>
        <w:tc>
          <w:tcPr>
            <w:tcW w:w="240" w:type="dxa"/>
            <w:vAlign w:val="bottom"/>
            <w:tcBorders>
              <w:top w:val="single" w:sz="8" w:color="EBECEC"/>
            </w:tcBorders>
            <w:shd w:val="clear" w:color="auto" w:fill="EBECEC"/>
          </w:tcPr>
          <w:p>
            <w:pPr>
              <w:spacing w:after="0"/>
              <w:rPr>
                <w:sz w:val="22"/>
                <w:szCs w:val="22"/>
                <w:color w:val="auto"/>
              </w:rPr>
            </w:pPr>
          </w:p>
        </w:tc>
        <w:tc>
          <w:tcPr>
            <w:tcW w:w="340" w:type="dxa"/>
            <w:vAlign w:val="bottom"/>
            <w:tcBorders>
              <w:top w:val="single" w:sz="8" w:color="231F20"/>
            </w:tcBorders>
            <w:shd w:val="clear" w:color="auto" w:fill="EBECEC"/>
          </w:tcPr>
          <w:p>
            <w:pPr>
              <w:spacing w:after="0"/>
              <w:rPr>
                <w:sz w:val="22"/>
                <w:szCs w:val="22"/>
                <w:color w:val="auto"/>
              </w:rPr>
            </w:pPr>
          </w:p>
        </w:tc>
        <w:tc>
          <w:tcPr>
            <w:tcW w:w="1160" w:type="dxa"/>
            <w:vAlign w:val="bottom"/>
            <w:tcBorders>
              <w:top w:val="single" w:sz="8" w:color="231F20"/>
            </w:tcBorders>
            <w:shd w:val="clear" w:color="auto" w:fill="EBECEC"/>
          </w:tcPr>
          <w:p>
            <w:pPr>
              <w:spacing w:after="0"/>
              <w:rPr>
                <w:sz w:val="22"/>
                <w:szCs w:val="22"/>
                <w:color w:val="auto"/>
              </w:rPr>
            </w:pPr>
          </w:p>
        </w:tc>
        <w:tc>
          <w:tcPr>
            <w:tcW w:w="100" w:type="dxa"/>
            <w:vAlign w:val="bottom"/>
            <w:tcBorders>
              <w:top w:val="single" w:sz="8" w:color="EBECEC"/>
            </w:tcBorders>
            <w:shd w:val="clear" w:color="auto" w:fill="EBECE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231F20"/>
              </w:rPr>
              <w:t>Weighted average shares outstanding used in computing</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net loss per share, basic and diluted</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87,793,801</w:t>
            </w:r>
          </w:p>
        </w:tc>
        <w:tc>
          <w:tcPr>
            <w:tcW w:w="3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69,727,940</w:t>
            </w:r>
          </w:p>
        </w:tc>
        <w:tc>
          <w:tcPr>
            <w:tcW w:w="0" w:type="dxa"/>
            <w:vAlign w:val="bottom"/>
          </w:tcPr>
          <w:p>
            <w:pPr>
              <w:spacing w:after="0"/>
              <w:rPr>
                <w:sz w:val="1"/>
                <w:szCs w:val="1"/>
                <w:color w:val="auto"/>
              </w:rPr>
            </w:pPr>
          </w:p>
        </w:tc>
      </w:tr>
      <w:tr>
        <w:trPr>
          <w:trHeight w:val="20"/>
        </w:trPr>
        <w:tc>
          <w:tcPr>
            <w:tcW w:w="4860" w:type="dxa"/>
            <w:vAlign w:val="bottom"/>
            <w:tcBorders>
              <w:top w:val="single" w:sz="8" w:color="EBECEC"/>
            </w:tcBorders>
            <w:vMerge w:val="restart"/>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Net loss per share, basic and diluted</w:t>
            </w:r>
          </w:p>
        </w:tc>
        <w:tc>
          <w:tcPr>
            <w:tcW w:w="140" w:type="dxa"/>
            <w:vAlign w:val="bottom"/>
            <w:tcBorders>
              <w:top w:val="single" w:sz="8" w:color="EBECEC"/>
            </w:tcBorders>
            <w:shd w:val="clear" w:color="auto" w:fill="EBECEC"/>
          </w:tcPr>
          <w:p>
            <w:pPr>
              <w:spacing w:after="0" w:line="20" w:lineRule="exact"/>
              <w:rPr>
                <w:sz w:val="1"/>
                <w:szCs w:val="1"/>
                <w:color w:val="auto"/>
              </w:rPr>
            </w:pPr>
          </w:p>
        </w:tc>
        <w:tc>
          <w:tcPr>
            <w:tcW w:w="320" w:type="dxa"/>
            <w:vAlign w:val="bottom"/>
            <w:tcBorders>
              <w:top w:val="single" w:sz="8" w:color="231F20"/>
            </w:tcBorders>
            <w:shd w:val="clear" w:color="auto" w:fill="231F20"/>
          </w:tcPr>
          <w:p>
            <w:pPr>
              <w:spacing w:after="0" w:line="20" w:lineRule="exact"/>
              <w:rPr>
                <w:sz w:val="1"/>
                <w:szCs w:val="1"/>
                <w:color w:val="auto"/>
              </w:rPr>
            </w:pPr>
          </w:p>
        </w:tc>
        <w:tc>
          <w:tcPr>
            <w:tcW w:w="1160" w:type="dxa"/>
            <w:vAlign w:val="bottom"/>
            <w:tcBorders>
              <w:top w:val="single" w:sz="8" w:color="231F20"/>
            </w:tcBorders>
            <w:shd w:val="clear" w:color="auto" w:fill="231F20"/>
          </w:tcPr>
          <w:p>
            <w:pPr>
              <w:spacing w:after="0" w:line="20" w:lineRule="exact"/>
              <w:rPr>
                <w:sz w:val="1"/>
                <w:szCs w:val="1"/>
                <w:color w:val="auto"/>
              </w:rPr>
            </w:pPr>
          </w:p>
        </w:tc>
        <w:tc>
          <w:tcPr>
            <w:tcW w:w="240" w:type="dxa"/>
            <w:vAlign w:val="bottom"/>
            <w:tcBorders>
              <w:top w:val="single" w:sz="8" w:color="EBECEC"/>
            </w:tcBorders>
            <w:shd w:val="clear" w:color="auto" w:fill="EBECEC"/>
          </w:tcPr>
          <w:p>
            <w:pPr>
              <w:spacing w:after="0" w:line="20" w:lineRule="exact"/>
              <w:rPr>
                <w:sz w:val="1"/>
                <w:szCs w:val="1"/>
                <w:color w:val="auto"/>
              </w:rPr>
            </w:pPr>
          </w:p>
        </w:tc>
        <w:tc>
          <w:tcPr>
            <w:tcW w:w="340" w:type="dxa"/>
            <w:vAlign w:val="bottom"/>
            <w:tcBorders>
              <w:top w:val="single" w:sz="8" w:color="231F20"/>
            </w:tcBorders>
            <w:shd w:val="clear" w:color="auto" w:fill="231F20"/>
          </w:tcPr>
          <w:p>
            <w:pPr>
              <w:spacing w:after="0" w:line="20" w:lineRule="exact"/>
              <w:rPr>
                <w:sz w:val="1"/>
                <w:szCs w:val="1"/>
                <w:color w:val="auto"/>
              </w:rPr>
            </w:pPr>
          </w:p>
        </w:tc>
        <w:tc>
          <w:tcPr>
            <w:tcW w:w="1160" w:type="dxa"/>
            <w:vAlign w:val="bottom"/>
            <w:tcBorders>
              <w:top w:val="single" w:sz="8" w:color="231F20"/>
            </w:tcBorders>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860" w:type="dxa"/>
            <w:vAlign w:val="bottom"/>
            <w:vMerge w:val="continue"/>
            <w:shd w:val="clear" w:color="auto" w:fill="EBECEC"/>
          </w:tcPr>
          <w:p>
            <w:pPr>
              <w:spacing w:after="0"/>
              <w:rPr>
                <w:sz w:val="22"/>
                <w:szCs w:val="22"/>
                <w:color w:val="auto"/>
              </w:rPr>
            </w:pPr>
          </w:p>
        </w:tc>
        <w:tc>
          <w:tcPr>
            <w:tcW w:w="140" w:type="dxa"/>
            <w:vAlign w:val="bottom"/>
            <w:shd w:val="clear" w:color="auto" w:fill="EBECEC"/>
          </w:tcPr>
          <w:p>
            <w:pPr>
              <w:spacing w:after="0"/>
              <w:rPr>
                <w:sz w:val="22"/>
                <w:szCs w:val="22"/>
                <w:color w:val="auto"/>
              </w:rPr>
            </w:pPr>
          </w:p>
        </w:tc>
        <w:tc>
          <w:tcPr>
            <w:tcW w:w="320" w:type="dxa"/>
            <w:vAlign w:val="bottom"/>
            <w:shd w:val="clear" w:color="auto" w:fill="EBECEC"/>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(1.47)</w:t>
            </w:r>
          </w:p>
        </w:tc>
        <w:tc>
          <w:tcPr>
            <w:tcW w:w="240" w:type="dxa"/>
            <w:vAlign w:val="bottom"/>
            <w:shd w:val="clear" w:color="auto" w:fill="EBECEC"/>
          </w:tcPr>
          <w:p>
            <w:pPr>
              <w:spacing w:after="0"/>
              <w:rPr>
                <w:sz w:val="22"/>
                <w:szCs w:val="22"/>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(1.83)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4953635</wp:posOffset>
                </wp:positionH>
                <wp:positionV relativeFrom="paragraph">
                  <wp:posOffset>-198755</wp:posOffset>
                </wp:positionV>
                <wp:extent cx="947420" cy="17081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7420" cy="170815"/>
                        </a:xfrm>
                        <a:prstGeom prst="rect">
                          <a:avLst/>
                        </a:prstGeom>
                        <a:solidFill>
                          <a:srgbClr val="EBECEC"/>
                        </a:solidFill>
                      </wps:spPr>
                      <wps:bodyPr/>
                    </wps:wsp>
                  </a:graphicData>
                </a:graphic>
              </wp:anchor>
            </w:drawing>
          </mc:Choice>
          <mc:Fallback>
            <w:pict>
              <v:rect id="Shape 37" o:spid="_x0000_s1062" style="position:absolute;margin-left:390.05pt;margin-top:-15.6499pt;width:74.6pt;height:1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ECEC" stroked="f"/>
            </w:pict>
          </mc:Fallback>
        </mc:AlternateContent>
      </w:r>
    </w:p>
    <w:p>
      <w:pPr>
        <w:spacing w:after="0" w:line="310"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98" w:lineRule="exact"/>
        <w:rPr>
          <w:sz w:val="20"/>
          <w:szCs w:val="20"/>
          <w:color w:val="auto"/>
        </w:rPr>
      </w:pPr>
    </w:p>
    <w:tbl>
      <w:tblPr>
        <w:tblLayout w:type="fixed"/>
        <w:tblInd w:w="1080" w:type="dxa"/>
        <w:tblCellMar>
          <w:top w:w="0" w:type="dxa"/>
          <w:left w:w="0" w:type="dxa"/>
          <w:bottom w:w="0" w:type="dxa"/>
          <w:right w:w="0" w:type="dxa"/>
        </w:tblCellMar>
      </w:tblPr>
      <w:tr>
        <w:trPr>
          <w:trHeight w:val="252"/>
        </w:trPr>
        <w:tc>
          <w:tcPr>
            <w:tcW w:w="5220" w:type="dxa"/>
            <w:vAlign w:val="bottom"/>
          </w:tcPr>
          <w:p>
            <w:pPr>
              <w:spacing w:after="0"/>
              <w:rPr>
                <w:sz w:val="21"/>
                <w:szCs w:val="21"/>
                <w:color w:val="auto"/>
              </w:rPr>
            </w:pPr>
          </w:p>
        </w:tc>
        <w:tc>
          <w:tcPr>
            <w:tcW w:w="2300" w:type="dxa"/>
            <w:vAlign w:val="bottom"/>
            <w:tcBorders>
              <w:bottom w:val="single" w:sz="8" w:color="231F20"/>
            </w:tcBorders>
            <w:gridSpan w:val="3"/>
          </w:tcPr>
          <w:p>
            <w:pPr>
              <w:ind w:left="1160"/>
              <w:spacing w:after="0"/>
              <w:rPr>
                <w:sz w:val="20"/>
                <w:szCs w:val="20"/>
                <w:color w:val="auto"/>
              </w:rPr>
            </w:pPr>
            <w:r>
              <w:rPr>
                <w:rFonts w:ascii="Times New Roman" w:cs="Times New Roman" w:eastAsia="Times New Roman" w:hAnsi="Times New Roman"/>
                <w:sz w:val="18"/>
                <w:szCs w:val="18"/>
                <w:b w:val="1"/>
                <w:bCs w:val="1"/>
                <w:color w:val="231F20"/>
              </w:rPr>
              <w:t>December 31,</w:t>
            </w:r>
          </w:p>
        </w:tc>
        <w:tc>
          <w:tcPr>
            <w:tcW w:w="106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r>
      <w:tr>
        <w:trPr>
          <w:trHeight w:val="207"/>
        </w:trPr>
        <w:tc>
          <w:tcPr>
            <w:tcW w:w="5220" w:type="dxa"/>
            <w:vAlign w:val="bottom"/>
            <w:tcBorders>
              <w:bottom w:val="single" w:sz="8" w:color="EBECEC"/>
            </w:tcBorders>
          </w:tcPr>
          <w:p>
            <w:pPr>
              <w:spacing w:after="0"/>
              <w:rPr>
                <w:sz w:val="17"/>
                <w:szCs w:val="17"/>
                <w:color w:val="auto"/>
              </w:rPr>
            </w:pPr>
          </w:p>
        </w:tc>
        <w:tc>
          <w:tcPr>
            <w:tcW w:w="1560" w:type="dxa"/>
            <w:vAlign w:val="bottom"/>
            <w:tcBorders>
              <w:bottom w:val="single" w:sz="8" w:color="231F20"/>
            </w:tcBorders>
          </w:tcPr>
          <w:p>
            <w:pPr>
              <w:jc w:val="right"/>
              <w:ind w:right="504"/>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40" w:type="dxa"/>
            <w:vAlign w:val="bottom"/>
            <w:tcBorders>
              <w:bottom w:val="single" w:sz="8" w:color="EBECEC"/>
            </w:tcBorders>
          </w:tcPr>
          <w:p>
            <w:pPr>
              <w:spacing w:after="0"/>
              <w:rPr>
                <w:sz w:val="17"/>
                <w:szCs w:val="17"/>
                <w:color w:val="auto"/>
              </w:rPr>
            </w:pPr>
          </w:p>
        </w:tc>
        <w:tc>
          <w:tcPr>
            <w:tcW w:w="50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50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Borders>
              <w:bottom w:val="single" w:sz="8" w:color="EBECEC"/>
            </w:tcBorders>
          </w:tcPr>
          <w:p>
            <w:pPr>
              <w:spacing w:after="0"/>
              <w:rPr>
                <w:sz w:val="17"/>
                <w:szCs w:val="17"/>
                <w:color w:val="auto"/>
              </w:rPr>
            </w:pPr>
          </w:p>
        </w:tc>
      </w:tr>
      <w:tr>
        <w:trPr>
          <w:trHeight w:val="225"/>
        </w:trPr>
        <w:tc>
          <w:tcPr>
            <w:tcW w:w="522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Options to purchase common stock</w:t>
            </w:r>
          </w:p>
        </w:tc>
        <w:tc>
          <w:tcPr>
            <w:tcW w:w="156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13,902,239</w:t>
            </w:r>
          </w:p>
        </w:tc>
        <w:tc>
          <w:tcPr>
            <w:tcW w:w="240" w:type="dxa"/>
            <w:vAlign w:val="bottom"/>
            <w:shd w:val="clear" w:color="auto" w:fill="EBECEC"/>
          </w:tcPr>
          <w:p>
            <w:pPr>
              <w:spacing w:after="0"/>
              <w:rPr>
                <w:sz w:val="19"/>
                <w:szCs w:val="19"/>
                <w:color w:val="auto"/>
              </w:rPr>
            </w:pPr>
          </w:p>
        </w:tc>
        <w:tc>
          <w:tcPr>
            <w:tcW w:w="500" w:type="dxa"/>
            <w:vAlign w:val="bottom"/>
            <w:shd w:val="clear" w:color="auto" w:fill="EBECEC"/>
          </w:tcPr>
          <w:p>
            <w:pPr>
              <w:spacing w:after="0"/>
              <w:rPr>
                <w:sz w:val="19"/>
                <w:szCs w:val="19"/>
                <w:color w:val="auto"/>
              </w:rPr>
            </w:pPr>
          </w:p>
        </w:tc>
        <w:tc>
          <w:tcPr>
            <w:tcW w:w="106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11,249,452</w:t>
            </w:r>
          </w:p>
        </w:tc>
        <w:tc>
          <w:tcPr>
            <w:tcW w:w="60" w:type="dxa"/>
            <w:vAlign w:val="bottom"/>
            <w:shd w:val="clear" w:color="auto" w:fill="EBECEC"/>
          </w:tcPr>
          <w:p>
            <w:pPr>
              <w:spacing w:after="0"/>
              <w:rPr>
                <w:sz w:val="19"/>
                <w:szCs w:val="19"/>
                <w:color w:val="auto"/>
              </w:rPr>
            </w:pPr>
          </w:p>
        </w:tc>
      </w:tr>
      <w:tr>
        <w:trPr>
          <w:trHeight w:val="230"/>
        </w:trPr>
        <w:tc>
          <w:tcPr>
            <w:tcW w:w="522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Non-vested restricted stock units</w:t>
            </w:r>
          </w:p>
        </w:tc>
        <w:tc>
          <w:tcPr>
            <w:tcW w:w="1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582,533</w:t>
            </w:r>
          </w:p>
        </w:tc>
        <w:tc>
          <w:tcPr>
            <w:tcW w:w="240" w:type="dxa"/>
            <w:vAlign w:val="bottom"/>
            <w:tcBorders>
              <w:bottom w:val="single" w:sz="8" w:color="EBECEC"/>
            </w:tcBorders>
          </w:tcPr>
          <w:p>
            <w:pPr>
              <w:spacing w:after="0"/>
              <w:rPr>
                <w:sz w:val="20"/>
                <w:szCs w:val="20"/>
                <w:color w:val="auto"/>
              </w:rPr>
            </w:pPr>
          </w:p>
        </w:tc>
        <w:tc>
          <w:tcPr>
            <w:tcW w:w="50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462,507</w:t>
            </w:r>
          </w:p>
        </w:tc>
        <w:tc>
          <w:tcPr>
            <w:tcW w:w="60" w:type="dxa"/>
            <w:vAlign w:val="bottom"/>
            <w:tcBorders>
              <w:bottom w:val="single" w:sz="8" w:color="EBECEC"/>
            </w:tcBorders>
          </w:tcPr>
          <w:p>
            <w:pPr>
              <w:spacing w:after="0"/>
              <w:rPr>
                <w:sz w:val="20"/>
                <w:szCs w:val="20"/>
                <w:color w:val="auto"/>
              </w:rPr>
            </w:pPr>
          </w:p>
        </w:tc>
      </w:tr>
      <w:tr>
        <w:trPr>
          <w:trHeight w:val="225"/>
        </w:trPr>
        <w:tc>
          <w:tcPr>
            <w:tcW w:w="5220" w:type="dxa"/>
            <w:vAlign w:val="bottom"/>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Total</w:t>
            </w:r>
          </w:p>
        </w:tc>
        <w:tc>
          <w:tcPr>
            <w:tcW w:w="156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14,484,772</w:t>
            </w:r>
          </w:p>
        </w:tc>
        <w:tc>
          <w:tcPr>
            <w:tcW w:w="240" w:type="dxa"/>
            <w:vAlign w:val="bottom"/>
            <w:shd w:val="clear" w:color="auto" w:fill="EBECEC"/>
          </w:tcPr>
          <w:p>
            <w:pPr>
              <w:spacing w:after="0"/>
              <w:rPr>
                <w:sz w:val="19"/>
                <w:szCs w:val="19"/>
                <w:color w:val="auto"/>
              </w:rPr>
            </w:pPr>
          </w:p>
        </w:tc>
        <w:tc>
          <w:tcPr>
            <w:tcW w:w="500" w:type="dxa"/>
            <w:vAlign w:val="bottom"/>
            <w:tcBorders>
              <w:bottom w:val="single" w:sz="8" w:color="231F20"/>
            </w:tcBorders>
            <w:shd w:val="clear" w:color="auto" w:fill="EBECEC"/>
          </w:tcPr>
          <w:p>
            <w:pPr>
              <w:spacing w:after="0"/>
              <w:rPr>
                <w:sz w:val="19"/>
                <w:szCs w:val="19"/>
                <w:color w:val="auto"/>
              </w:rPr>
            </w:pPr>
          </w:p>
        </w:tc>
        <w:tc>
          <w:tcPr>
            <w:tcW w:w="106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11,711,959</w:t>
            </w:r>
          </w:p>
        </w:tc>
        <w:tc>
          <w:tcPr>
            <w:tcW w:w="60" w:type="dxa"/>
            <w:vAlign w:val="bottom"/>
            <w:shd w:val="clear" w:color="auto" w:fill="EBECE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5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Recently Adopted Accounting Pronouncements</w:t>
      </w:r>
    </w:p>
    <w:p>
      <w:pPr>
        <w:spacing w:after="0" w:line="120"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231F20"/>
        </w:rPr>
        <w:t xml:space="preserve">In December 2023, the FASB issued Accounting Standards Update (ASU) 2023-09, </w:t>
      </w:r>
      <w:r>
        <w:rPr>
          <w:rFonts w:ascii="Times New Roman" w:cs="Times New Roman" w:eastAsia="Times New Roman" w:hAnsi="Times New Roman"/>
          <w:sz w:val="20"/>
          <w:szCs w:val="20"/>
          <w:i w:val="1"/>
          <w:iCs w:val="1"/>
          <w:color w:val="231F20"/>
        </w:rPr>
        <w:t>Improvements to Income Tax</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Disclosures</w:t>
      </w:r>
      <w:r>
        <w:rPr>
          <w:rFonts w:ascii="Times New Roman" w:cs="Times New Roman" w:eastAsia="Times New Roman" w:hAnsi="Times New Roman"/>
          <w:sz w:val="20"/>
          <w:szCs w:val="20"/>
          <w:color w:val="231F20"/>
        </w:rPr>
        <w:t>, which does not change accounting for income taxes but requires new disclosures focusing on the effective rate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reconciliation and taxes paid. The Company adopted the standard and applied the disclosure requirements on a prospective basis for the year ended December 31, 2025. Adoption of this ASU did not have a material impact on the financial statements and related disclosures.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Recently Issued Accounting Pronouncements</w:t>
      </w:r>
    </w:p>
    <w:p>
      <w:pPr>
        <w:spacing w:after="0" w:line="12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 xml:space="preserve">In November 2024, the FASB issued ASU 2024-03, </w:t>
      </w:r>
      <w:r>
        <w:rPr>
          <w:rFonts w:ascii="Times New Roman" w:cs="Times New Roman" w:eastAsia="Times New Roman" w:hAnsi="Times New Roman"/>
          <w:sz w:val="20"/>
          <w:szCs w:val="20"/>
          <w:i w:val="1"/>
          <w:iCs w:val="1"/>
          <w:color w:val="231F20"/>
        </w:rPr>
        <w:t>Income Statement - Reporting Comprehensive Income - Expense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Disaggregation Disclosures (Subtopic 220 -40): Disaggregation of Income Statement Expenses</w:t>
      </w:r>
      <w:r>
        <w:rPr>
          <w:rFonts w:ascii="Times New Roman" w:cs="Times New Roman" w:eastAsia="Times New Roman" w:hAnsi="Times New Roman"/>
          <w:sz w:val="20"/>
          <w:szCs w:val="20"/>
          <w:color w:val="231F20"/>
        </w:rPr>
        <w:t>, which is intended to enhance expense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disclosures by requiring additional information about specific expense categories in the notes to the financial statements. The standard is effective, as clarified by ASU 2025-01, for annual periods beginning after December 15, 2026, and interim reporting periods within annual reporting periods beginning after December 15, 2027, with early adoption permitted. The standard may be adopted prospectively or retrospectively. The Company is currently evaluating the impact of the standard on its financial statements and related disclosures.</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117</w:t>
      </w:r>
    </w:p>
    <w:p>
      <w:pPr>
        <w:sectPr>
          <w:pgSz w:w="11880" w:h="15480" w:orient="portrait"/>
          <w:cols w:equalWidth="0" w:num="1">
            <w:col w:w="10760"/>
          </w:cols>
          <w:pgMar w:left="540" w:top="750" w:right="580" w:bottom="0" w:gutter="0" w:footer="0" w:header="0"/>
          <w:type w:val="continuous"/>
        </w:sectPr>
      </w:pPr>
    </w:p>
    <w:bookmarkStart w:id="123" w:name="page124"/>
    <w:bookmarkEnd w:id="123"/>
    <w:p>
      <w:pPr>
        <w:ind w:left="200" w:hanging="200"/>
        <w:spacing w:after="0"/>
        <w:tabs>
          <w:tab w:leader="none" w:pos="200" w:val="left"/>
        </w:tabs>
        <w:numPr>
          <w:ilvl w:val="0"/>
          <w:numId w:val="6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u w:val="single" w:color="auto"/>
          <w:color w:val="231F20"/>
        </w:rPr>
        <w:t>License Agreements and Clinical Development Collaborations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Johnson &amp; Johnson collaborations</w:t>
      </w:r>
    </w:p>
    <w:p>
      <w:pPr>
        <w:spacing w:after="0" w:line="120"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231F20"/>
        </w:rPr>
        <w:t>On August 29, 2024, the Company entered into a clinical supply agreement with Janssen Research &amp; Development, LLC, a Johnson &amp; Johnson company (Johnson &amp; Johnson), to evaluate enozertinib in combination with subcutaneous (SC) amivantamab, Johnson &amp; Johnson’s fully-human EGFR-MET bispecific antibody. The Company will continue to conduct and sponsor the ongoing Phase 1b clinical trial, and Johnson &amp; Johnson will provide SC amivantamab for the trial. The Company maintains full economic ownership and control of enozertinib.</w:t>
      </w:r>
    </w:p>
    <w:p>
      <w:pPr>
        <w:spacing w:after="0" w:line="77" w:lineRule="exact"/>
        <w:rPr>
          <w:sz w:val="20"/>
          <w:szCs w:val="20"/>
          <w:color w:val="auto"/>
        </w:rPr>
      </w:pPr>
    </w:p>
    <w:p>
      <w:pPr>
        <w:ind w:right="180" w:firstLine="720"/>
        <w:spacing w:after="0" w:line="232" w:lineRule="auto"/>
        <w:rPr>
          <w:sz w:val="20"/>
          <w:szCs w:val="20"/>
          <w:color w:val="auto"/>
        </w:rPr>
      </w:pPr>
      <w:r>
        <w:rPr>
          <w:rFonts w:ascii="Times New Roman" w:cs="Times New Roman" w:eastAsia="Times New Roman" w:hAnsi="Times New Roman"/>
          <w:sz w:val="20"/>
          <w:szCs w:val="20"/>
          <w:color w:val="231F20"/>
        </w:rPr>
        <w:t>On July 10, 2024, the Company entered into a clinical trial collaboration and supply agreement with Johnson &amp; Johnson, to evaluate rinzimetostat in combination with Erleada</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(apalutamide), Johnson &amp; Johnson’s androgen receptor (AR) inhibitor. The Company will continue to conduct and sponsor the ongoing Phase 1b clinical trial, and Johnson &amp; Johnson will provide apalutamide for the trial. The Company maintains full economic ownership and control of rinzimetostat.</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Bayer collaboration</w:t>
      </w:r>
    </w:p>
    <w:p>
      <w:pPr>
        <w:spacing w:after="0" w:line="120" w:lineRule="exact"/>
        <w:rPr>
          <w:sz w:val="20"/>
          <w:szCs w:val="20"/>
          <w:color w:val="auto"/>
        </w:rPr>
      </w:pPr>
    </w:p>
    <w:p>
      <w:pPr>
        <w:ind w:right="160" w:firstLine="720"/>
        <w:spacing w:after="0" w:line="232" w:lineRule="auto"/>
        <w:rPr>
          <w:sz w:val="20"/>
          <w:szCs w:val="20"/>
          <w:color w:val="auto"/>
        </w:rPr>
      </w:pPr>
      <w:r>
        <w:rPr>
          <w:rFonts w:ascii="Times New Roman" w:cs="Times New Roman" w:eastAsia="Times New Roman" w:hAnsi="Times New Roman"/>
          <w:sz w:val="20"/>
          <w:szCs w:val="20"/>
          <w:color w:val="231F20"/>
        </w:rPr>
        <w:t>On May 14, 2024, the Company entered into a clinical trial collaboration and supply agreement with Bayer Consumer Care AG (Bayer), as amended effective October 23, 2024, to evaluate rinzimetostat in combination with Nubeqa</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(darolutamide), Bayer’s AR inhibitor. The Company will continue to conduct and sponsor the ongoing Phase 1b clinical trial, and Bayer will provide darolutamide for the trial. The Company maintains full economic ownership and control of rinzimetostat.</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Voronoi License Agreement</w:t>
      </w:r>
    </w:p>
    <w:p>
      <w:pPr>
        <w:spacing w:after="0" w:line="120"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On October 19, 2020, the Company entered into a license and collaboration agreement (Voronoi License Agreement) with Voronoi Inc. (Voronoi). The Voronoi License Agreement gives the Company access to Voronoi’s preclinical stage EGFR exon 20 mutation program, including a lead product candidate now designated as enozertinib. Under the Voronoi License Agreement, Voronoi granted the Company an exclusive, sublicensable license under Voronoi’s rights to certain patent applications directed to certain small molecule compounds that bind to EGFR with one or more exon 20 mutations and certain related know-how, in each case, to develop and commercialize certain licensed compounds and licensed products incorporating any such compound in the ORIC Territory, defined as worldwide other than in the People’s Republic of China, Hong Kong, Macau and Taiwan. Pursuant to an amendment to the Voronoi License Agreement that the Company entered into with Voronoi on March 20, 2024, the Company also obtained the right to conduct and control certain clinical trials for the licensed products at specified clinical sites within Voronoi’s territory to support the development and commercialization of licensed products in the ORIC Territory. Under the Voronoi License Agreement, Voronoi had the right to perform certain mutually agreed upon development activities. Except for Voronoi's right to participate in such development activities,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spacing w:after="0" w:line="213"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231F20"/>
        </w:rPr>
        <w:t>The Company’s financial obligations under the Voronoi License Agreement included an upfront payment of $5.0 million in cash and the issuance to Voronoi of 283,259 shares of the Company’s common stock, valued at approximately $6.8 million, issued pursuant to a stock issuance agreement entered into between the parties on October 19, 2020. The number of shares issued pursuant to the stock issuance agreement was based on a price of $28.24 per share, representing a premium of 25% to the 30-day trailing volume weighted average trading price of the Company’s common stock. The shares were issued in a private placement in reliance on Section 4(a)(2) of the Securities Act of 1933, as amended (Securities Act), for transactions by an issuer not involving any public offering.</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Under the Voronoi License Agreement, Voronoi was responsible for certain research and development costs up to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predetermined threshold. Upon achievement of the predetermined threshold in the second quarter of 2022, Voronoi chose to opt out of</w:t>
      </w:r>
    </w:p>
    <w:p>
      <w:pPr>
        <w:spacing w:after="0"/>
        <w:rPr>
          <w:sz w:val="20"/>
          <w:szCs w:val="20"/>
          <w:color w:val="auto"/>
        </w:rPr>
      </w:pPr>
      <w:r>
        <w:rPr>
          <w:rFonts w:ascii="Times New Roman" w:cs="Times New Roman" w:eastAsia="Times New Roman" w:hAnsi="Times New Roman"/>
          <w:sz w:val="20"/>
          <w:szCs w:val="20"/>
          <w:color w:val="231F20"/>
        </w:rPr>
        <w:t>participation in and funding of future development activities. The Company is also obligated to make milestone payments to Voronoi</w:t>
      </w:r>
    </w:p>
    <w:p>
      <w:pPr>
        <w:spacing w:after="0"/>
        <w:rPr>
          <w:sz w:val="20"/>
          <w:szCs w:val="20"/>
          <w:color w:val="auto"/>
        </w:rPr>
      </w:pPr>
      <w:r>
        <w:rPr>
          <w:rFonts w:ascii="Times New Roman" w:cs="Times New Roman" w:eastAsia="Times New Roman" w:hAnsi="Times New Roman"/>
          <w:sz w:val="20"/>
          <w:szCs w:val="20"/>
          <w:color w:val="231F20"/>
        </w:rPr>
        <w:t>upon the achievement of certain events. Upon the achievement of certain development and regulatory milestones with respect to the</w:t>
      </w:r>
    </w:p>
    <w:p>
      <w:pPr>
        <w:spacing w:after="0"/>
        <w:rPr>
          <w:sz w:val="20"/>
          <w:szCs w:val="20"/>
          <w:color w:val="auto"/>
        </w:rPr>
      </w:pPr>
      <w:r>
        <w:rPr>
          <w:rFonts w:ascii="Times New Roman" w:cs="Times New Roman" w:eastAsia="Times New Roman" w:hAnsi="Times New Roman"/>
          <w:sz w:val="20"/>
          <w:szCs w:val="20"/>
          <w:color w:val="231F20"/>
        </w:rPr>
        <w:t>first licensed product, the Company is obligated to pay Voronoi up to a maximum of $111.0 million. Upon the achievement of certain</w:t>
      </w:r>
    </w:p>
    <w:p>
      <w:pPr>
        <w:spacing w:after="0"/>
        <w:rPr>
          <w:sz w:val="20"/>
          <w:szCs w:val="20"/>
          <w:color w:val="auto"/>
        </w:rPr>
      </w:pPr>
      <w:r>
        <w:rPr>
          <w:rFonts w:ascii="Times New Roman" w:cs="Times New Roman" w:eastAsia="Times New Roman" w:hAnsi="Times New Roman"/>
          <w:sz w:val="20"/>
          <w:szCs w:val="20"/>
          <w:color w:val="231F20"/>
        </w:rPr>
        <w:t>commercial milestones with respect to the first licensed product, the Company is obligated to pay Voronoi up to a maximum of</w:t>
      </w:r>
    </w:p>
    <w:p>
      <w:pPr>
        <w:spacing w:after="0"/>
        <w:rPr>
          <w:sz w:val="20"/>
          <w:szCs w:val="20"/>
          <w:color w:val="auto"/>
        </w:rPr>
      </w:pPr>
      <w:r>
        <w:rPr>
          <w:rFonts w:ascii="Times New Roman" w:cs="Times New Roman" w:eastAsia="Times New Roman" w:hAnsi="Times New Roman"/>
          <w:sz w:val="19"/>
          <w:szCs w:val="19"/>
          <w:color w:val="231F20"/>
        </w:rPr>
        <w:t>$225.0 million. If the Company pursues a second licensed product, the Company could pay Voronoi up to an additional $272.0 million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success-based milestones. In addition, the Company is obligated to pay royalties on net sales of licensed products in the ORIC</w:t>
      </w:r>
    </w:p>
    <w:p>
      <w:pPr>
        <w:spacing w:after="0"/>
        <w:rPr>
          <w:sz w:val="20"/>
          <w:szCs w:val="20"/>
          <w:color w:val="auto"/>
        </w:rPr>
      </w:pPr>
      <w:r>
        <w:rPr>
          <w:rFonts w:ascii="Times New Roman" w:cs="Times New Roman" w:eastAsia="Times New Roman" w:hAnsi="Times New Roman"/>
          <w:sz w:val="20"/>
          <w:szCs w:val="20"/>
          <w:color w:val="231F20"/>
        </w:rPr>
        <w:t>Territory. In the third quarter of 2022, the Company made a development milestone payment to Voronoi in the amount of $5.0</w:t>
      </w:r>
    </w:p>
    <w:p>
      <w:pPr>
        <w:spacing w:after="0"/>
        <w:rPr>
          <w:sz w:val="20"/>
          <w:szCs w:val="20"/>
          <w:color w:val="auto"/>
        </w:rPr>
      </w:pPr>
      <w:r>
        <w:rPr>
          <w:rFonts w:ascii="Times New Roman" w:cs="Times New Roman" w:eastAsia="Times New Roman" w:hAnsi="Times New Roman"/>
          <w:sz w:val="20"/>
          <w:szCs w:val="20"/>
          <w:color w:val="231F20"/>
        </w:rPr>
        <w:t>million, which was recorded in acquired in-process research and development expense.</w:t>
      </w:r>
    </w:p>
    <w:p>
      <w:pPr>
        <w:spacing w:after="0" w:line="212" w:lineRule="exact"/>
        <w:rPr>
          <w:sz w:val="20"/>
          <w:szCs w:val="20"/>
          <w:color w:val="auto"/>
        </w:rPr>
      </w:pPr>
    </w:p>
    <w:p>
      <w:pPr>
        <w:ind w:right="20" w:firstLine="720"/>
        <w:spacing w:after="0" w:line="270" w:lineRule="auto"/>
        <w:rPr>
          <w:sz w:val="20"/>
          <w:szCs w:val="20"/>
          <w:color w:val="auto"/>
        </w:rPr>
      </w:pPr>
      <w:r>
        <w:rPr>
          <w:rFonts w:ascii="Times New Roman" w:cs="Times New Roman" w:eastAsia="Times New Roman" w:hAnsi="Times New Roman"/>
          <w:sz w:val="19"/>
          <w:szCs w:val="19"/>
          <w:color w:val="231F20"/>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w:t>
      </w:r>
    </w:p>
    <w:p>
      <w:pPr>
        <w:sectPr>
          <w:pgSz w:w="11880" w:h="15480" w:orient="portrait"/>
          <w:cols w:equalWidth="0" w:num="1">
            <w:col w:w="10800"/>
          </w:cols>
          <w:pgMar w:left="540" w:top="746" w:right="540" w:bottom="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118</w:t>
      </w:r>
    </w:p>
    <w:p>
      <w:pPr>
        <w:sectPr>
          <w:pgSz w:w="11880" w:h="15480" w:orient="portrait"/>
          <w:cols w:equalWidth="0" w:num="1">
            <w:col w:w="10800"/>
          </w:cols>
          <w:pgMar w:left="540" w:top="746" w:right="540" w:bottom="0" w:gutter="0" w:footer="0" w:header="0"/>
          <w:type w:val="continuous"/>
        </w:sectPr>
      </w:pPr>
    </w:p>
    <w:bookmarkStart w:id="124" w:name="page125"/>
    <w:bookmarkEnd w:id="124"/>
    <w:p>
      <w:pPr>
        <w:ind w:right="60"/>
        <w:spacing w:after="0" w:line="258" w:lineRule="auto"/>
        <w:rPr>
          <w:sz w:val="20"/>
          <w:szCs w:val="20"/>
          <w:color w:val="auto"/>
        </w:rPr>
      </w:pPr>
      <w:r>
        <w:rPr>
          <w:rFonts w:ascii="Times New Roman" w:cs="Times New Roman" w:eastAsia="Times New Roman" w:hAnsi="Times New Roman"/>
          <w:sz w:val="20"/>
          <w:szCs w:val="20"/>
          <w:color w:val="231F20"/>
        </w:rPr>
        <w:t>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spacing w:after="0" w:line="188"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231F20"/>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Mirati License Agreement</w:t>
      </w:r>
    </w:p>
    <w:p>
      <w:pPr>
        <w:spacing w:after="0" w:line="12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On August 3, 2020, the Company entered into a license agreement (Mirati License Agreement) with Mirati Therapeutics, Inc.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w:t>
      </w:r>
    </w:p>
    <w:p>
      <w:pPr>
        <w:spacing w:after="0" w:line="20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The Company’s financial obligation under the Mirati License Agreement was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for transactions by an issuer not involving any public offering. During the eighteen-month period following the date of the agreement, Mirati was subject to certain transfer restrictions, and the parties agreed to negotiate and enter into a registration rights agreement, with respect to the shares. The Company is not obligated to pay Mirati milestones or royalties.</w:t>
      </w:r>
    </w:p>
    <w:p>
      <w:pPr>
        <w:spacing w:after="0" w:line="20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spacing w:after="0" w:line="206"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231F20"/>
        </w:rPr>
        <w:t>On October 8, 2023, Bristol Myers Squibb (BMS) and Mirati announced that they entered into a definitive merger agreement under which BMS through a subsidiary will acquire all of the outstanding shares of Mirati common stock. The Mirati License Agreement continued in effect upon consummation of the transaction, which closed on January 23, 2024.</w:t>
      </w:r>
    </w:p>
    <w:p>
      <w:pPr>
        <w:spacing w:after="0" w:line="304" w:lineRule="exact"/>
        <w:rPr>
          <w:sz w:val="20"/>
          <w:szCs w:val="20"/>
          <w:color w:val="auto"/>
        </w:rPr>
      </w:pPr>
    </w:p>
    <w:p>
      <w:pPr>
        <w:ind w:left="200" w:hanging="200"/>
        <w:spacing w:after="0"/>
        <w:tabs>
          <w:tab w:leader="none" w:pos="200" w:val="left"/>
        </w:tabs>
        <w:numPr>
          <w:ilvl w:val="0"/>
          <w:numId w:val="6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u w:val="single" w:color="auto"/>
          <w:color w:val="231F20"/>
        </w:rPr>
        <w:t>Property and Equipment, net</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Property and equipment, net consisted of the following (in thousands):</w:t>
      </w:r>
    </w:p>
    <w:p>
      <w:pPr>
        <w:spacing w:after="0" w:line="229" w:lineRule="exact"/>
        <w:rPr>
          <w:sz w:val="20"/>
          <w:szCs w:val="20"/>
          <w:color w:val="auto"/>
        </w:rPr>
      </w:pPr>
    </w:p>
    <w:tbl>
      <w:tblPr>
        <w:tblLayout w:type="fixed"/>
        <w:tblInd w:w="1620" w:type="dxa"/>
        <w:tblCellMar>
          <w:top w:w="0" w:type="dxa"/>
          <w:left w:w="0" w:type="dxa"/>
          <w:bottom w:w="0" w:type="dxa"/>
          <w:right w:w="0" w:type="dxa"/>
        </w:tblCellMar>
      </w:tblPr>
      <w:tr>
        <w:trPr>
          <w:trHeight w:val="252"/>
        </w:trPr>
        <w:tc>
          <w:tcPr>
            <w:tcW w:w="5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231F20"/>
              </w:rPr>
              <w:t>December 31,</w:t>
            </w:r>
          </w:p>
        </w:tc>
      </w:tr>
      <w:tr>
        <w:trPr>
          <w:trHeight w:val="207"/>
        </w:trPr>
        <w:tc>
          <w:tcPr>
            <w:tcW w:w="5120" w:type="dxa"/>
            <w:vAlign w:val="bottom"/>
            <w:tcBorders>
              <w:bottom w:val="single" w:sz="8" w:color="EBECEC"/>
            </w:tcBorders>
          </w:tcPr>
          <w:p>
            <w:pPr>
              <w:spacing w:after="0"/>
              <w:rPr>
                <w:sz w:val="17"/>
                <w:szCs w:val="17"/>
                <w:color w:val="auto"/>
              </w:rPr>
            </w:pPr>
          </w:p>
        </w:tc>
        <w:tc>
          <w:tcPr>
            <w:tcW w:w="240" w:type="dxa"/>
            <w:vAlign w:val="bottom"/>
            <w:tcBorders>
              <w:top w:val="single" w:sz="8" w:color="231F20"/>
              <w:bottom w:val="single" w:sz="8" w:color="231F20"/>
            </w:tcBorders>
          </w:tcPr>
          <w:p>
            <w:pPr>
              <w:spacing w:after="0"/>
              <w:rPr>
                <w:sz w:val="17"/>
                <w:szCs w:val="17"/>
                <w:color w:val="auto"/>
              </w:rPr>
            </w:pPr>
          </w:p>
        </w:tc>
        <w:tc>
          <w:tcPr>
            <w:tcW w:w="840" w:type="dxa"/>
            <w:vAlign w:val="bottom"/>
            <w:tcBorders>
              <w:top w:val="single" w:sz="8" w:color="231F20"/>
              <w:bottom w:val="single" w:sz="8" w:color="231F20"/>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00" w:type="dxa"/>
            <w:vAlign w:val="bottom"/>
            <w:tcBorders>
              <w:top w:val="single" w:sz="8" w:color="231F20"/>
              <w:bottom w:val="single" w:sz="8" w:color="EBECEC"/>
            </w:tcBorders>
          </w:tcPr>
          <w:p>
            <w:pPr>
              <w:spacing w:after="0"/>
              <w:rPr>
                <w:sz w:val="17"/>
                <w:szCs w:val="17"/>
                <w:color w:val="auto"/>
              </w:rPr>
            </w:pPr>
          </w:p>
        </w:tc>
        <w:tc>
          <w:tcPr>
            <w:tcW w:w="220" w:type="dxa"/>
            <w:vAlign w:val="bottom"/>
            <w:tcBorders>
              <w:top w:val="single" w:sz="8" w:color="231F20"/>
              <w:bottom w:val="single" w:sz="8" w:color="231F20"/>
            </w:tcBorders>
          </w:tcPr>
          <w:p>
            <w:pPr>
              <w:spacing w:after="0"/>
              <w:rPr>
                <w:sz w:val="17"/>
                <w:szCs w:val="17"/>
                <w:color w:val="auto"/>
              </w:rPr>
            </w:pPr>
          </w:p>
        </w:tc>
        <w:tc>
          <w:tcPr>
            <w:tcW w:w="860" w:type="dxa"/>
            <w:vAlign w:val="bottom"/>
            <w:tcBorders>
              <w:top w:val="single" w:sz="8" w:color="231F20"/>
              <w:bottom w:val="single" w:sz="8" w:color="231F20"/>
            </w:tcBorders>
          </w:tcPr>
          <w:p>
            <w:pPr>
              <w:jc w:val="right"/>
              <w:ind w:right="26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Borders>
              <w:bottom w:val="single" w:sz="8" w:color="EBECEC"/>
            </w:tcBorders>
          </w:tcPr>
          <w:p>
            <w:pPr>
              <w:spacing w:after="0"/>
              <w:rPr>
                <w:sz w:val="17"/>
                <w:szCs w:val="17"/>
                <w:color w:val="auto"/>
              </w:rPr>
            </w:pPr>
          </w:p>
        </w:tc>
      </w:tr>
      <w:tr>
        <w:trPr>
          <w:trHeight w:val="225"/>
        </w:trPr>
        <w:tc>
          <w:tcPr>
            <w:tcW w:w="512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Lab equipment</w:t>
            </w:r>
          </w:p>
        </w:tc>
        <w:tc>
          <w:tcPr>
            <w:tcW w:w="240" w:type="dxa"/>
            <w:vAlign w:val="bottom"/>
            <w:shd w:val="clear" w:color="auto" w:fill="EBECEC"/>
          </w:tcPr>
          <w:p>
            <w:pPr>
              <w:jc w:val="right"/>
              <w:ind w:right="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7,012</w:t>
            </w:r>
          </w:p>
        </w:tc>
        <w:tc>
          <w:tcPr>
            <w:tcW w:w="200" w:type="dxa"/>
            <w:vAlign w:val="bottom"/>
            <w:shd w:val="clear" w:color="auto" w:fill="EBECEC"/>
          </w:tcPr>
          <w:p>
            <w:pPr>
              <w:spacing w:after="0"/>
              <w:rPr>
                <w:sz w:val="19"/>
                <w:szCs w:val="19"/>
                <w:color w:val="auto"/>
              </w:rPr>
            </w:pPr>
          </w:p>
        </w:tc>
        <w:tc>
          <w:tcPr>
            <w:tcW w:w="220" w:type="dxa"/>
            <w:vAlign w:val="bottom"/>
            <w:shd w:val="clear" w:color="auto" w:fill="EBECEC"/>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7,386</w:t>
            </w:r>
          </w:p>
        </w:tc>
        <w:tc>
          <w:tcPr>
            <w:tcW w:w="80" w:type="dxa"/>
            <w:vAlign w:val="bottom"/>
            <w:shd w:val="clear" w:color="auto" w:fill="EBECE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231F20"/>
              </w:rPr>
              <w:t>Leasehold improvements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2,043</w:t>
            </w:r>
          </w:p>
        </w:tc>
        <w:tc>
          <w:tcPr>
            <w:tcW w:w="80" w:type="dxa"/>
            <w:vAlign w:val="bottom"/>
          </w:tcPr>
          <w:p>
            <w:pPr>
              <w:spacing w:after="0"/>
              <w:rPr>
                <w:sz w:val="20"/>
                <w:szCs w:val="20"/>
                <w:color w:val="auto"/>
              </w:rPr>
            </w:pPr>
          </w:p>
        </w:tc>
      </w:tr>
      <w:tr>
        <w:trPr>
          <w:trHeight w:val="230"/>
        </w:trPr>
        <w:tc>
          <w:tcPr>
            <w:tcW w:w="51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Computer hardware and software</w:t>
            </w:r>
          </w:p>
        </w:tc>
        <w:tc>
          <w:tcPr>
            <w:tcW w:w="240" w:type="dxa"/>
            <w:vAlign w:val="bottom"/>
            <w:shd w:val="clear" w:color="auto" w:fill="EBECEC"/>
          </w:tcPr>
          <w:p>
            <w:pPr>
              <w:spacing w:after="0"/>
              <w:rPr>
                <w:sz w:val="20"/>
                <w:szCs w:val="20"/>
                <w:color w:val="auto"/>
              </w:rPr>
            </w:pPr>
          </w:p>
        </w:tc>
        <w:tc>
          <w:tcPr>
            <w:tcW w:w="1040" w:type="dxa"/>
            <w:vAlign w:val="bottom"/>
            <w:gridSpan w:val="2"/>
            <w:shd w:val="clear" w:color="auto" w:fill="EBECEC"/>
          </w:tcPr>
          <w:p>
            <w:pPr>
              <w:jc w:val="right"/>
              <w:ind w:right="200"/>
              <w:spacing w:after="0"/>
              <w:rPr>
                <w:sz w:val="20"/>
                <w:szCs w:val="20"/>
                <w:color w:val="auto"/>
              </w:rPr>
            </w:pPr>
            <w:r>
              <w:rPr>
                <w:rFonts w:ascii="Times New Roman" w:cs="Times New Roman" w:eastAsia="Times New Roman" w:hAnsi="Times New Roman"/>
                <w:sz w:val="20"/>
                <w:szCs w:val="20"/>
                <w:color w:val="231F20"/>
              </w:rPr>
              <w:t>292</w:t>
            </w:r>
          </w:p>
        </w:tc>
        <w:tc>
          <w:tcPr>
            <w:tcW w:w="220" w:type="dxa"/>
            <w:vAlign w:val="bottom"/>
            <w:shd w:val="clear" w:color="auto" w:fill="EBECEC"/>
          </w:tcPr>
          <w:p>
            <w:pPr>
              <w:spacing w:after="0"/>
              <w:rPr>
                <w:sz w:val="20"/>
                <w:szCs w:val="20"/>
                <w:color w:val="auto"/>
              </w:rPr>
            </w:pPr>
          </w:p>
        </w:tc>
        <w:tc>
          <w:tcPr>
            <w:tcW w:w="94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274</w:t>
            </w: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231F20"/>
              </w:rPr>
              <w:t>Furniture and fixtures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697</w:t>
            </w:r>
          </w:p>
        </w:tc>
      </w:tr>
      <w:tr>
        <w:trPr>
          <w:trHeight w:val="225"/>
        </w:trPr>
        <w:tc>
          <w:tcPr>
            <w:tcW w:w="5120" w:type="dxa"/>
            <w:vAlign w:val="bottom"/>
            <w:tcBorders>
              <w:top w:val="single" w:sz="8" w:color="EBECEC"/>
            </w:tcBorders>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Total property and equipment, gross</w:t>
            </w:r>
          </w:p>
        </w:tc>
        <w:tc>
          <w:tcPr>
            <w:tcW w:w="240" w:type="dxa"/>
            <w:vAlign w:val="bottom"/>
            <w:tcBorders>
              <w:top w:val="single" w:sz="8" w:color="231F20"/>
            </w:tcBorders>
            <w:shd w:val="clear" w:color="auto" w:fill="EBECEC"/>
          </w:tcPr>
          <w:p>
            <w:pPr>
              <w:spacing w:after="0"/>
              <w:rPr>
                <w:sz w:val="19"/>
                <w:szCs w:val="19"/>
                <w:color w:val="auto"/>
              </w:rPr>
            </w:pPr>
          </w:p>
        </w:tc>
        <w:tc>
          <w:tcPr>
            <w:tcW w:w="84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10,066</w:t>
            </w:r>
          </w:p>
        </w:tc>
        <w:tc>
          <w:tcPr>
            <w:tcW w:w="200" w:type="dxa"/>
            <w:vAlign w:val="bottom"/>
            <w:tcBorders>
              <w:top w:val="single" w:sz="8" w:color="EBECEC"/>
            </w:tcBorders>
            <w:shd w:val="clear" w:color="auto" w:fill="EBECEC"/>
          </w:tcPr>
          <w:p>
            <w:pPr>
              <w:spacing w:after="0"/>
              <w:rPr>
                <w:sz w:val="19"/>
                <w:szCs w:val="19"/>
                <w:color w:val="auto"/>
              </w:rPr>
            </w:pPr>
          </w:p>
        </w:tc>
        <w:tc>
          <w:tcPr>
            <w:tcW w:w="220" w:type="dxa"/>
            <w:vAlign w:val="bottom"/>
            <w:tcBorders>
              <w:top w:val="single" w:sz="8" w:color="231F20"/>
            </w:tcBorders>
            <w:shd w:val="clear" w:color="auto" w:fill="EBECEC"/>
          </w:tcPr>
          <w:p>
            <w:pPr>
              <w:spacing w:after="0"/>
              <w:rPr>
                <w:sz w:val="19"/>
                <w:szCs w:val="19"/>
                <w:color w:val="auto"/>
              </w:rPr>
            </w:pPr>
          </w:p>
        </w:tc>
        <w:tc>
          <w:tcPr>
            <w:tcW w:w="86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10,400</w:t>
            </w:r>
          </w:p>
        </w:tc>
        <w:tc>
          <w:tcPr>
            <w:tcW w:w="80" w:type="dxa"/>
            <w:vAlign w:val="bottom"/>
            <w:tcBorders>
              <w:top w:val="single" w:sz="8" w:color="EBECEC"/>
            </w:tcBorders>
            <w:shd w:val="clear" w:color="auto" w:fill="EBECEC"/>
          </w:tcPr>
          <w:p>
            <w:pPr>
              <w:spacing w:after="0"/>
              <w:rPr>
                <w:sz w:val="19"/>
                <w:szCs w:val="19"/>
                <w:color w:val="auto"/>
              </w:rPr>
            </w:pPr>
          </w:p>
        </w:tc>
      </w:tr>
      <w:tr>
        <w:trPr>
          <w:trHeight w:val="230"/>
        </w:trPr>
        <w:tc>
          <w:tcPr>
            <w:tcW w:w="512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Less accumulated depreciation</w:t>
            </w:r>
          </w:p>
        </w:tc>
        <w:tc>
          <w:tcPr>
            <w:tcW w:w="24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(7,651)</w:t>
            </w:r>
          </w:p>
        </w:tc>
        <w:tc>
          <w:tcPr>
            <w:tcW w:w="200" w:type="dxa"/>
            <w:vAlign w:val="bottom"/>
            <w:tcBorders>
              <w:bottom w:val="single" w:sz="8" w:color="EBECEC"/>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(7,476)</w:t>
            </w:r>
          </w:p>
        </w:tc>
        <w:tc>
          <w:tcPr>
            <w:tcW w:w="80" w:type="dxa"/>
            <w:vAlign w:val="bottom"/>
            <w:tcBorders>
              <w:bottom w:val="single" w:sz="8" w:color="EBECEC"/>
            </w:tcBorders>
          </w:tcPr>
          <w:p>
            <w:pPr>
              <w:spacing w:after="0"/>
              <w:rPr>
                <w:sz w:val="20"/>
                <w:szCs w:val="20"/>
                <w:color w:val="auto"/>
              </w:rPr>
            </w:pPr>
          </w:p>
        </w:tc>
      </w:tr>
      <w:tr>
        <w:trPr>
          <w:trHeight w:val="225"/>
        </w:trPr>
        <w:tc>
          <w:tcPr>
            <w:tcW w:w="5120" w:type="dxa"/>
            <w:vAlign w:val="bottom"/>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Total property and equipment, net</w:t>
            </w:r>
          </w:p>
        </w:tc>
        <w:tc>
          <w:tcPr>
            <w:tcW w:w="240" w:type="dxa"/>
            <w:vAlign w:val="bottom"/>
            <w:tcBorders>
              <w:bottom w:val="single" w:sz="8" w:color="231F20"/>
            </w:tcBorders>
            <w:shd w:val="clear" w:color="auto" w:fill="EBECEC"/>
          </w:tcPr>
          <w:p>
            <w:pPr>
              <w:jc w:val="right"/>
              <w:ind w:right="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2,415</w:t>
            </w:r>
          </w:p>
        </w:tc>
        <w:tc>
          <w:tcPr>
            <w:tcW w:w="200" w:type="dxa"/>
            <w:vAlign w:val="bottom"/>
            <w:shd w:val="clear" w:color="auto" w:fill="EBECEC"/>
          </w:tcPr>
          <w:p>
            <w:pPr>
              <w:spacing w:after="0"/>
              <w:rPr>
                <w:sz w:val="19"/>
                <w:szCs w:val="19"/>
                <w:color w:val="auto"/>
              </w:rPr>
            </w:pPr>
          </w:p>
        </w:tc>
        <w:tc>
          <w:tcPr>
            <w:tcW w:w="220" w:type="dxa"/>
            <w:vAlign w:val="bottom"/>
            <w:tcBorders>
              <w:bottom w:val="single" w:sz="8" w:color="231F20"/>
            </w:tcBorders>
            <w:shd w:val="clear" w:color="auto" w:fill="EBECEC"/>
          </w:tcPr>
          <w:p>
            <w:pPr>
              <w:jc w:val="right"/>
              <w:ind w:right="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2,924</w:t>
            </w:r>
          </w:p>
        </w:tc>
        <w:tc>
          <w:tcPr>
            <w:tcW w:w="80" w:type="dxa"/>
            <w:vAlign w:val="bottom"/>
            <w:shd w:val="clear" w:color="auto" w:fill="EBECE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Depreciation expense was $1.2 million and $1.1 million for the years ended December 31, 2025 and 2024, respectively.</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119</w:t>
      </w:r>
    </w:p>
    <w:p>
      <w:pPr>
        <w:sectPr>
          <w:pgSz w:w="11880" w:h="15480" w:orient="portrait"/>
          <w:cols w:equalWidth="0" w:num="1">
            <w:col w:w="10780"/>
          </w:cols>
          <w:pgMar w:left="540" w:top="750" w:right="560" w:bottom="0" w:gutter="0" w:footer="0" w:header="0"/>
          <w:type w:val="continuous"/>
        </w:sectPr>
      </w:pPr>
    </w:p>
    <w:bookmarkStart w:id="125" w:name="page126"/>
    <w:bookmarkEnd w:id="125"/>
    <w:p>
      <w:pPr>
        <w:ind w:left="200" w:hanging="200"/>
        <w:spacing w:after="0"/>
        <w:tabs>
          <w:tab w:leader="none" w:pos="200" w:val="left"/>
        </w:tabs>
        <w:numPr>
          <w:ilvl w:val="0"/>
          <w:numId w:val="7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u w:val="single" w:color="auto"/>
          <w:color w:val="231F20"/>
        </w:rPr>
        <w:t>Accrued Liabilities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Accrued liabilities consisted of the following (in thousands):</w:t>
      </w:r>
    </w:p>
    <w:p>
      <w:pPr>
        <w:spacing w:after="0" w:line="229" w:lineRule="exact"/>
        <w:rPr>
          <w:sz w:val="20"/>
          <w:szCs w:val="20"/>
          <w:color w:val="auto"/>
        </w:rPr>
      </w:pPr>
    </w:p>
    <w:tbl>
      <w:tblPr>
        <w:tblLayout w:type="fixed"/>
        <w:tblInd w:w="1620" w:type="dxa"/>
        <w:tblCellMar>
          <w:top w:w="0" w:type="dxa"/>
          <w:left w:w="0" w:type="dxa"/>
          <w:bottom w:w="0" w:type="dxa"/>
          <w:right w:w="0" w:type="dxa"/>
        </w:tblCellMar>
      </w:tblPr>
      <w:tr>
        <w:trPr>
          <w:trHeight w:val="252"/>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231F20"/>
              </w:rPr>
              <w:t>December 31,</w:t>
            </w:r>
          </w:p>
        </w:tc>
      </w:tr>
      <w:tr>
        <w:trPr>
          <w:trHeight w:val="207"/>
        </w:trPr>
        <w:tc>
          <w:tcPr>
            <w:tcW w:w="5040" w:type="dxa"/>
            <w:vAlign w:val="bottom"/>
            <w:tcBorders>
              <w:bottom w:val="single" w:sz="8" w:color="EBECEC"/>
            </w:tcBorders>
          </w:tcPr>
          <w:p>
            <w:pPr>
              <w:spacing w:after="0"/>
              <w:rPr>
                <w:sz w:val="17"/>
                <w:szCs w:val="17"/>
                <w:color w:val="auto"/>
              </w:rPr>
            </w:pPr>
          </w:p>
        </w:tc>
        <w:tc>
          <w:tcPr>
            <w:tcW w:w="240" w:type="dxa"/>
            <w:vAlign w:val="bottom"/>
            <w:tcBorders>
              <w:top w:val="single" w:sz="8" w:color="231F20"/>
              <w:bottom w:val="single" w:sz="8" w:color="231F20"/>
            </w:tcBorders>
          </w:tcPr>
          <w:p>
            <w:pPr>
              <w:spacing w:after="0"/>
              <w:rPr>
                <w:sz w:val="17"/>
                <w:szCs w:val="17"/>
                <w:color w:val="auto"/>
              </w:rPr>
            </w:pPr>
          </w:p>
        </w:tc>
        <w:tc>
          <w:tcPr>
            <w:tcW w:w="860" w:type="dxa"/>
            <w:vAlign w:val="bottom"/>
            <w:tcBorders>
              <w:top w:val="single" w:sz="8" w:color="231F20"/>
              <w:bottom w:val="single" w:sz="8" w:color="231F20"/>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20" w:type="dxa"/>
            <w:vAlign w:val="bottom"/>
            <w:tcBorders>
              <w:top w:val="single" w:sz="8" w:color="231F20"/>
              <w:bottom w:val="single" w:sz="8" w:color="EBECEC"/>
            </w:tcBorders>
          </w:tcPr>
          <w:p>
            <w:pPr>
              <w:spacing w:after="0"/>
              <w:rPr>
                <w:sz w:val="17"/>
                <w:szCs w:val="17"/>
                <w:color w:val="auto"/>
              </w:rPr>
            </w:pPr>
          </w:p>
        </w:tc>
        <w:tc>
          <w:tcPr>
            <w:tcW w:w="240" w:type="dxa"/>
            <w:vAlign w:val="bottom"/>
            <w:tcBorders>
              <w:top w:val="single" w:sz="8" w:color="231F20"/>
              <w:bottom w:val="single" w:sz="8" w:color="231F20"/>
            </w:tcBorders>
          </w:tcPr>
          <w:p>
            <w:pPr>
              <w:spacing w:after="0"/>
              <w:rPr>
                <w:sz w:val="17"/>
                <w:szCs w:val="17"/>
                <w:color w:val="auto"/>
              </w:rPr>
            </w:pPr>
          </w:p>
        </w:tc>
        <w:tc>
          <w:tcPr>
            <w:tcW w:w="860" w:type="dxa"/>
            <w:vAlign w:val="bottom"/>
            <w:tcBorders>
              <w:top w:val="single" w:sz="8" w:color="231F20"/>
              <w:bottom w:val="single" w:sz="8" w:color="231F20"/>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100" w:type="dxa"/>
            <w:vAlign w:val="bottom"/>
            <w:tcBorders>
              <w:bottom w:val="single" w:sz="8" w:color="EBECEC"/>
            </w:tcBorders>
          </w:tcPr>
          <w:p>
            <w:pPr>
              <w:spacing w:after="0"/>
              <w:rPr>
                <w:sz w:val="17"/>
                <w:szCs w:val="17"/>
                <w:color w:val="auto"/>
              </w:rPr>
            </w:pPr>
          </w:p>
        </w:tc>
      </w:tr>
      <w:tr>
        <w:trPr>
          <w:trHeight w:val="225"/>
        </w:trPr>
        <w:tc>
          <w:tcPr>
            <w:tcW w:w="504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Accrued clinical and manufacturing costs</w:t>
            </w:r>
          </w:p>
        </w:tc>
        <w:tc>
          <w:tcPr>
            <w:tcW w:w="240" w:type="dxa"/>
            <w:vAlign w:val="bottom"/>
            <w:shd w:val="clear" w:color="auto" w:fill="EBECEC"/>
          </w:tcPr>
          <w:p>
            <w:pPr>
              <w:jc w:val="right"/>
              <w:ind w:right="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4,303</w:t>
            </w:r>
          </w:p>
        </w:tc>
        <w:tc>
          <w:tcPr>
            <w:tcW w:w="220" w:type="dxa"/>
            <w:vAlign w:val="bottom"/>
            <w:shd w:val="clear" w:color="auto" w:fill="EBECEC"/>
          </w:tcPr>
          <w:p>
            <w:pPr>
              <w:spacing w:after="0"/>
              <w:rPr>
                <w:sz w:val="19"/>
                <w:szCs w:val="19"/>
                <w:color w:val="auto"/>
              </w:rPr>
            </w:pPr>
          </w:p>
        </w:tc>
        <w:tc>
          <w:tcPr>
            <w:tcW w:w="240" w:type="dxa"/>
            <w:vAlign w:val="bottom"/>
            <w:shd w:val="clear" w:color="auto" w:fill="EBECEC"/>
          </w:tcPr>
          <w:p>
            <w:pPr>
              <w:jc w:val="right"/>
              <w:ind w:right="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11,808</w:t>
            </w:r>
          </w:p>
        </w:tc>
        <w:tc>
          <w:tcPr>
            <w:tcW w:w="100" w:type="dxa"/>
            <w:vAlign w:val="bottom"/>
            <w:shd w:val="clear" w:color="auto" w:fill="EBECE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231F20"/>
              </w:rPr>
              <w:t>Accrued compensation</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8,094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7,648</w:t>
            </w:r>
          </w:p>
        </w:tc>
        <w:tc>
          <w:tcPr>
            <w:tcW w:w="100" w:type="dxa"/>
            <w:vAlign w:val="bottom"/>
          </w:tcPr>
          <w:p>
            <w:pPr>
              <w:spacing w:after="0"/>
              <w:rPr>
                <w:sz w:val="20"/>
                <w:szCs w:val="20"/>
                <w:color w:val="auto"/>
              </w:rPr>
            </w:pPr>
          </w:p>
        </w:tc>
      </w:tr>
      <w:tr>
        <w:trPr>
          <w:trHeight w:val="230"/>
        </w:trPr>
        <w:tc>
          <w:tcPr>
            <w:tcW w:w="50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Operating lease liabilities - short-term</w:t>
            </w:r>
          </w:p>
        </w:tc>
        <w:tc>
          <w:tcPr>
            <w:tcW w:w="240" w:type="dxa"/>
            <w:vAlign w:val="bottom"/>
            <w:shd w:val="clear" w:color="auto" w:fill="EBECEC"/>
          </w:tcPr>
          <w:p>
            <w:pPr>
              <w:spacing w:after="0"/>
              <w:rPr>
                <w:sz w:val="20"/>
                <w:szCs w:val="20"/>
                <w:color w:val="auto"/>
              </w:rPr>
            </w:pPr>
          </w:p>
        </w:tc>
        <w:tc>
          <w:tcPr>
            <w:tcW w:w="1080" w:type="dxa"/>
            <w:vAlign w:val="bottom"/>
            <w:gridSpan w:val="2"/>
            <w:shd w:val="clear" w:color="auto" w:fill="EBECEC"/>
          </w:tcPr>
          <w:p>
            <w:pPr>
              <w:jc w:val="right"/>
              <w:ind w:right="220"/>
              <w:spacing w:after="0"/>
              <w:rPr>
                <w:sz w:val="20"/>
                <w:szCs w:val="20"/>
                <w:color w:val="auto"/>
              </w:rPr>
            </w:pPr>
            <w:r>
              <w:rPr>
                <w:rFonts w:ascii="Times New Roman" w:cs="Times New Roman" w:eastAsia="Times New Roman" w:hAnsi="Times New Roman"/>
                <w:sz w:val="20"/>
                <w:szCs w:val="20"/>
                <w:color w:val="231F20"/>
              </w:rPr>
              <w:t>3,330</w:t>
            </w:r>
          </w:p>
        </w:tc>
        <w:tc>
          <w:tcPr>
            <w:tcW w:w="240" w:type="dxa"/>
            <w:vAlign w:val="bottom"/>
            <w:shd w:val="clear" w:color="auto" w:fill="EBECEC"/>
          </w:tcPr>
          <w:p>
            <w:pPr>
              <w:spacing w:after="0"/>
              <w:rPr>
                <w:sz w:val="20"/>
                <w:szCs w:val="20"/>
                <w:color w:val="auto"/>
              </w:rPr>
            </w:pPr>
          </w:p>
        </w:tc>
        <w:tc>
          <w:tcPr>
            <w:tcW w:w="96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3,183</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231F20"/>
              </w:rPr>
              <w:t>Other accruals</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866</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659</w:t>
            </w:r>
          </w:p>
        </w:tc>
      </w:tr>
      <w:tr>
        <w:trPr>
          <w:trHeight w:val="225"/>
        </w:trPr>
        <w:tc>
          <w:tcPr>
            <w:tcW w:w="5040" w:type="dxa"/>
            <w:vAlign w:val="bottom"/>
            <w:tcBorders>
              <w:top w:val="single" w:sz="8" w:color="EBECEC"/>
            </w:tcBorders>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Total accrued liabilities</w:t>
            </w:r>
          </w:p>
        </w:tc>
        <w:tc>
          <w:tcPr>
            <w:tcW w:w="240" w:type="dxa"/>
            <w:vAlign w:val="bottom"/>
            <w:tcBorders>
              <w:top w:val="single" w:sz="8" w:color="231F20"/>
              <w:bottom w:val="single" w:sz="8" w:color="231F20"/>
            </w:tcBorders>
            <w:shd w:val="clear" w:color="auto" w:fill="EBECEC"/>
          </w:tcPr>
          <w:p>
            <w:pPr>
              <w:jc w:val="right"/>
              <w:ind w:right="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16,593</w:t>
            </w:r>
          </w:p>
        </w:tc>
        <w:tc>
          <w:tcPr>
            <w:tcW w:w="220" w:type="dxa"/>
            <w:vAlign w:val="bottom"/>
            <w:tcBorders>
              <w:top w:val="single" w:sz="8" w:color="EBECEC"/>
            </w:tcBorders>
            <w:shd w:val="clear" w:color="auto" w:fill="EBECEC"/>
          </w:tcPr>
          <w:p>
            <w:pPr>
              <w:spacing w:after="0"/>
              <w:rPr>
                <w:sz w:val="19"/>
                <w:szCs w:val="19"/>
                <w:color w:val="auto"/>
              </w:rPr>
            </w:pPr>
          </w:p>
        </w:tc>
        <w:tc>
          <w:tcPr>
            <w:tcW w:w="240" w:type="dxa"/>
            <w:vAlign w:val="bottom"/>
            <w:tcBorders>
              <w:top w:val="single" w:sz="8" w:color="231F20"/>
              <w:bottom w:val="single" w:sz="8" w:color="231F20"/>
            </w:tcBorders>
            <w:shd w:val="clear" w:color="auto" w:fill="EBECEC"/>
          </w:tcPr>
          <w:p>
            <w:pPr>
              <w:jc w:val="right"/>
              <w:ind w:right="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23,298</w:t>
            </w:r>
          </w:p>
        </w:tc>
        <w:tc>
          <w:tcPr>
            <w:tcW w:w="100" w:type="dxa"/>
            <w:vAlign w:val="bottom"/>
            <w:tcBorders>
              <w:top w:val="single" w:sz="8" w:color="EBECEC"/>
            </w:tcBorders>
            <w:shd w:val="clear" w:color="auto" w:fill="EBECE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200" w:hanging="200"/>
        <w:spacing w:after="0"/>
        <w:tabs>
          <w:tab w:leader="none" w:pos="200" w:val="left"/>
        </w:tabs>
        <w:numPr>
          <w:ilvl w:val="0"/>
          <w:numId w:val="7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u w:val="single" w:color="auto"/>
          <w:color w:val="231F20"/>
        </w:rPr>
        <w:t>Investments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Company's available-for-sale investments consisted of the following (in thousands):</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w w:val="98"/>
              </w:rPr>
              <w:t>December 31, 2025</w:t>
            </w:r>
          </w:p>
        </w:tc>
        <w:tc>
          <w:tcPr>
            <w:tcW w:w="204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8"/>
                <w:szCs w:val="18"/>
                <w:b w:val="1"/>
                <w:bCs w:val="1"/>
                <w:color w:val="231F20"/>
                <w:w w:val="99"/>
              </w:rPr>
              <w:t>Amortized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8"/>
                <w:szCs w:val="18"/>
                <w:b w:val="1"/>
                <w:bCs w:val="1"/>
                <w:color w:val="231F20"/>
                <w:w w:val="99"/>
              </w:rPr>
              <w:t>Unrealized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231F20"/>
                <w:w w:val="97"/>
              </w:rPr>
              <w:t>Unrealized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23"/>
              <w:spacing w:after="0"/>
              <w:rPr>
                <w:sz w:val="20"/>
                <w:szCs w:val="20"/>
                <w:color w:val="auto"/>
              </w:rPr>
            </w:pPr>
            <w:r>
              <w:rPr>
                <w:rFonts w:ascii="Times New Roman" w:cs="Times New Roman" w:eastAsia="Times New Roman" w:hAnsi="Times New Roman"/>
                <w:sz w:val="18"/>
                <w:szCs w:val="18"/>
                <w:b w:val="1"/>
                <w:bCs w:val="1"/>
                <w:color w:val="231F20"/>
              </w:rPr>
              <w:t>Estimated</w:t>
            </w:r>
          </w:p>
        </w:tc>
        <w:tc>
          <w:tcPr>
            <w:tcW w:w="0" w:type="dxa"/>
            <w:vAlign w:val="bottom"/>
          </w:tcPr>
          <w:p>
            <w:pPr>
              <w:spacing w:after="0"/>
              <w:rPr>
                <w:sz w:val="1"/>
                <w:szCs w:val="1"/>
                <w:color w:val="auto"/>
              </w:rPr>
            </w:pPr>
          </w:p>
        </w:tc>
      </w:tr>
      <w:tr>
        <w:trPr>
          <w:trHeight w:val="235"/>
        </w:trPr>
        <w:tc>
          <w:tcPr>
            <w:tcW w:w="1620" w:type="dxa"/>
            <w:vAlign w:val="bottom"/>
            <w:tcBorders>
              <w:bottom w:val="single" w:sz="8" w:color="231F20"/>
            </w:tcBorders>
            <w:gridSpan w:val="2"/>
            <w:vMerge w:val="continue"/>
          </w:tcPr>
          <w:p>
            <w:pPr>
              <w:spacing w:after="0"/>
              <w:rPr>
                <w:sz w:val="20"/>
                <w:szCs w:val="20"/>
                <w:color w:val="auto"/>
              </w:rPr>
            </w:pPr>
          </w:p>
        </w:tc>
        <w:tc>
          <w:tcPr>
            <w:tcW w:w="2040" w:type="dxa"/>
            <w:vAlign w:val="bottom"/>
            <w:tcBorders>
              <w:bottom w:val="single" w:sz="8" w:color="EBECEC"/>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283"/>
              <w:spacing w:after="0"/>
              <w:rPr>
                <w:sz w:val="20"/>
                <w:szCs w:val="20"/>
                <w:color w:val="auto"/>
              </w:rPr>
            </w:pPr>
            <w:r>
              <w:rPr>
                <w:rFonts w:ascii="Times New Roman" w:cs="Times New Roman" w:eastAsia="Times New Roman" w:hAnsi="Times New Roman"/>
                <w:sz w:val="18"/>
                <w:szCs w:val="18"/>
                <w:b w:val="1"/>
                <w:bCs w:val="1"/>
                <w:color w:val="231F20"/>
              </w:rPr>
              <w:t>Cost</w:t>
            </w:r>
          </w:p>
        </w:tc>
        <w:tc>
          <w:tcPr>
            <w:tcW w:w="200" w:type="dxa"/>
            <w:vAlign w:val="bottom"/>
            <w:tcBorders>
              <w:bottom w:val="single" w:sz="8" w:color="EBECEC"/>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223"/>
              <w:spacing w:after="0"/>
              <w:rPr>
                <w:sz w:val="20"/>
                <w:szCs w:val="20"/>
                <w:color w:val="auto"/>
              </w:rPr>
            </w:pPr>
            <w:r>
              <w:rPr>
                <w:rFonts w:ascii="Times New Roman" w:cs="Times New Roman" w:eastAsia="Times New Roman" w:hAnsi="Times New Roman"/>
                <w:sz w:val="18"/>
                <w:szCs w:val="18"/>
                <w:b w:val="1"/>
                <w:bCs w:val="1"/>
                <w:color w:val="231F20"/>
              </w:rPr>
              <w:t>Gains</w:t>
            </w:r>
          </w:p>
        </w:tc>
        <w:tc>
          <w:tcPr>
            <w:tcW w:w="200" w:type="dxa"/>
            <w:vAlign w:val="bottom"/>
            <w:tcBorders>
              <w:bottom w:val="single" w:sz="8" w:color="EBECEC"/>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203"/>
              <w:spacing w:after="0"/>
              <w:rPr>
                <w:sz w:val="20"/>
                <w:szCs w:val="20"/>
                <w:color w:val="auto"/>
              </w:rPr>
            </w:pPr>
            <w:r>
              <w:rPr>
                <w:rFonts w:ascii="Times New Roman" w:cs="Times New Roman" w:eastAsia="Times New Roman" w:hAnsi="Times New Roman"/>
                <w:sz w:val="18"/>
                <w:szCs w:val="18"/>
                <w:b w:val="1"/>
                <w:bCs w:val="1"/>
                <w:color w:val="231F20"/>
              </w:rPr>
              <w:t>Losses</w:t>
            </w:r>
          </w:p>
        </w:tc>
        <w:tc>
          <w:tcPr>
            <w:tcW w:w="120" w:type="dxa"/>
            <w:vAlign w:val="bottom"/>
            <w:tcBorders>
              <w:bottom w:val="single" w:sz="8" w:color="EBECEC"/>
            </w:tcBorders>
          </w:tcPr>
          <w:p>
            <w:pPr>
              <w:spacing w:after="0"/>
              <w:rPr>
                <w:sz w:val="20"/>
                <w:szCs w:val="20"/>
                <w:color w:val="auto"/>
              </w:rPr>
            </w:pPr>
          </w:p>
        </w:tc>
        <w:tc>
          <w:tcPr>
            <w:tcW w:w="80" w:type="dxa"/>
            <w:vAlign w:val="bottom"/>
            <w:tcBorders>
              <w:bottom w:val="single" w:sz="8" w:color="EBECEC"/>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8"/>
                <w:szCs w:val="18"/>
                <w:b w:val="1"/>
                <w:bCs w:val="1"/>
                <w:color w:val="231F20"/>
                <w:w w:val="99"/>
              </w:rPr>
              <w:t>Fair Value</w:t>
            </w:r>
          </w:p>
        </w:tc>
        <w:tc>
          <w:tcPr>
            <w:tcW w:w="0" w:type="dxa"/>
            <w:vAlign w:val="bottom"/>
          </w:tcPr>
          <w:p>
            <w:pPr>
              <w:spacing w:after="0"/>
              <w:rPr>
                <w:sz w:val="1"/>
                <w:szCs w:val="1"/>
                <w:color w:val="auto"/>
              </w:rPr>
            </w:pPr>
          </w:p>
        </w:tc>
      </w:tr>
      <w:tr>
        <w:trPr>
          <w:trHeight w:val="214"/>
        </w:trPr>
        <w:tc>
          <w:tcPr>
            <w:tcW w:w="3660" w:type="dxa"/>
            <w:vAlign w:val="bottom"/>
            <w:tcBorders>
              <w:top w:val="single" w:sz="8" w:color="EBECEC"/>
            </w:tcBorders>
            <w:gridSpan w:val="3"/>
            <w:shd w:val="clear" w:color="auto" w:fill="EBECEC"/>
          </w:tcPr>
          <w:p>
            <w:pPr>
              <w:spacing w:after="0" w:line="214" w:lineRule="exact"/>
              <w:rPr>
                <w:sz w:val="20"/>
                <w:szCs w:val="20"/>
                <w:color w:val="auto"/>
              </w:rPr>
            </w:pPr>
            <w:r>
              <w:rPr>
                <w:rFonts w:ascii="Times New Roman" w:cs="Times New Roman" w:eastAsia="Times New Roman" w:hAnsi="Times New Roman"/>
                <w:sz w:val="20"/>
                <w:szCs w:val="20"/>
                <w:color w:val="231F20"/>
              </w:rPr>
              <w:t>Short-term</w:t>
            </w:r>
          </w:p>
        </w:tc>
        <w:tc>
          <w:tcPr>
            <w:tcW w:w="20" w:type="dxa"/>
            <w:vAlign w:val="bottom"/>
          </w:tcPr>
          <w:p>
            <w:pPr>
              <w:spacing w:after="0"/>
              <w:rPr>
                <w:sz w:val="18"/>
                <w:szCs w:val="18"/>
                <w:color w:val="auto"/>
              </w:rPr>
            </w:pPr>
          </w:p>
        </w:tc>
        <w:tc>
          <w:tcPr>
            <w:tcW w:w="80" w:type="dxa"/>
            <w:vAlign w:val="bottom"/>
            <w:tcBorders>
              <w:top w:val="single" w:sz="8" w:color="231F20"/>
            </w:tcBorders>
            <w:shd w:val="clear" w:color="auto" w:fill="EBECEC"/>
          </w:tcPr>
          <w:p>
            <w:pPr>
              <w:spacing w:after="0"/>
              <w:rPr>
                <w:sz w:val="18"/>
                <w:szCs w:val="18"/>
                <w:color w:val="auto"/>
              </w:rPr>
            </w:pPr>
          </w:p>
        </w:tc>
        <w:tc>
          <w:tcPr>
            <w:tcW w:w="980" w:type="dxa"/>
            <w:vAlign w:val="bottom"/>
            <w:tcBorders>
              <w:top w:val="single" w:sz="8" w:color="231F20"/>
            </w:tcBorders>
            <w:shd w:val="clear" w:color="auto" w:fill="EBECEC"/>
          </w:tcPr>
          <w:p>
            <w:pPr>
              <w:spacing w:after="0"/>
              <w:rPr>
                <w:sz w:val="18"/>
                <w:szCs w:val="18"/>
                <w:color w:val="auto"/>
              </w:rPr>
            </w:pPr>
          </w:p>
        </w:tc>
        <w:tc>
          <w:tcPr>
            <w:tcW w:w="200" w:type="dxa"/>
            <w:vAlign w:val="bottom"/>
            <w:tcBorders>
              <w:top w:val="single" w:sz="8" w:color="EBECEC"/>
            </w:tcBorders>
            <w:shd w:val="clear" w:color="auto" w:fill="EBECEC"/>
          </w:tcPr>
          <w:p>
            <w:pPr>
              <w:spacing w:after="0"/>
              <w:rPr>
                <w:sz w:val="18"/>
                <w:szCs w:val="18"/>
                <w:color w:val="auto"/>
              </w:rPr>
            </w:pPr>
          </w:p>
        </w:tc>
        <w:tc>
          <w:tcPr>
            <w:tcW w:w="100" w:type="dxa"/>
            <w:vAlign w:val="bottom"/>
            <w:tcBorders>
              <w:top w:val="single" w:sz="8" w:color="231F20"/>
            </w:tcBorders>
            <w:shd w:val="clear" w:color="auto" w:fill="EBECEC"/>
          </w:tcPr>
          <w:p>
            <w:pPr>
              <w:spacing w:after="0"/>
              <w:rPr>
                <w:sz w:val="18"/>
                <w:szCs w:val="18"/>
                <w:color w:val="auto"/>
              </w:rPr>
            </w:pPr>
          </w:p>
        </w:tc>
        <w:tc>
          <w:tcPr>
            <w:tcW w:w="980" w:type="dxa"/>
            <w:vAlign w:val="bottom"/>
            <w:tcBorders>
              <w:top w:val="single" w:sz="8" w:color="231F20"/>
            </w:tcBorders>
            <w:shd w:val="clear" w:color="auto" w:fill="EBECEC"/>
          </w:tcPr>
          <w:p>
            <w:pPr>
              <w:spacing w:after="0"/>
              <w:rPr>
                <w:sz w:val="18"/>
                <w:szCs w:val="18"/>
                <w:color w:val="auto"/>
              </w:rPr>
            </w:pPr>
          </w:p>
        </w:tc>
        <w:tc>
          <w:tcPr>
            <w:tcW w:w="200" w:type="dxa"/>
            <w:vAlign w:val="bottom"/>
            <w:tcBorders>
              <w:top w:val="single" w:sz="8" w:color="EBECEC"/>
            </w:tcBorders>
            <w:shd w:val="clear" w:color="auto" w:fill="EBECEC"/>
          </w:tcPr>
          <w:p>
            <w:pPr>
              <w:spacing w:after="0"/>
              <w:rPr>
                <w:sz w:val="18"/>
                <w:szCs w:val="18"/>
                <w:color w:val="auto"/>
              </w:rPr>
            </w:pPr>
          </w:p>
        </w:tc>
        <w:tc>
          <w:tcPr>
            <w:tcW w:w="100" w:type="dxa"/>
            <w:vAlign w:val="bottom"/>
            <w:tcBorders>
              <w:top w:val="single" w:sz="8" w:color="231F20"/>
            </w:tcBorders>
            <w:shd w:val="clear" w:color="auto" w:fill="EBECEC"/>
          </w:tcPr>
          <w:p>
            <w:pPr>
              <w:spacing w:after="0"/>
              <w:rPr>
                <w:sz w:val="18"/>
                <w:szCs w:val="18"/>
                <w:color w:val="auto"/>
              </w:rPr>
            </w:pPr>
          </w:p>
        </w:tc>
        <w:tc>
          <w:tcPr>
            <w:tcW w:w="980" w:type="dxa"/>
            <w:vAlign w:val="bottom"/>
            <w:tcBorders>
              <w:top w:val="single" w:sz="8" w:color="231F20"/>
            </w:tcBorders>
            <w:shd w:val="clear" w:color="auto" w:fill="EBECEC"/>
          </w:tcPr>
          <w:p>
            <w:pPr>
              <w:spacing w:after="0"/>
              <w:rPr>
                <w:sz w:val="18"/>
                <w:szCs w:val="18"/>
                <w:color w:val="auto"/>
              </w:rPr>
            </w:pPr>
          </w:p>
        </w:tc>
        <w:tc>
          <w:tcPr>
            <w:tcW w:w="120" w:type="dxa"/>
            <w:vAlign w:val="bottom"/>
            <w:tcBorders>
              <w:top w:val="single" w:sz="8" w:color="EBECEC"/>
            </w:tcBorders>
            <w:shd w:val="clear" w:color="auto" w:fill="EBECEC"/>
          </w:tcPr>
          <w:p>
            <w:pPr>
              <w:spacing w:after="0"/>
              <w:rPr>
                <w:sz w:val="18"/>
                <w:szCs w:val="18"/>
                <w:color w:val="auto"/>
              </w:rPr>
            </w:pPr>
          </w:p>
        </w:tc>
        <w:tc>
          <w:tcPr>
            <w:tcW w:w="80" w:type="dxa"/>
            <w:vAlign w:val="bottom"/>
            <w:tcBorders>
              <w:top w:val="single" w:sz="8" w:color="EBECEC"/>
            </w:tcBorders>
            <w:shd w:val="clear" w:color="auto" w:fill="EBECEC"/>
          </w:tcPr>
          <w:p>
            <w:pPr>
              <w:spacing w:after="0"/>
              <w:rPr>
                <w:sz w:val="18"/>
                <w:szCs w:val="18"/>
                <w:color w:val="auto"/>
              </w:rPr>
            </w:pPr>
          </w:p>
        </w:tc>
        <w:tc>
          <w:tcPr>
            <w:tcW w:w="100" w:type="dxa"/>
            <w:vAlign w:val="bottom"/>
            <w:tcBorders>
              <w:top w:val="single" w:sz="8" w:color="231F20"/>
            </w:tcBorders>
            <w:shd w:val="clear" w:color="auto" w:fill="EBECEC"/>
          </w:tcPr>
          <w:p>
            <w:pPr>
              <w:spacing w:after="0"/>
              <w:rPr>
                <w:sz w:val="18"/>
                <w:szCs w:val="18"/>
                <w:color w:val="auto"/>
              </w:rPr>
            </w:pPr>
          </w:p>
        </w:tc>
        <w:tc>
          <w:tcPr>
            <w:tcW w:w="1040" w:type="dxa"/>
            <w:vAlign w:val="bottom"/>
            <w:tcBorders>
              <w:top w:val="single" w:sz="8" w:color="231F20"/>
              <w:right w:val="single" w:sz="8" w:color="EBECEC"/>
            </w:tcBorders>
            <w:shd w:val="clear" w:color="auto" w:fill="EBECE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231F20"/>
          </w:tcPr>
          <w:p>
            <w:pPr>
              <w:spacing w:after="0" w:line="20" w:lineRule="exact"/>
              <w:rPr>
                <w:sz w:val="1"/>
                <w:szCs w:val="1"/>
                <w:color w:val="auto"/>
              </w:rPr>
            </w:pPr>
          </w:p>
        </w:tc>
        <w:tc>
          <w:tcPr>
            <w:tcW w:w="760" w:type="dxa"/>
            <w:vAlign w:val="bottom"/>
            <w:shd w:val="clear" w:color="auto" w:fill="EBECEC"/>
          </w:tcPr>
          <w:p>
            <w:pPr>
              <w:spacing w:after="0" w:line="20" w:lineRule="exact"/>
              <w:rPr>
                <w:sz w:val="1"/>
                <w:szCs w:val="1"/>
                <w:color w:val="auto"/>
              </w:rPr>
            </w:pPr>
          </w:p>
        </w:tc>
        <w:tc>
          <w:tcPr>
            <w:tcW w:w="2040" w:type="dxa"/>
            <w:vAlign w:val="bottom"/>
            <w:shd w:val="clear" w:color="auto" w:fill="EBECE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EBECEC"/>
          </w:tcPr>
          <w:p>
            <w:pPr>
              <w:spacing w:after="0" w:line="20" w:lineRule="exact"/>
              <w:rPr>
                <w:sz w:val="1"/>
                <w:szCs w:val="1"/>
                <w:color w:val="auto"/>
              </w:rPr>
            </w:pPr>
          </w:p>
        </w:tc>
        <w:tc>
          <w:tcPr>
            <w:tcW w:w="980" w:type="dxa"/>
            <w:vAlign w:val="bottom"/>
            <w:shd w:val="clear" w:color="auto" w:fill="EBECEC"/>
          </w:tcPr>
          <w:p>
            <w:pPr>
              <w:spacing w:after="0" w:line="20" w:lineRule="exact"/>
              <w:rPr>
                <w:sz w:val="1"/>
                <w:szCs w:val="1"/>
                <w:color w:val="auto"/>
              </w:rPr>
            </w:pPr>
          </w:p>
        </w:tc>
        <w:tc>
          <w:tcPr>
            <w:tcW w:w="200" w:type="dxa"/>
            <w:vAlign w:val="bottom"/>
            <w:shd w:val="clear" w:color="auto" w:fill="EBECEC"/>
          </w:tcPr>
          <w:p>
            <w:pPr>
              <w:spacing w:after="0" w:line="20" w:lineRule="exact"/>
              <w:rPr>
                <w:sz w:val="1"/>
                <w:szCs w:val="1"/>
                <w:color w:val="auto"/>
              </w:rPr>
            </w:pPr>
          </w:p>
        </w:tc>
        <w:tc>
          <w:tcPr>
            <w:tcW w:w="100" w:type="dxa"/>
            <w:vAlign w:val="bottom"/>
            <w:shd w:val="clear" w:color="auto" w:fill="EBECEC"/>
          </w:tcPr>
          <w:p>
            <w:pPr>
              <w:spacing w:after="0" w:line="20" w:lineRule="exact"/>
              <w:rPr>
                <w:sz w:val="1"/>
                <w:szCs w:val="1"/>
                <w:color w:val="auto"/>
              </w:rPr>
            </w:pPr>
          </w:p>
        </w:tc>
        <w:tc>
          <w:tcPr>
            <w:tcW w:w="980" w:type="dxa"/>
            <w:vAlign w:val="bottom"/>
            <w:shd w:val="clear" w:color="auto" w:fill="EBECEC"/>
          </w:tcPr>
          <w:p>
            <w:pPr>
              <w:spacing w:after="0" w:line="20" w:lineRule="exact"/>
              <w:rPr>
                <w:sz w:val="1"/>
                <w:szCs w:val="1"/>
                <w:color w:val="auto"/>
              </w:rPr>
            </w:pPr>
          </w:p>
        </w:tc>
        <w:tc>
          <w:tcPr>
            <w:tcW w:w="200" w:type="dxa"/>
            <w:vAlign w:val="bottom"/>
            <w:shd w:val="clear" w:color="auto" w:fill="EBECEC"/>
          </w:tcPr>
          <w:p>
            <w:pPr>
              <w:spacing w:after="0" w:line="20" w:lineRule="exact"/>
              <w:rPr>
                <w:sz w:val="1"/>
                <w:szCs w:val="1"/>
                <w:color w:val="auto"/>
              </w:rPr>
            </w:pPr>
          </w:p>
        </w:tc>
        <w:tc>
          <w:tcPr>
            <w:tcW w:w="100" w:type="dxa"/>
            <w:vAlign w:val="bottom"/>
            <w:shd w:val="clear" w:color="auto" w:fill="EBECEC"/>
          </w:tcPr>
          <w:p>
            <w:pPr>
              <w:spacing w:after="0" w:line="20" w:lineRule="exact"/>
              <w:rPr>
                <w:sz w:val="1"/>
                <w:szCs w:val="1"/>
                <w:color w:val="auto"/>
              </w:rPr>
            </w:pPr>
          </w:p>
        </w:tc>
        <w:tc>
          <w:tcPr>
            <w:tcW w:w="980" w:type="dxa"/>
            <w:vAlign w:val="bottom"/>
            <w:shd w:val="clear" w:color="auto" w:fill="EBECEC"/>
          </w:tcPr>
          <w:p>
            <w:pPr>
              <w:spacing w:after="0" w:line="20" w:lineRule="exact"/>
              <w:rPr>
                <w:sz w:val="1"/>
                <w:szCs w:val="1"/>
                <w:color w:val="auto"/>
              </w:rPr>
            </w:pPr>
          </w:p>
        </w:tc>
        <w:tc>
          <w:tcPr>
            <w:tcW w:w="120" w:type="dxa"/>
            <w:vAlign w:val="bottom"/>
            <w:shd w:val="clear" w:color="auto" w:fill="EBECEC"/>
          </w:tcPr>
          <w:p>
            <w:pPr>
              <w:spacing w:after="0" w:line="20" w:lineRule="exact"/>
              <w:rPr>
                <w:sz w:val="1"/>
                <w:szCs w:val="1"/>
                <w:color w:val="auto"/>
              </w:rPr>
            </w:pPr>
          </w:p>
        </w:tc>
        <w:tc>
          <w:tcPr>
            <w:tcW w:w="80" w:type="dxa"/>
            <w:vAlign w:val="bottom"/>
            <w:shd w:val="clear" w:color="auto" w:fill="EBECEC"/>
          </w:tcPr>
          <w:p>
            <w:pPr>
              <w:spacing w:after="0" w:line="20" w:lineRule="exact"/>
              <w:rPr>
                <w:sz w:val="1"/>
                <w:szCs w:val="1"/>
                <w:color w:val="auto"/>
              </w:rPr>
            </w:pPr>
          </w:p>
        </w:tc>
        <w:tc>
          <w:tcPr>
            <w:tcW w:w="100" w:type="dxa"/>
            <w:vAlign w:val="bottom"/>
            <w:shd w:val="clear" w:color="auto" w:fill="EBECEC"/>
          </w:tcPr>
          <w:p>
            <w:pPr>
              <w:spacing w:after="0" w:line="20" w:lineRule="exact"/>
              <w:rPr>
                <w:sz w:val="1"/>
                <w:szCs w:val="1"/>
                <w:color w:val="auto"/>
              </w:rPr>
            </w:pPr>
          </w:p>
        </w:tc>
        <w:tc>
          <w:tcPr>
            <w:tcW w:w="1040" w:type="dxa"/>
            <w:vAlign w:val="bottom"/>
            <w:tcBorders>
              <w:right w:val="single" w:sz="8" w:color="EBECEC"/>
            </w:tcBorders>
            <w:shd w:val="clear" w:color="auto" w:fill="EBECE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660" w:type="dxa"/>
            <w:vAlign w:val="bottom"/>
            <w:tcBorders>
              <w:bottom w:val="single" w:sz="8" w:color="EBECEC"/>
            </w:tcBorders>
            <w:gridSpan w:val="3"/>
          </w:tcPr>
          <w:p>
            <w:pPr>
              <w:ind w:left="200"/>
              <w:spacing w:after="0"/>
              <w:rPr>
                <w:sz w:val="20"/>
                <w:szCs w:val="20"/>
                <w:color w:val="auto"/>
              </w:rPr>
            </w:pPr>
            <w:r>
              <w:rPr>
                <w:rFonts w:ascii="Times New Roman" w:cs="Times New Roman" w:eastAsia="Times New Roman" w:hAnsi="Times New Roman"/>
                <w:sz w:val="20"/>
                <w:szCs w:val="20"/>
                <w:color w:val="231F20"/>
              </w:rPr>
              <w:t>U.S. treasury securities</w:t>
            </w:r>
          </w:p>
        </w:tc>
        <w:tc>
          <w:tcPr>
            <w:tcW w:w="20" w:type="dxa"/>
            <w:vAlign w:val="bottom"/>
            <w:vMerge w:val="continue"/>
          </w:tcPr>
          <w:p>
            <w:pPr>
              <w:spacing w:after="0"/>
              <w:rPr>
                <w:sz w:val="20"/>
                <w:szCs w:val="20"/>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235,263</w:t>
            </w:r>
          </w:p>
        </w:tc>
        <w:tc>
          <w:tcPr>
            <w:tcW w:w="200" w:type="dxa"/>
            <w:vAlign w:val="bottom"/>
            <w:tcBorders>
              <w:bottom w:val="single" w:sz="8" w:color="EBECEC"/>
            </w:tcBorders>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556</w:t>
            </w:r>
          </w:p>
        </w:tc>
        <w:tc>
          <w:tcPr>
            <w:tcW w:w="200" w:type="dxa"/>
            <w:vAlign w:val="bottom"/>
            <w:tcBorders>
              <w:bottom w:val="single" w:sz="8" w:color="EBECEC"/>
            </w:tcBorders>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EBECEC"/>
            </w:tcBorders>
          </w:tcPr>
          <w:p>
            <w:pPr>
              <w:spacing w:after="0"/>
              <w:rPr>
                <w:sz w:val="20"/>
                <w:szCs w:val="20"/>
                <w:color w:val="auto"/>
              </w:rPr>
            </w:pPr>
          </w:p>
        </w:tc>
        <w:tc>
          <w:tcPr>
            <w:tcW w:w="80" w:type="dxa"/>
            <w:vAlign w:val="bottom"/>
            <w:tcBorders>
              <w:bottom w:val="single" w:sz="8" w:color="EBECEC"/>
            </w:tcBorders>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235,819</w:t>
            </w:r>
          </w:p>
        </w:tc>
        <w:tc>
          <w:tcPr>
            <w:tcW w:w="0" w:type="dxa"/>
            <w:vAlign w:val="bottom"/>
          </w:tcPr>
          <w:p>
            <w:pPr>
              <w:spacing w:after="0"/>
              <w:rPr>
                <w:sz w:val="1"/>
                <w:szCs w:val="1"/>
                <w:color w:val="auto"/>
              </w:rPr>
            </w:pPr>
          </w:p>
        </w:tc>
      </w:tr>
      <w:tr>
        <w:trPr>
          <w:trHeight w:val="259"/>
        </w:trPr>
        <w:tc>
          <w:tcPr>
            <w:tcW w:w="3660" w:type="dxa"/>
            <w:vAlign w:val="bottom"/>
            <w:tcBorders>
              <w:bottom w:val="single" w:sz="8" w:color="EBECEC"/>
            </w:tcBorders>
            <w:gridSpan w:val="3"/>
            <w:shd w:val="clear" w:color="auto" w:fill="EBECEC"/>
          </w:tcPr>
          <w:p>
            <w:pPr>
              <w:ind w:left="400"/>
              <w:spacing w:after="0"/>
              <w:rPr>
                <w:sz w:val="20"/>
                <w:szCs w:val="20"/>
                <w:color w:val="auto"/>
              </w:rPr>
            </w:pPr>
            <w:r>
              <w:rPr>
                <w:rFonts w:ascii="Times New Roman" w:cs="Times New Roman" w:eastAsia="Times New Roman" w:hAnsi="Times New Roman"/>
                <w:sz w:val="20"/>
                <w:szCs w:val="20"/>
                <w:color w:val="231F20"/>
              </w:rPr>
              <w:t>Short-term investments</w:t>
            </w:r>
          </w:p>
        </w:tc>
        <w:tc>
          <w:tcPr>
            <w:tcW w:w="20" w:type="dxa"/>
            <w:vAlign w:val="bottom"/>
          </w:tcPr>
          <w:p>
            <w:pPr>
              <w:spacing w:after="0"/>
              <w:rPr>
                <w:sz w:val="22"/>
                <w:szCs w:val="22"/>
                <w:color w:val="auto"/>
              </w:rPr>
            </w:pPr>
          </w:p>
        </w:tc>
        <w:tc>
          <w:tcPr>
            <w:tcW w:w="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BECEC"/>
              </w:rPr>
              <w:t>$</w:t>
            </w:r>
          </w:p>
        </w:tc>
        <w:tc>
          <w:tcPr>
            <w:tcW w:w="9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235,263</w:t>
            </w:r>
          </w:p>
        </w:tc>
        <w:tc>
          <w:tcPr>
            <w:tcW w:w="200" w:type="dxa"/>
            <w:vAlign w:val="bottom"/>
            <w:tcBorders>
              <w:bottom w:val="single" w:sz="8" w:color="EBECEC"/>
            </w:tcBorders>
            <w:shd w:val="clear" w:color="auto" w:fill="EBECEC"/>
          </w:tcPr>
          <w:p>
            <w:pPr>
              <w:spacing w:after="0"/>
              <w:rPr>
                <w:sz w:val="22"/>
                <w:szCs w:val="22"/>
                <w:color w:val="auto"/>
              </w:rPr>
            </w:pPr>
          </w:p>
        </w:tc>
        <w:tc>
          <w:tcPr>
            <w:tcW w:w="1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556</w:t>
            </w:r>
          </w:p>
        </w:tc>
        <w:tc>
          <w:tcPr>
            <w:tcW w:w="200" w:type="dxa"/>
            <w:vAlign w:val="bottom"/>
            <w:tcBorders>
              <w:bottom w:val="single" w:sz="8" w:color="EBECEC"/>
            </w:tcBorders>
            <w:shd w:val="clear" w:color="auto" w:fill="EBECEC"/>
          </w:tcPr>
          <w:p>
            <w:pPr>
              <w:spacing w:after="0"/>
              <w:rPr>
                <w:sz w:val="22"/>
                <w:szCs w:val="22"/>
                <w:color w:val="auto"/>
              </w:rPr>
            </w:pPr>
          </w:p>
        </w:tc>
        <w:tc>
          <w:tcPr>
            <w:tcW w:w="1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EBECEC"/>
            </w:tcBorders>
            <w:shd w:val="clear" w:color="auto" w:fill="EBECEC"/>
          </w:tcPr>
          <w:p>
            <w:pPr>
              <w:spacing w:after="0"/>
              <w:rPr>
                <w:sz w:val="22"/>
                <w:szCs w:val="22"/>
                <w:color w:val="auto"/>
              </w:rPr>
            </w:pPr>
          </w:p>
        </w:tc>
        <w:tc>
          <w:tcPr>
            <w:tcW w:w="80" w:type="dxa"/>
            <w:vAlign w:val="bottom"/>
            <w:tcBorders>
              <w:bottom w:val="single" w:sz="8" w:color="EBECEC"/>
            </w:tcBorders>
            <w:shd w:val="clear" w:color="auto" w:fill="EBECEC"/>
          </w:tcPr>
          <w:p>
            <w:pPr>
              <w:spacing w:after="0"/>
              <w:rPr>
                <w:sz w:val="22"/>
                <w:szCs w:val="22"/>
                <w:color w:val="auto"/>
              </w:rPr>
            </w:pPr>
          </w:p>
        </w:tc>
        <w:tc>
          <w:tcPr>
            <w:tcW w:w="1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BECEC"/>
              </w:rPr>
              <w:t>$</w:t>
            </w:r>
          </w:p>
        </w:tc>
        <w:tc>
          <w:tcPr>
            <w:tcW w:w="1040" w:type="dxa"/>
            <w:vAlign w:val="bottom"/>
            <w:tcBorders>
              <w:bottom w:val="single" w:sz="8" w:color="231F20"/>
              <w:right w:val="single" w:sz="8" w:color="EBECEC"/>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235,819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60" w:type="dxa"/>
            <w:vAlign w:val="bottom"/>
            <w:tcBorders>
              <w:bottom w:val="single" w:sz="8" w:color="231F20"/>
            </w:tcBorders>
            <w:shd w:val="clear" w:color="auto" w:fill="EBECEC"/>
          </w:tcPr>
          <w:p>
            <w:pPr>
              <w:spacing w:after="0" w:line="228" w:lineRule="exact"/>
              <w:rPr>
                <w:sz w:val="20"/>
                <w:szCs w:val="20"/>
                <w:color w:val="auto"/>
              </w:rPr>
            </w:pPr>
            <w:r>
              <w:rPr>
                <w:rFonts w:ascii="Times New Roman" w:cs="Times New Roman" w:eastAsia="Times New Roman" w:hAnsi="Times New Roman"/>
                <w:sz w:val="20"/>
                <w:szCs w:val="20"/>
                <w:color w:val="231F20"/>
                <w:w w:val="98"/>
              </w:rPr>
              <w:t>Long-term</w:t>
            </w:r>
          </w:p>
        </w:tc>
        <w:tc>
          <w:tcPr>
            <w:tcW w:w="2800" w:type="dxa"/>
            <w:vAlign w:val="bottom"/>
            <w:tcBorders>
              <w:bottom w:val="single" w:sz="8" w:color="EBECEC"/>
            </w:tcBorders>
            <w:gridSpan w:val="2"/>
            <w:shd w:val="clear" w:color="auto" w:fill="EBECEC"/>
          </w:tcPr>
          <w:p>
            <w:pPr>
              <w:spacing w:after="0"/>
              <w:rPr>
                <w:sz w:val="19"/>
                <w:szCs w:val="19"/>
                <w:color w:val="auto"/>
              </w:rPr>
            </w:pPr>
          </w:p>
        </w:tc>
        <w:tc>
          <w:tcPr>
            <w:tcW w:w="20" w:type="dxa"/>
            <w:vAlign w:val="bottom"/>
            <w:tcBorders>
              <w:bottom w:val="single" w:sz="8" w:color="EBECEC"/>
            </w:tcBorders>
            <w:shd w:val="clear" w:color="auto" w:fill="EBECEC"/>
          </w:tcPr>
          <w:p>
            <w:pPr>
              <w:spacing w:after="0"/>
              <w:rPr>
                <w:sz w:val="19"/>
                <w:szCs w:val="19"/>
                <w:color w:val="auto"/>
              </w:rPr>
            </w:pPr>
          </w:p>
        </w:tc>
        <w:tc>
          <w:tcPr>
            <w:tcW w:w="80" w:type="dxa"/>
            <w:vAlign w:val="bottom"/>
            <w:tcBorders>
              <w:bottom w:val="single" w:sz="8" w:color="EBECEC"/>
            </w:tcBorders>
            <w:shd w:val="clear" w:color="auto" w:fill="EBECEC"/>
          </w:tcPr>
          <w:p>
            <w:pPr>
              <w:spacing w:after="0"/>
              <w:rPr>
                <w:sz w:val="19"/>
                <w:szCs w:val="19"/>
                <w:color w:val="auto"/>
              </w:rPr>
            </w:pPr>
          </w:p>
        </w:tc>
        <w:tc>
          <w:tcPr>
            <w:tcW w:w="980" w:type="dxa"/>
            <w:vAlign w:val="bottom"/>
            <w:tcBorders>
              <w:bottom w:val="single" w:sz="8" w:color="EBECEC"/>
            </w:tcBorders>
            <w:shd w:val="clear" w:color="auto" w:fill="EBECEC"/>
          </w:tcPr>
          <w:p>
            <w:pPr>
              <w:spacing w:after="0"/>
              <w:rPr>
                <w:sz w:val="19"/>
                <w:szCs w:val="19"/>
                <w:color w:val="auto"/>
              </w:rPr>
            </w:pPr>
          </w:p>
        </w:tc>
        <w:tc>
          <w:tcPr>
            <w:tcW w:w="200" w:type="dxa"/>
            <w:vAlign w:val="bottom"/>
            <w:tcBorders>
              <w:bottom w:val="single" w:sz="8" w:color="EBECEC"/>
            </w:tcBorders>
            <w:shd w:val="clear" w:color="auto" w:fill="EBECEC"/>
          </w:tcPr>
          <w:p>
            <w:pPr>
              <w:spacing w:after="0"/>
              <w:rPr>
                <w:sz w:val="19"/>
                <w:szCs w:val="19"/>
                <w:color w:val="auto"/>
              </w:rPr>
            </w:pPr>
          </w:p>
        </w:tc>
        <w:tc>
          <w:tcPr>
            <w:tcW w:w="100" w:type="dxa"/>
            <w:vAlign w:val="bottom"/>
            <w:tcBorders>
              <w:bottom w:val="single" w:sz="8" w:color="EBECEC"/>
            </w:tcBorders>
            <w:shd w:val="clear" w:color="auto" w:fill="EBECEC"/>
          </w:tcPr>
          <w:p>
            <w:pPr>
              <w:spacing w:after="0"/>
              <w:rPr>
                <w:sz w:val="19"/>
                <w:szCs w:val="19"/>
                <w:color w:val="auto"/>
              </w:rPr>
            </w:pPr>
          </w:p>
        </w:tc>
        <w:tc>
          <w:tcPr>
            <w:tcW w:w="980" w:type="dxa"/>
            <w:vAlign w:val="bottom"/>
            <w:tcBorders>
              <w:bottom w:val="single" w:sz="8" w:color="EBECEC"/>
            </w:tcBorders>
            <w:shd w:val="clear" w:color="auto" w:fill="EBECEC"/>
          </w:tcPr>
          <w:p>
            <w:pPr>
              <w:spacing w:after="0"/>
              <w:rPr>
                <w:sz w:val="19"/>
                <w:szCs w:val="19"/>
                <w:color w:val="auto"/>
              </w:rPr>
            </w:pPr>
          </w:p>
        </w:tc>
        <w:tc>
          <w:tcPr>
            <w:tcW w:w="200" w:type="dxa"/>
            <w:vAlign w:val="bottom"/>
            <w:tcBorders>
              <w:bottom w:val="single" w:sz="8" w:color="EBECEC"/>
            </w:tcBorders>
            <w:shd w:val="clear" w:color="auto" w:fill="EBECEC"/>
          </w:tcPr>
          <w:p>
            <w:pPr>
              <w:spacing w:after="0"/>
              <w:rPr>
                <w:sz w:val="19"/>
                <w:szCs w:val="19"/>
                <w:color w:val="auto"/>
              </w:rPr>
            </w:pPr>
          </w:p>
        </w:tc>
        <w:tc>
          <w:tcPr>
            <w:tcW w:w="100" w:type="dxa"/>
            <w:vAlign w:val="bottom"/>
            <w:tcBorders>
              <w:bottom w:val="single" w:sz="8" w:color="EBECEC"/>
            </w:tcBorders>
            <w:shd w:val="clear" w:color="auto" w:fill="EBECEC"/>
          </w:tcPr>
          <w:p>
            <w:pPr>
              <w:spacing w:after="0"/>
              <w:rPr>
                <w:sz w:val="19"/>
                <w:szCs w:val="19"/>
                <w:color w:val="auto"/>
              </w:rPr>
            </w:pPr>
          </w:p>
        </w:tc>
        <w:tc>
          <w:tcPr>
            <w:tcW w:w="980" w:type="dxa"/>
            <w:vAlign w:val="bottom"/>
            <w:tcBorders>
              <w:bottom w:val="single" w:sz="8" w:color="EBECEC"/>
            </w:tcBorders>
            <w:shd w:val="clear" w:color="auto" w:fill="EBECEC"/>
          </w:tcPr>
          <w:p>
            <w:pPr>
              <w:spacing w:after="0"/>
              <w:rPr>
                <w:sz w:val="19"/>
                <w:szCs w:val="19"/>
                <w:color w:val="auto"/>
              </w:rPr>
            </w:pPr>
          </w:p>
        </w:tc>
        <w:tc>
          <w:tcPr>
            <w:tcW w:w="120" w:type="dxa"/>
            <w:vAlign w:val="bottom"/>
            <w:tcBorders>
              <w:bottom w:val="single" w:sz="8" w:color="EBECEC"/>
            </w:tcBorders>
            <w:shd w:val="clear" w:color="auto" w:fill="EBECEC"/>
          </w:tcPr>
          <w:p>
            <w:pPr>
              <w:spacing w:after="0"/>
              <w:rPr>
                <w:sz w:val="19"/>
                <w:szCs w:val="19"/>
                <w:color w:val="auto"/>
              </w:rPr>
            </w:pPr>
          </w:p>
        </w:tc>
        <w:tc>
          <w:tcPr>
            <w:tcW w:w="80" w:type="dxa"/>
            <w:vAlign w:val="bottom"/>
            <w:tcBorders>
              <w:bottom w:val="single" w:sz="8" w:color="EBECEC"/>
            </w:tcBorders>
            <w:shd w:val="clear" w:color="auto" w:fill="EBECEC"/>
          </w:tcPr>
          <w:p>
            <w:pPr>
              <w:spacing w:after="0"/>
              <w:rPr>
                <w:sz w:val="19"/>
                <w:szCs w:val="19"/>
                <w:color w:val="auto"/>
              </w:rPr>
            </w:pPr>
          </w:p>
        </w:tc>
        <w:tc>
          <w:tcPr>
            <w:tcW w:w="100" w:type="dxa"/>
            <w:vAlign w:val="bottom"/>
            <w:tcBorders>
              <w:bottom w:val="single" w:sz="8" w:color="EBECEC"/>
            </w:tcBorders>
            <w:shd w:val="clear" w:color="auto" w:fill="EBECEC"/>
          </w:tcPr>
          <w:p>
            <w:pPr>
              <w:spacing w:after="0"/>
              <w:rPr>
                <w:sz w:val="19"/>
                <w:szCs w:val="19"/>
                <w:color w:val="auto"/>
              </w:rPr>
            </w:pPr>
          </w:p>
        </w:tc>
        <w:tc>
          <w:tcPr>
            <w:tcW w:w="1040" w:type="dxa"/>
            <w:vAlign w:val="bottom"/>
            <w:tcBorders>
              <w:bottom w:val="single" w:sz="8" w:color="EBECEC"/>
              <w:right w:val="single" w:sz="8" w:color="EBECEC"/>
            </w:tcBorders>
            <w:shd w:val="clear" w:color="auto" w:fill="EBECE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U.S. treasury securities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110,532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110,762</w:t>
            </w:r>
          </w:p>
        </w:tc>
        <w:tc>
          <w:tcPr>
            <w:tcW w:w="0" w:type="dxa"/>
            <w:vAlign w:val="bottom"/>
          </w:tcPr>
          <w:p>
            <w:pPr>
              <w:spacing w:after="0"/>
              <w:rPr>
                <w:sz w:val="1"/>
                <w:szCs w:val="1"/>
                <w:color w:val="auto"/>
              </w:rPr>
            </w:pPr>
          </w:p>
        </w:tc>
      </w:tr>
      <w:tr>
        <w:trPr>
          <w:trHeight w:val="20"/>
        </w:trPr>
        <w:tc>
          <w:tcPr>
            <w:tcW w:w="3660" w:type="dxa"/>
            <w:vAlign w:val="bottom"/>
            <w:gridSpan w:val="3"/>
            <w:vMerge w:val="restart"/>
            <w:shd w:val="clear" w:color="auto" w:fill="EBECEC"/>
          </w:tcPr>
          <w:p>
            <w:pPr>
              <w:ind w:left="400"/>
              <w:spacing w:after="0"/>
              <w:rPr>
                <w:sz w:val="20"/>
                <w:szCs w:val="20"/>
                <w:color w:val="auto"/>
              </w:rPr>
            </w:pPr>
            <w:r>
              <w:rPr>
                <w:rFonts w:ascii="Times New Roman" w:cs="Times New Roman" w:eastAsia="Times New Roman" w:hAnsi="Times New Roman"/>
                <w:sz w:val="20"/>
                <w:szCs w:val="20"/>
                <w:color w:val="231F20"/>
              </w:rPr>
              <w:t>Long-term investments</w:t>
            </w:r>
          </w:p>
        </w:tc>
        <w:tc>
          <w:tcPr>
            <w:tcW w:w="20" w:type="dxa"/>
            <w:vAlign w:val="bottom"/>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200" w:type="dxa"/>
            <w:vAlign w:val="bottom"/>
            <w:shd w:val="clear" w:color="auto" w:fill="EBECEC"/>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200" w:type="dxa"/>
            <w:vAlign w:val="bottom"/>
            <w:shd w:val="clear" w:color="auto" w:fill="EBECEC"/>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040" w:type="dxa"/>
            <w:vAlign w:val="bottom"/>
            <w:tcBorders>
              <w:right w:val="single" w:sz="8" w:color="EBECEC"/>
            </w:tcBorders>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660" w:type="dxa"/>
            <w:vAlign w:val="bottom"/>
            <w:gridSpan w:val="3"/>
            <w:vMerge w:val="continue"/>
            <w:shd w:val="clear" w:color="auto" w:fill="EBECEC"/>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BECEC"/>
              </w:rPr>
              <w:t>$</w:t>
            </w:r>
          </w:p>
        </w:tc>
        <w:tc>
          <w:tcPr>
            <w:tcW w:w="9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110,532</w:t>
            </w:r>
          </w:p>
        </w:tc>
        <w:tc>
          <w:tcPr>
            <w:tcW w:w="200" w:type="dxa"/>
            <w:vAlign w:val="bottom"/>
            <w:shd w:val="clear" w:color="auto" w:fill="EBECEC"/>
          </w:tcPr>
          <w:p>
            <w:pPr>
              <w:spacing w:after="0"/>
              <w:rPr>
                <w:sz w:val="22"/>
                <w:szCs w:val="22"/>
                <w:color w:val="auto"/>
              </w:rPr>
            </w:pPr>
          </w:p>
        </w:tc>
        <w:tc>
          <w:tcPr>
            <w:tcW w:w="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234</w:t>
            </w:r>
          </w:p>
        </w:tc>
        <w:tc>
          <w:tcPr>
            <w:tcW w:w="200" w:type="dxa"/>
            <w:vAlign w:val="bottom"/>
            <w:shd w:val="clear" w:color="auto" w:fill="EBECEC"/>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(4)</w:t>
            </w:r>
          </w:p>
        </w:tc>
        <w:tc>
          <w:tcPr>
            <w:tcW w:w="80" w:type="dxa"/>
            <w:vAlign w:val="bottom"/>
          </w:tcPr>
          <w:p>
            <w:pPr>
              <w:spacing w:after="0"/>
              <w:rPr>
                <w:sz w:val="22"/>
                <w:szCs w:val="22"/>
                <w:color w:val="auto"/>
              </w:rPr>
            </w:pPr>
          </w:p>
        </w:tc>
        <w:tc>
          <w:tcPr>
            <w:tcW w:w="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BECEC"/>
              </w:rPr>
              <w:t>$</w:t>
            </w:r>
          </w:p>
        </w:tc>
        <w:tc>
          <w:tcPr>
            <w:tcW w:w="1040" w:type="dxa"/>
            <w:vAlign w:val="bottom"/>
            <w:tcBorders>
              <w:right w:val="single" w:sz="8" w:color="EBECEC"/>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110,762</w:t>
            </w:r>
          </w:p>
        </w:tc>
        <w:tc>
          <w:tcPr>
            <w:tcW w:w="0" w:type="dxa"/>
            <w:vAlign w:val="bottom"/>
          </w:tcPr>
          <w:p>
            <w:pPr>
              <w:spacing w:after="0"/>
              <w:rPr>
                <w:sz w:val="1"/>
                <w:szCs w:val="1"/>
                <w:color w:val="auto"/>
              </w:rPr>
            </w:pPr>
          </w:p>
        </w:tc>
      </w:tr>
      <w:tr>
        <w:trPr>
          <w:trHeight w:val="20"/>
        </w:trPr>
        <w:tc>
          <w:tcPr>
            <w:tcW w:w="3660" w:type="dxa"/>
            <w:vAlign w:val="bottom"/>
            <w:tcBorders>
              <w:top w:val="single" w:sz="8" w:color="EBECEC"/>
              <w:bottom w:val="single" w:sz="8" w:color="EBECEC"/>
            </w:tcBorders>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December 31, 2024</w:t>
            </w:r>
          </w:p>
        </w:tc>
        <w:tc>
          <w:tcPr>
            <w:tcW w:w="20" w:type="dxa"/>
            <w:vAlign w:val="bottom"/>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EBECEC"/>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EBECEC"/>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36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620" w:type="dxa"/>
            <w:vAlign w:val="bottom"/>
            <w:tcBorders>
              <w:top w:val="single" w:sz="8" w:color="231F20"/>
            </w:tcBorders>
            <w:gridSpan w:val="2"/>
            <w:shd w:val="clear" w:color="auto" w:fill="EBECEC"/>
          </w:tcPr>
          <w:p>
            <w:pPr>
              <w:spacing w:after="0" w:line="219" w:lineRule="exact"/>
              <w:rPr>
                <w:sz w:val="20"/>
                <w:szCs w:val="20"/>
                <w:color w:val="auto"/>
              </w:rPr>
            </w:pPr>
            <w:r>
              <w:rPr>
                <w:rFonts w:ascii="Times New Roman" w:cs="Times New Roman" w:eastAsia="Times New Roman" w:hAnsi="Times New Roman"/>
                <w:sz w:val="20"/>
                <w:szCs w:val="20"/>
                <w:color w:val="231F20"/>
              </w:rPr>
              <w:t>Short-term</w:t>
            </w:r>
          </w:p>
        </w:tc>
        <w:tc>
          <w:tcPr>
            <w:tcW w:w="2040" w:type="dxa"/>
            <w:vAlign w:val="bottom"/>
            <w:tcBorders>
              <w:top w:val="single" w:sz="8" w:color="EBECEC"/>
            </w:tcBorders>
            <w:shd w:val="clear" w:color="auto" w:fill="EBECEC"/>
          </w:tcPr>
          <w:p>
            <w:pPr>
              <w:spacing w:after="0"/>
              <w:rPr>
                <w:sz w:val="19"/>
                <w:szCs w:val="19"/>
                <w:color w:val="auto"/>
              </w:rPr>
            </w:pPr>
          </w:p>
        </w:tc>
        <w:tc>
          <w:tcPr>
            <w:tcW w:w="20" w:type="dxa"/>
            <w:vAlign w:val="bottom"/>
            <w:tcBorders>
              <w:top w:val="single" w:sz="8" w:color="EBECEC"/>
            </w:tcBorders>
            <w:shd w:val="clear" w:color="auto" w:fill="EBECEC"/>
          </w:tcPr>
          <w:p>
            <w:pPr>
              <w:spacing w:after="0"/>
              <w:rPr>
                <w:sz w:val="19"/>
                <w:szCs w:val="19"/>
                <w:color w:val="auto"/>
              </w:rPr>
            </w:pPr>
          </w:p>
        </w:tc>
        <w:tc>
          <w:tcPr>
            <w:tcW w:w="80" w:type="dxa"/>
            <w:vAlign w:val="bottom"/>
            <w:tcBorders>
              <w:top w:val="single" w:sz="8" w:color="EBECEC"/>
            </w:tcBorders>
            <w:shd w:val="clear" w:color="auto" w:fill="EBECEC"/>
          </w:tcPr>
          <w:p>
            <w:pPr>
              <w:spacing w:after="0"/>
              <w:rPr>
                <w:sz w:val="19"/>
                <w:szCs w:val="19"/>
                <w:color w:val="auto"/>
              </w:rPr>
            </w:pPr>
          </w:p>
        </w:tc>
        <w:tc>
          <w:tcPr>
            <w:tcW w:w="980" w:type="dxa"/>
            <w:vAlign w:val="bottom"/>
            <w:tcBorders>
              <w:top w:val="single" w:sz="8" w:color="EBECEC"/>
            </w:tcBorders>
            <w:shd w:val="clear" w:color="auto" w:fill="EBECEC"/>
          </w:tcPr>
          <w:p>
            <w:pPr>
              <w:spacing w:after="0"/>
              <w:rPr>
                <w:sz w:val="19"/>
                <w:szCs w:val="19"/>
                <w:color w:val="auto"/>
              </w:rPr>
            </w:pPr>
          </w:p>
        </w:tc>
        <w:tc>
          <w:tcPr>
            <w:tcW w:w="200" w:type="dxa"/>
            <w:vAlign w:val="bottom"/>
            <w:tcBorders>
              <w:top w:val="single" w:sz="8" w:color="EBECEC"/>
            </w:tcBorders>
            <w:shd w:val="clear" w:color="auto" w:fill="EBECEC"/>
          </w:tcPr>
          <w:p>
            <w:pPr>
              <w:spacing w:after="0"/>
              <w:rPr>
                <w:sz w:val="19"/>
                <w:szCs w:val="19"/>
                <w:color w:val="auto"/>
              </w:rPr>
            </w:pPr>
          </w:p>
        </w:tc>
        <w:tc>
          <w:tcPr>
            <w:tcW w:w="100" w:type="dxa"/>
            <w:vAlign w:val="bottom"/>
            <w:tcBorders>
              <w:top w:val="single" w:sz="8" w:color="EBECEC"/>
            </w:tcBorders>
            <w:shd w:val="clear" w:color="auto" w:fill="EBECEC"/>
          </w:tcPr>
          <w:p>
            <w:pPr>
              <w:spacing w:after="0"/>
              <w:rPr>
                <w:sz w:val="19"/>
                <w:szCs w:val="19"/>
                <w:color w:val="auto"/>
              </w:rPr>
            </w:pPr>
          </w:p>
        </w:tc>
        <w:tc>
          <w:tcPr>
            <w:tcW w:w="980" w:type="dxa"/>
            <w:vAlign w:val="bottom"/>
            <w:tcBorders>
              <w:top w:val="single" w:sz="8" w:color="EBECEC"/>
            </w:tcBorders>
            <w:shd w:val="clear" w:color="auto" w:fill="EBECEC"/>
          </w:tcPr>
          <w:p>
            <w:pPr>
              <w:spacing w:after="0"/>
              <w:rPr>
                <w:sz w:val="19"/>
                <w:szCs w:val="19"/>
                <w:color w:val="auto"/>
              </w:rPr>
            </w:pPr>
          </w:p>
        </w:tc>
        <w:tc>
          <w:tcPr>
            <w:tcW w:w="200" w:type="dxa"/>
            <w:vAlign w:val="bottom"/>
            <w:tcBorders>
              <w:top w:val="single" w:sz="8" w:color="EBECEC"/>
            </w:tcBorders>
            <w:shd w:val="clear" w:color="auto" w:fill="EBECEC"/>
          </w:tcPr>
          <w:p>
            <w:pPr>
              <w:spacing w:after="0"/>
              <w:rPr>
                <w:sz w:val="19"/>
                <w:szCs w:val="19"/>
                <w:color w:val="auto"/>
              </w:rPr>
            </w:pPr>
          </w:p>
        </w:tc>
        <w:tc>
          <w:tcPr>
            <w:tcW w:w="100" w:type="dxa"/>
            <w:vAlign w:val="bottom"/>
            <w:tcBorders>
              <w:top w:val="single" w:sz="8" w:color="EBECEC"/>
            </w:tcBorders>
            <w:shd w:val="clear" w:color="auto" w:fill="EBECEC"/>
          </w:tcPr>
          <w:p>
            <w:pPr>
              <w:spacing w:after="0"/>
              <w:rPr>
                <w:sz w:val="19"/>
                <w:szCs w:val="19"/>
                <w:color w:val="auto"/>
              </w:rPr>
            </w:pPr>
          </w:p>
        </w:tc>
        <w:tc>
          <w:tcPr>
            <w:tcW w:w="980" w:type="dxa"/>
            <w:vAlign w:val="bottom"/>
            <w:tcBorders>
              <w:top w:val="single" w:sz="8" w:color="EBECEC"/>
            </w:tcBorders>
            <w:shd w:val="clear" w:color="auto" w:fill="EBECEC"/>
          </w:tcPr>
          <w:p>
            <w:pPr>
              <w:spacing w:after="0"/>
              <w:rPr>
                <w:sz w:val="19"/>
                <w:szCs w:val="19"/>
                <w:color w:val="auto"/>
              </w:rPr>
            </w:pPr>
          </w:p>
        </w:tc>
        <w:tc>
          <w:tcPr>
            <w:tcW w:w="120" w:type="dxa"/>
            <w:vAlign w:val="bottom"/>
            <w:tcBorders>
              <w:top w:val="single" w:sz="8" w:color="EBECEC"/>
            </w:tcBorders>
            <w:shd w:val="clear" w:color="auto" w:fill="EBECEC"/>
          </w:tcPr>
          <w:p>
            <w:pPr>
              <w:spacing w:after="0"/>
              <w:rPr>
                <w:sz w:val="19"/>
                <w:szCs w:val="19"/>
                <w:color w:val="auto"/>
              </w:rPr>
            </w:pPr>
          </w:p>
        </w:tc>
        <w:tc>
          <w:tcPr>
            <w:tcW w:w="80" w:type="dxa"/>
            <w:vAlign w:val="bottom"/>
            <w:tcBorders>
              <w:top w:val="single" w:sz="8" w:color="EBECEC"/>
            </w:tcBorders>
            <w:shd w:val="clear" w:color="auto" w:fill="EBECEC"/>
          </w:tcPr>
          <w:p>
            <w:pPr>
              <w:spacing w:after="0"/>
              <w:rPr>
                <w:sz w:val="19"/>
                <w:szCs w:val="19"/>
                <w:color w:val="auto"/>
              </w:rPr>
            </w:pPr>
          </w:p>
        </w:tc>
        <w:tc>
          <w:tcPr>
            <w:tcW w:w="100" w:type="dxa"/>
            <w:vAlign w:val="bottom"/>
            <w:tcBorders>
              <w:top w:val="single" w:sz="8" w:color="EBECEC"/>
            </w:tcBorders>
            <w:shd w:val="clear" w:color="auto" w:fill="EBECEC"/>
          </w:tcPr>
          <w:p>
            <w:pPr>
              <w:spacing w:after="0"/>
              <w:rPr>
                <w:sz w:val="19"/>
                <w:szCs w:val="19"/>
                <w:color w:val="auto"/>
              </w:rPr>
            </w:pPr>
          </w:p>
        </w:tc>
        <w:tc>
          <w:tcPr>
            <w:tcW w:w="1040" w:type="dxa"/>
            <w:vAlign w:val="bottom"/>
            <w:tcBorders>
              <w:top w:val="single" w:sz="8" w:color="EBECEC"/>
              <w:right w:val="single" w:sz="8" w:color="EBECEC"/>
            </w:tcBorders>
            <w:shd w:val="clear" w:color="auto" w:fill="EBECE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231F20"/>
          </w:tcPr>
          <w:p>
            <w:pPr>
              <w:spacing w:after="0" w:line="20" w:lineRule="exact"/>
              <w:rPr>
                <w:sz w:val="1"/>
                <w:szCs w:val="1"/>
                <w:color w:val="auto"/>
              </w:rPr>
            </w:pPr>
          </w:p>
        </w:tc>
        <w:tc>
          <w:tcPr>
            <w:tcW w:w="760" w:type="dxa"/>
            <w:vAlign w:val="bottom"/>
            <w:shd w:val="clear" w:color="auto" w:fill="EBECEC"/>
          </w:tcPr>
          <w:p>
            <w:pPr>
              <w:spacing w:after="0" w:line="20" w:lineRule="exact"/>
              <w:rPr>
                <w:sz w:val="1"/>
                <w:szCs w:val="1"/>
                <w:color w:val="auto"/>
              </w:rPr>
            </w:pPr>
          </w:p>
        </w:tc>
        <w:tc>
          <w:tcPr>
            <w:tcW w:w="2040" w:type="dxa"/>
            <w:vAlign w:val="bottom"/>
            <w:shd w:val="clear" w:color="auto" w:fill="EBECEC"/>
          </w:tcPr>
          <w:p>
            <w:pPr>
              <w:spacing w:after="0" w:line="20" w:lineRule="exact"/>
              <w:rPr>
                <w:sz w:val="1"/>
                <w:szCs w:val="1"/>
                <w:color w:val="auto"/>
              </w:rPr>
            </w:pPr>
          </w:p>
        </w:tc>
        <w:tc>
          <w:tcPr>
            <w:tcW w:w="20" w:type="dxa"/>
            <w:vAlign w:val="bottom"/>
            <w:shd w:val="clear" w:color="auto" w:fill="EBECEC"/>
          </w:tcPr>
          <w:p>
            <w:pPr>
              <w:spacing w:after="0" w:line="20" w:lineRule="exact"/>
              <w:rPr>
                <w:sz w:val="1"/>
                <w:szCs w:val="1"/>
                <w:color w:val="auto"/>
              </w:rPr>
            </w:pPr>
          </w:p>
        </w:tc>
        <w:tc>
          <w:tcPr>
            <w:tcW w:w="80" w:type="dxa"/>
            <w:vAlign w:val="bottom"/>
            <w:shd w:val="clear" w:color="auto" w:fill="EBECEC"/>
          </w:tcPr>
          <w:p>
            <w:pPr>
              <w:spacing w:after="0" w:line="20" w:lineRule="exact"/>
              <w:rPr>
                <w:sz w:val="1"/>
                <w:szCs w:val="1"/>
                <w:color w:val="auto"/>
              </w:rPr>
            </w:pPr>
          </w:p>
        </w:tc>
        <w:tc>
          <w:tcPr>
            <w:tcW w:w="980" w:type="dxa"/>
            <w:vAlign w:val="bottom"/>
            <w:shd w:val="clear" w:color="auto" w:fill="EBECEC"/>
          </w:tcPr>
          <w:p>
            <w:pPr>
              <w:spacing w:after="0" w:line="20" w:lineRule="exact"/>
              <w:rPr>
                <w:sz w:val="1"/>
                <w:szCs w:val="1"/>
                <w:color w:val="auto"/>
              </w:rPr>
            </w:pPr>
          </w:p>
        </w:tc>
        <w:tc>
          <w:tcPr>
            <w:tcW w:w="200" w:type="dxa"/>
            <w:vAlign w:val="bottom"/>
            <w:shd w:val="clear" w:color="auto" w:fill="EBECEC"/>
          </w:tcPr>
          <w:p>
            <w:pPr>
              <w:spacing w:after="0" w:line="20" w:lineRule="exact"/>
              <w:rPr>
                <w:sz w:val="1"/>
                <w:szCs w:val="1"/>
                <w:color w:val="auto"/>
              </w:rPr>
            </w:pPr>
          </w:p>
        </w:tc>
        <w:tc>
          <w:tcPr>
            <w:tcW w:w="100" w:type="dxa"/>
            <w:vAlign w:val="bottom"/>
            <w:shd w:val="clear" w:color="auto" w:fill="EBECEC"/>
          </w:tcPr>
          <w:p>
            <w:pPr>
              <w:spacing w:after="0" w:line="20" w:lineRule="exact"/>
              <w:rPr>
                <w:sz w:val="1"/>
                <w:szCs w:val="1"/>
                <w:color w:val="auto"/>
              </w:rPr>
            </w:pPr>
          </w:p>
        </w:tc>
        <w:tc>
          <w:tcPr>
            <w:tcW w:w="980" w:type="dxa"/>
            <w:vAlign w:val="bottom"/>
            <w:shd w:val="clear" w:color="auto" w:fill="EBECEC"/>
          </w:tcPr>
          <w:p>
            <w:pPr>
              <w:spacing w:after="0" w:line="20" w:lineRule="exact"/>
              <w:rPr>
                <w:sz w:val="1"/>
                <w:szCs w:val="1"/>
                <w:color w:val="auto"/>
              </w:rPr>
            </w:pPr>
          </w:p>
        </w:tc>
        <w:tc>
          <w:tcPr>
            <w:tcW w:w="200" w:type="dxa"/>
            <w:vAlign w:val="bottom"/>
            <w:shd w:val="clear" w:color="auto" w:fill="EBECEC"/>
          </w:tcPr>
          <w:p>
            <w:pPr>
              <w:spacing w:after="0" w:line="20" w:lineRule="exact"/>
              <w:rPr>
                <w:sz w:val="1"/>
                <w:szCs w:val="1"/>
                <w:color w:val="auto"/>
              </w:rPr>
            </w:pPr>
          </w:p>
        </w:tc>
        <w:tc>
          <w:tcPr>
            <w:tcW w:w="100" w:type="dxa"/>
            <w:vAlign w:val="bottom"/>
            <w:shd w:val="clear" w:color="auto" w:fill="EBECEC"/>
          </w:tcPr>
          <w:p>
            <w:pPr>
              <w:spacing w:after="0" w:line="20" w:lineRule="exact"/>
              <w:rPr>
                <w:sz w:val="1"/>
                <w:szCs w:val="1"/>
                <w:color w:val="auto"/>
              </w:rPr>
            </w:pPr>
          </w:p>
        </w:tc>
        <w:tc>
          <w:tcPr>
            <w:tcW w:w="980" w:type="dxa"/>
            <w:vAlign w:val="bottom"/>
            <w:shd w:val="clear" w:color="auto" w:fill="EBECEC"/>
          </w:tcPr>
          <w:p>
            <w:pPr>
              <w:spacing w:after="0" w:line="20" w:lineRule="exact"/>
              <w:rPr>
                <w:sz w:val="1"/>
                <w:szCs w:val="1"/>
                <w:color w:val="auto"/>
              </w:rPr>
            </w:pPr>
          </w:p>
        </w:tc>
        <w:tc>
          <w:tcPr>
            <w:tcW w:w="120" w:type="dxa"/>
            <w:vAlign w:val="bottom"/>
            <w:shd w:val="clear" w:color="auto" w:fill="EBECEC"/>
          </w:tcPr>
          <w:p>
            <w:pPr>
              <w:spacing w:after="0" w:line="20" w:lineRule="exact"/>
              <w:rPr>
                <w:sz w:val="1"/>
                <w:szCs w:val="1"/>
                <w:color w:val="auto"/>
              </w:rPr>
            </w:pPr>
          </w:p>
        </w:tc>
        <w:tc>
          <w:tcPr>
            <w:tcW w:w="80" w:type="dxa"/>
            <w:vAlign w:val="bottom"/>
            <w:shd w:val="clear" w:color="auto" w:fill="EBECEC"/>
          </w:tcPr>
          <w:p>
            <w:pPr>
              <w:spacing w:after="0" w:line="20" w:lineRule="exact"/>
              <w:rPr>
                <w:sz w:val="1"/>
                <w:szCs w:val="1"/>
                <w:color w:val="auto"/>
              </w:rPr>
            </w:pPr>
          </w:p>
        </w:tc>
        <w:tc>
          <w:tcPr>
            <w:tcW w:w="100" w:type="dxa"/>
            <w:vAlign w:val="bottom"/>
            <w:shd w:val="clear" w:color="auto" w:fill="EBECEC"/>
          </w:tcPr>
          <w:p>
            <w:pPr>
              <w:spacing w:after="0" w:line="20" w:lineRule="exact"/>
              <w:rPr>
                <w:sz w:val="1"/>
                <w:szCs w:val="1"/>
                <w:color w:val="auto"/>
              </w:rPr>
            </w:pPr>
          </w:p>
        </w:tc>
        <w:tc>
          <w:tcPr>
            <w:tcW w:w="1040" w:type="dxa"/>
            <w:vAlign w:val="bottom"/>
            <w:tcBorders>
              <w:right w:val="single" w:sz="8" w:color="EBECEC"/>
            </w:tcBorders>
            <w:shd w:val="clear" w:color="auto" w:fill="EBECE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6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U.S. treasury securities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196,175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196,554</w:t>
            </w:r>
          </w:p>
        </w:tc>
        <w:tc>
          <w:tcPr>
            <w:tcW w:w="0" w:type="dxa"/>
            <w:vAlign w:val="bottom"/>
          </w:tcPr>
          <w:p>
            <w:pPr>
              <w:spacing w:after="0"/>
              <w:rPr>
                <w:sz w:val="1"/>
                <w:szCs w:val="1"/>
                <w:color w:val="auto"/>
              </w:rPr>
            </w:pPr>
          </w:p>
        </w:tc>
      </w:tr>
      <w:tr>
        <w:trPr>
          <w:trHeight w:val="259"/>
        </w:trPr>
        <w:tc>
          <w:tcPr>
            <w:tcW w:w="3660" w:type="dxa"/>
            <w:vAlign w:val="bottom"/>
            <w:tcBorders>
              <w:top w:val="single" w:sz="8" w:color="EBECEC"/>
              <w:bottom w:val="single" w:sz="8" w:color="EBECEC"/>
            </w:tcBorders>
            <w:gridSpan w:val="3"/>
            <w:shd w:val="clear" w:color="auto" w:fill="EBECEC"/>
          </w:tcPr>
          <w:p>
            <w:pPr>
              <w:ind w:left="400"/>
              <w:spacing w:after="0"/>
              <w:rPr>
                <w:sz w:val="20"/>
                <w:szCs w:val="20"/>
                <w:color w:val="auto"/>
              </w:rPr>
            </w:pPr>
            <w:r>
              <w:rPr>
                <w:rFonts w:ascii="Times New Roman" w:cs="Times New Roman" w:eastAsia="Times New Roman" w:hAnsi="Times New Roman"/>
                <w:sz w:val="20"/>
                <w:szCs w:val="20"/>
                <w:color w:val="231F20"/>
              </w:rPr>
              <w:t>Short-term investments</w:t>
            </w:r>
          </w:p>
        </w:tc>
        <w:tc>
          <w:tcPr>
            <w:tcW w:w="20" w:type="dxa"/>
            <w:vAlign w:val="bottom"/>
          </w:tcPr>
          <w:p>
            <w:pPr>
              <w:spacing w:after="0"/>
              <w:rPr>
                <w:sz w:val="22"/>
                <w:szCs w:val="22"/>
                <w:color w:val="auto"/>
              </w:rPr>
            </w:pPr>
          </w:p>
        </w:tc>
        <w:tc>
          <w:tcPr>
            <w:tcW w:w="8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BECEC"/>
              </w:rPr>
              <w:t>$</w:t>
            </w:r>
          </w:p>
        </w:tc>
        <w:tc>
          <w:tcPr>
            <w:tcW w:w="98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196,175</w:t>
            </w:r>
          </w:p>
        </w:tc>
        <w:tc>
          <w:tcPr>
            <w:tcW w:w="200" w:type="dxa"/>
            <w:vAlign w:val="bottom"/>
            <w:tcBorders>
              <w:top w:val="single" w:sz="8" w:color="EBECEC"/>
              <w:bottom w:val="single" w:sz="8" w:color="EBECEC"/>
            </w:tcBorders>
            <w:shd w:val="clear" w:color="auto" w:fill="EBECEC"/>
          </w:tcPr>
          <w:p>
            <w:pPr>
              <w:spacing w:after="0"/>
              <w:rPr>
                <w:sz w:val="22"/>
                <w:szCs w:val="22"/>
                <w:color w:val="auto"/>
              </w:rPr>
            </w:pPr>
          </w:p>
        </w:tc>
        <w:tc>
          <w:tcPr>
            <w:tcW w:w="10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379</w:t>
            </w:r>
          </w:p>
        </w:tc>
        <w:tc>
          <w:tcPr>
            <w:tcW w:w="200" w:type="dxa"/>
            <w:vAlign w:val="bottom"/>
            <w:tcBorders>
              <w:top w:val="single" w:sz="8" w:color="EBECEC"/>
              <w:bottom w:val="single" w:sz="8" w:color="EBECEC"/>
            </w:tcBorders>
            <w:shd w:val="clear" w:color="auto" w:fill="EBECEC"/>
          </w:tcPr>
          <w:p>
            <w:pPr>
              <w:spacing w:after="0"/>
              <w:rPr>
                <w:sz w:val="22"/>
                <w:szCs w:val="22"/>
                <w:color w:val="auto"/>
              </w:rPr>
            </w:pPr>
          </w:p>
        </w:tc>
        <w:tc>
          <w:tcPr>
            <w:tcW w:w="10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top w:val="single" w:sz="8" w:color="EBECEC"/>
              <w:bottom w:val="single" w:sz="8" w:color="EBECEC"/>
            </w:tcBorders>
            <w:shd w:val="clear" w:color="auto" w:fill="EBECEC"/>
          </w:tcPr>
          <w:p>
            <w:pPr>
              <w:spacing w:after="0"/>
              <w:rPr>
                <w:sz w:val="22"/>
                <w:szCs w:val="22"/>
                <w:color w:val="auto"/>
              </w:rPr>
            </w:pPr>
          </w:p>
        </w:tc>
        <w:tc>
          <w:tcPr>
            <w:tcW w:w="80" w:type="dxa"/>
            <w:vAlign w:val="bottom"/>
            <w:tcBorders>
              <w:top w:val="single" w:sz="8" w:color="EBECEC"/>
              <w:bottom w:val="single" w:sz="8" w:color="EBECEC"/>
            </w:tcBorders>
            <w:shd w:val="clear" w:color="auto" w:fill="EBECEC"/>
          </w:tcPr>
          <w:p>
            <w:pPr>
              <w:spacing w:after="0"/>
              <w:rPr>
                <w:sz w:val="22"/>
                <w:szCs w:val="22"/>
                <w:color w:val="auto"/>
              </w:rPr>
            </w:pPr>
          </w:p>
        </w:tc>
        <w:tc>
          <w:tcPr>
            <w:tcW w:w="10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BECEC"/>
              </w:rPr>
              <w:t>$</w:t>
            </w:r>
          </w:p>
        </w:tc>
        <w:tc>
          <w:tcPr>
            <w:tcW w:w="1040" w:type="dxa"/>
            <w:vAlign w:val="bottom"/>
            <w:tcBorders>
              <w:top w:val="single" w:sz="8" w:color="231F20"/>
              <w:bottom w:val="single" w:sz="8" w:color="231F20"/>
              <w:right w:val="single" w:sz="8" w:color="EBECEC"/>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196,554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4631055</wp:posOffset>
                </wp:positionH>
                <wp:positionV relativeFrom="paragraph">
                  <wp:posOffset>-995680</wp:posOffset>
                </wp:positionV>
                <wp:extent cx="688975" cy="15494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975" cy="154940"/>
                        </a:xfrm>
                        <a:prstGeom prst="rect">
                          <a:avLst/>
                        </a:prstGeom>
                        <a:solidFill>
                          <a:srgbClr val="EBECEC"/>
                        </a:solidFill>
                      </wps:spPr>
                      <wps:bodyPr/>
                    </wps:wsp>
                  </a:graphicData>
                </a:graphic>
              </wp:anchor>
            </w:drawing>
          </mc:Choice>
          <mc:Fallback>
            <w:pict>
              <v:rect id="Shape 38" o:spid="_x0000_s1063" style="position:absolute;margin-left:364.65pt;margin-top:-78.3999pt;width:54.2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ECEC" stroked="f"/>
            </w:pict>
          </mc:Fallback>
        </mc:AlternateContent>
      </w:r>
    </w:p>
    <w:p>
      <w:pPr>
        <w:spacing w:after="0" w:line="201"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The Company has determined that there were no material declines in fair value of its investments due to credit-related factors as of December 31, 2025 and December 31, 2024. Credit loss is limited due to the nature of the investments.</w:t>
      </w:r>
    </w:p>
    <w:p>
      <w:pPr>
        <w:spacing w:after="0" w:line="285" w:lineRule="exact"/>
        <w:rPr>
          <w:sz w:val="20"/>
          <w:szCs w:val="20"/>
          <w:color w:val="auto"/>
        </w:rPr>
      </w:pPr>
    </w:p>
    <w:p>
      <w:pPr>
        <w:ind w:left="200" w:hanging="200"/>
        <w:spacing w:after="0"/>
        <w:tabs>
          <w:tab w:leader="none" w:pos="200" w:val="left"/>
        </w:tabs>
        <w:numPr>
          <w:ilvl w:val="0"/>
          <w:numId w:val="7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u w:val="single" w:color="auto"/>
          <w:color w:val="231F20"/>
        </w:rPr>
        <w:t>Fair Value Measurements</w:t>
      </w:r>
    </w:p>
    <w:p>
      <w:pPr>
        <w:spacing w:after="0" w:line="124" w:lineRule="exact"/>
        <w:rPr>
          <w:sz w:val="20"/>
          <w:szCs w:val="20"/>
          <w:color w:val="auto"/>
        </w:rPr>
      </w:pPr>
    </w:p>
    <w:p>
      <w:pPr>
        <w:ind w:right="120" w:firstLine="720"/>
        <w:spacing w:after="0" w:line="263" w:lineRule="auto"/>
        <w:rPr>
          <w:sz w:val="20"/>
          <w:szCs w:val="20"/>
          <w:color w:val="auto"/>
        </w:rPr>
      </w:pPr>
      <w:r>
        <w:rPr>
          <w:rFonts w:ascii="Times New Roman" w:cs="Times New Roman" w:eastAsia="Times New Roman" w:hAnsi="Times New Roman"/>
          <w:sz w:val="19"/>
          <w:szCs w:val="19"/>
          <w:color w:val="231F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w:t>
      </w:r>
    </w:p>
    <w:p>
      <w:pPr>
        <w:spacing w:after="0" w:line="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Level 1: Observable inputs such as quoted prices in active markets;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Level 2: Inputs, other than the quoted prices in active markets, that are observable either directly or indirectly; and</w:t>
      </w:r>
    </w:p>
    <w:p>
      <w:pPr>
        <w:spacing w:after="0" w:line="120" w:lineRule="exact"/>
        <w:rPr>
          <w:sz w:val="20"/>
          <w:szCs w:val="20"/>
          <w:color w:val="auto"/>
        </w:rPr>
      </w:pPr>
    </w:p>
    <w:p>
      <w:pPr>
        <w:ind w:left="720" w:right="120"/>
        <w:spacing w:after="0" w:line="277" w:lineRule="auto"/>
        <w:rPr>
          <w:sz w:val="20"/>
          <w:szCs w:val="20"/>
          <w:color w:val="auto"/>
        </w:rPr>
      </w:pPr>
      <w:r>
        <w:rPr>
          <w:rFonts w:ascii="Times New Roman" w:cs="Times New Roman" w:eastAsia="Times New Roman" w:hAnsi="Times New Roman"/>
          <w:sz w:val="20"/>
          <w:szCs w:val="20"/>
          <w:color w:val="231F20"/>
        </w:rPr>
        <w:t>Level 3: Unobservable inputs in which there is little or no market data, which require the reporting entity to develop its own assumptions.</w:t>
      </w:r>
    </w:p>
    <w:p>
      <w:pPr>
        <w:spacing w:after="0" w:line="16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The carrying amounts of the Company’s interest receivable, included in prepaid expenses and other current assets, accounts payable and accrued liabilities are generally considered to be representative of their fair value because of their short-term nature. The Company’s investments, which may include money market funds and available-for-sale investments consisting of U.S. treasury securities, certificates of deposit and high-quality, marketable debt instruments of corporations and government sponsored enterprises, are measured at fair value in accordance with the fair value hierarchy.</w:t>
      </w:r>
    </w:p>
    <w:p>
      <w:pPr>
        <w:sectPr>
          <w:pgSz w:w="11880" w:h="15480" w:orient="portrait"/>
          <w:cols w:equalWidth="0" w:num="1">
            <w:col w:w="10760"/>
          </w:cols>
          <w:pgMar w:left="540" w:top="7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120</w:t>
      </w:r>
    </w:p>
    <w:p>
      <w:pPr>
        <w:sectPr>
          <w:pgSz w:w="11880" w:h="15480" w:orient="portrait"/>
          <w:cols w:equalWidth="0" w:num="1">
            <w:col w:w="10760"/>
          </w:cols>
          <w:pgMar w:left="540" w:top="746" w:right="580" w:bottom="0" w:gutter="0" w:footer="0" w:header="0"/>
          <w:type w:val="continuous"/>
        </w:sectPr>
      </w:pPr>
    </w:p>
    <w:bookmarkStart w:id="126" w:name="page127"/>
    <w:bookmarkEnd w:id="126"/>
    <w:p>
      <w:pPr>
        <w:ind w:left="720"/>
        <w:spacing w:after="0"/>
        <w:rPr>
          <w:sz w:val="20"/>
          <w:szCs w:val="20"/>
          <w:color w:val="auto"/>
        </w:rPr>
      </w:pPr>
      <w:r>
        <w:rPr>
          <w:rFonts w:ascii="Times New Roman" w:cs="Times New Roman" w:eastAsia="Times New Roman" w:hAnsi="Times New Roman"/>
          <w:sz w:val="20"/>
          <w:szCs w:val="20"/>
          <w:color w:val="231F20"/>
        </w:rPr>
        <w:t>Following are the major categories of assets measured at fair value on a recurring basis (in thousands):</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236"/>
        </w:trPr>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231F20"/>
              </w:rPr>
              <w:t>Fair Value Measurements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7"/>
        </w:trPr>
        <w:tc>
          <w:tcPr>
            <w:tcW w:w="80" w:type="dxa"/>
            <w:vAlign w:val="bottom"/>
          </w:tcPr>
          <w:p>
            <w:pPr>
              <w:spacing w:after="0"/>
              <w:rPr>
                <w:sz w:val="19"/>
                <w:szCs w:val="19"/>
                <w:color w:val="auto"/>
              </w:rPr>
            </w:pPr>
          </w:p>
        </w:tc>
        <w:tc>
          <w:tcPr>
            <w:tcW w:w="1620" w:type="dxa"/>
            <w:vAlign w:val="bottom"/>
            <w:tcBorders>
              <w:bottom w:val="single" w:sz="8" w:color="EBECEC"/>
            </w:tcBorders>
          </w:tcPr>
          <w:p>
            <w:pPr>
              <w:spacing w:after="0"/>
              <w:rPr>
                <w:sz w:val="19"/>
                <w:szCs w:val="19"/>
                <w:color w:val="auto"/>
              </w:rPr>
            </w:pPr>
          </w:p>
        </w:tc>
        <w:tc>
          <w:tcPr>
            <w:tcW w:w="180" w:type="dxa"/>
            <w:vAlign w:val="bottom"/>
            <w:tcBorders>
              <w:bottom w:val="single" w:sz="8" w:color="EBECEC"/>
            </w:tcBorders>
          </w:tcPr>
          <w:p>
            <w:pPr>
              <w:spacing w:after="0"/>
              <w:rPr>
                <w:sz w:val="19"/>
                <w:szCs w:val="19"/>
                <w:color w:val="auto"/>
              </w:rPr>
            </w:pPr>
          </w:p>
        </w:tc>
        <w:tc>
          <w:tcPr>
            <w:tcW w:w="1360" w:type="dxa"/>
            <w:vAlign w:val="bottom"/>
            <w:tcBorders>
              <w:bottom w:val="single" w:sz="8" w:color="EBECEC"/>
            </w:tcBorders>
          </w:tcPr>
          <w:p>
            <w:pPr>
              <w:spacing w:after="0"/>
              <w:rPr>
                <w:sz w:val="19"/>
                <w:szCs w:val="19"/>
                <w:color w:val="auto"/>
              </w:rPr>
            </w:pPr>
          </w:p>
        </w:tc>
        <w:tc>
          <w:tcPr>
            <w:tcW w:w="9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Fair Value</w:t>
            </w:r>
          </w:p>
        </w:tc>
        <w:tc>
          <w:tcPr>
            <w:tcW w:w="180" w:type="dxa"/>
            <w:vAlign w:val="bottom"/>
            <w:tcBorders>
              <w:bottom w:val="single" w:sz="8" w:color="EBECEC"/>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ind w:right="101"/>
              <w:spacing w:after="0"/>
              <w:rPr>
                <w:sz w:val="20"/>
                <w:szCs w:val="20"/>
                <w:color w:val="auto"/>
              </w:rPr>
            </w:pPr>
            <w:r>
              <w:rPr>
                <w:rFonts w:ascii="Times New Roman" w:cs="Times New Roman" w:eastAsia="Times New Roman" w:hAnsi="Times New Roman"/>
                <w:sz w:val="18"/>
                <w:szCs w:val="18"/>
                <w:b w:val="1"/>
                <w:bCs w:val="1"/>
                <w:color w:val="231F20"/>
              </w:rPr>
              <w:t>Level 1</w:t>
            </w:r>
          </w:p>
        </w:tc>
        <w:tc>
          <w:tcPr>
            <w:tcW w:w="180" w:type="dxa"/>
            <w:vAlign w:val="bottom"/>
            <w:tcBorders>
              <w:bottom w:val="single" w:sz="8" w:color="EBECEC"/>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Level 2</w:t>
            </w:r>
          </w:p>
        </w:tc>
        <w:tc>
          <w:tcPr>
            <w:tcW w:w="180" w:type="dxa"/>
            <w:vAlign w:val="bottom"/>
            <w:tcBorders>
              <w:bottom w:val="single" w:sz="8" w:color="EBECEC"/>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Level 3</w:t>
            </w:r>
          </w:p>
        </w:tc>
        <w:tc>
          <w:tcPr>
            <w:tcW w:w="180" w:type="dxa"/>
            <w:vAlign w:val="bottom"/>
            <w:tcBorders>
              <w:bottom w:val="single" w:sz="8" w:color="EBECEC"/>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ind w:right="181"/>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60" w:type="dxa"/>
            <w:vAlign w:val="bottom"/>
            <w:tcBorders>
              <w:bottom w:val="single" w:sz="8" w:color="EBECEC"/>
            </w:tcBorders>
          </w:tcPr>
          <w:p>
            <w:pPr>
              <w:spacing w:after="0"/>
              <w:rPr>
                <w:sz w:val="19"/>
                <w:szCs w:val="19"/>
                <w:color w:val="auto"/>
              </w:rPr>
            </w:pPr>
          </w:p>
        </w:tc>
      </w:tr>
      <w:tr>
        <w:trPr>
          <w:trHeight w:val="247"/>
        </w:trPr>
        <w:tc>
          <w:tcPr>
            <w:tcW w:w="80" w:type="dxa"/>
            <w:vAlign w:val="bottom"/>
          </w:tcPr>
          <w:p>
            <w:pPr>
              <w:spacing w:after="0"/>
              <w:rPr>
                <w:sz w:val="21"/>
                <w:szCs w:val="21"/>
                <w:color w:val="auto"/>
              </w:rPr>
            </w:pPr>
          </w:p>
        </w:tc>
        <w:tc>
          <w:tcPr>
            <w:tcW w:w="1620" w:type="dxa"/>
            <w:vAlign w:val="bottom"/>
            <w:tcBorders>
              <w:bottom w:val="single" w:sz="8" w:color="231F20"/>
            </w:tcBorders>
            <w:shd w:val="clear" w:color="auto" w:fill="EBECEC"/>
          </w:tcPr>
          <w:p>
            <w:pPr>
              <w:spacing w:after="0" w:line="227" w:lineRule="exact"/>
              <w:rPr>
                <w:sz w:val="20"/>
                <w:szCs w:val="20"/>
                <w:color w:val="auto"/>
              </w:rPr>
            </w:pPr>
            <w:r>
              <w:rPr>
                <w:rFonts w:ascii="Times New Roman" w:cs="Times New Roman" w:eastAsia="Times New Roman" w:hAnsi="Times New Roman"/>
                <w:sz w:val="20"/>
                <w:szCs w:val="20"/>
                <w:b w:val="1"/>
                <w:bCs w:val="1"/>
                <w:color w:val="231F20"/>
                <w:w w:val="98"/>
              </w:rPr>
              <w:t>December 31, 2025</w:t>
            </w:r>
          </w:p>
        </w:tc>
        <w:tc>
          <w:tcPr>
            <w:tcW w:w="1540" w:type="dxa"/>
            <w:vAlign w:val="bottom"/>
            <w:tcBorders>
              <w:bottom w:val="single" w:sz="8" w:color="EBECEC"/>
            </w:tcBorders>
            <w:gridSpan w:val="2"/>
            <w:shd w:val="clear" w:color="auto" w:fill="EBECEC"/>
          </w:tcPr>
          <w:p>
            <w:pPr>
              <w:spacing w:after="0"/>
              <w:rPr>
                <w:sz w:val="21"/>
                <w:szCs w:val="21"/>
                <w:color w:val="auto"/>
              </w:rPr>
            </w:pPr>
          </w:p>
        </w:tc>
        <w:tc>
          <w:tcPr>
            <w:tcW w:w="200" w:type="dxa"/>
            <w:vAlign w:val="bottom"/>
            <w:tcBorders>
              <w:bottom w:val="single" w:sz="8" w:color="EBECEC"/>
            </w:tcBorders>
            <w:shd w:val="clear" w:color="auto" w:fill="EBECEC"/>
          </w:tcPr>
          <w:p>
            <w:pPr>
              <w:spacing w:after="0"/>
              <w:rPr>
                <w:sz w:val="21"/>
                <w:szCs w:val="21"/>
                <w:color w:val="auto"/>
              </w:rPr>
            </w:pPr>
          </w:p>
        </w:tc>
        <w:tc>
          <w:tcPr>
            <w:tcW w:w="740" w:type="dxa"/>
            <w:vAlign w:val="bottom"/>
            <w:tcBorders>
              <w:bottom w:val="single" w:sz="8" w:color="EBECEC"/>
            </w:tcBorders>
            <w:shd w:val="clear" w:color="auto" w:fill="EBECEC"/>
          </w:tcPr>
          <w:p>
            <w:pPr>
              <w:spacing w:after="0"/>
              <w:rPr>
                <w:sz w:val="21"/>
                <w:szCs w:val="21"/>
                <w:color w:val="auto"/>
              </w:rPr>
            </w:pPr>
          </w:p>
        </w:tc>
        <w:tc>
          <w:tcPr>
            <w:tcW w:w="180" w:type="dxa"/>
            <w:vAlign w:val="bottom"/>
            <w:tcBorders>
              <w:bottom w:val="single" w:sz="8" w:color="EBECEC"/>
            </w:tcBorders>
            <w:shd w:val="clear" w:color="auto" w:fill="EBECEC"/>
          </w:tcPr>
          <w:p>
            <w:pPr>
              <w:spacing w:after="0"/>
              <w:rPr>
                <w:sz w:val="21"/>
                <w:szCs w:val="21"/>
                <w:color w:val="auto"/>
              </w:rPr>
            </w:pPr>
          </w:p>
        </w:tc>
        <w:tc>
          <w:tcPr>
            <w:tcW w:w="20" w:type="dxa"/>
            <w:vAlign w:val="bottom"/>
            <w:tcBorders>
              <w:bottom w:val="single" w:sz="8" w:color="EBECEC"/>
            </w:tcBorders>
            <w:shd w:val="clear" w:color="auto" w:fill="EBECEC"/>
          </w:tcPr>
          <w:p>
            <w:pPr>
              <w:spacing w:after="0"/>
              <w:rPr>
                <w:sz w:val="21"/>
                <w:szCs w:val="21"/>
                <w:color w:val="auto"/>
              </w:rPr>
            </w:pPr>
          </w:p>
        </w:tc>
        <w:tc>
          <w:tcPr>
            <w:tcW w:w="120" w:type="dxa"/>
            <w:vAlign w:val="bottom"/>
            <w:tcBorders>
              <w:bottom w:val="single" w:sz="8" w:color="EBECEC"/>
            </w:tcBorders>
            <w:shd w:val="clear" w:color="auto" w:fill="EBECEC"/>
          </w:tcPr>
          <w:p>
            <w:pPr>
              <w:spacing w:after="0"/>
              <w:rPr>
                <w:sz w:val="21"/>
                <w:szCs w:val="21"/>
                <w:color w:val="auto"/>
              </w:rPr>
            </w:pPr>
          </w:p>
        </w:tc>
        <w:tc>
          <w:tcPr>
            <w:tcW w:w="800" w:type="dxa"/>
            <w:vAlign w:val="bottom"/>
            <w:tcBorders>
              <w:bottom w:val="single" w:sz="8" w:color="EBECEC"/>
            </w:tcBorders>
            <w:shd w:val="clear" w:color="auto" w:fill="EBECEC"/>
          </w:tcPr>
          <w:p>
            <w:pPr>
              <w:spacing w:after="0"/>
              <w:rPr>
                <w:sz w:val="21"/>
                <w:szCs w:val="21"/>
                <w:color w:val="auto"/>
              </w:rPr>
            </w:pPr>
          </w:p>
        </w:tc>
        <w:tc>
          <w:tcPr>
            <w:tcW w:w="180" w:type="dxa"/>
            <w:vAlign w:val="bottom"/>
            <w:tcBorders>
              <w:bottom w:val="single" w:sz="8" w:color="EBECEC"/>
            </w:tcBorders>
            <w:shd w:val="clear" w:color="auto" w:fill="EBECEC"/>
          </w:tcPr>
          <w:p>
            <w:pPr>
              <w:spacing w:after="0"/>
              <w:rPr>
                <w:sz w:val="21"/>
                <w:szCs w:val="21"/>
                <w:color w:val="auto"/>
              </w:rPr>
            </w:pPr>
          </w:p>
        </w:tc>
        <w:tc>
          <w:tcPr>
            <w:tcW w:w="20" w:type="dxa"/>
            <w:vAlign w:val="bottom"/>
            <w:tcBorders>
              <w:bottom w:val="single" w:sz="8" w:color="EBECEC"/>
            </w:tcBorders>
            <w:shd w:val="clear" w:color="auto" w:fill="EBECEC"/>
          </w:tcPr>
          <w:p>
            <w:pPr>
              <w:spacing w:after="0"/>
              <w:rPr>
                <w:sz w:val="21"/>
                <w:szCs w:val="21"/>
                <w:color w:val="auto"/>
              </w:rPr>
            </w:pPr>
          </w:p>
        </w:tc>
        <w:tc>
          <w:tcPr>
            <w:tcW w:w="120" w:type="dxa"/>
            <w:vAlign w:val="bottom"/>
            <w:tcBorders>
              <w:bottom w:val="single" w:sz="8" w:color="EBECEC"/>
            </w:tcBorders>
            <w:shd w:val="clear" w:color="auto" w:fill="EBECEC"/>
          </w:tcPr>
          <w:p>
            <w:pPr>
              <w:spacing w:after="0"/>
              <w:rPr>
                <w:sz w:val="21"/>
                <w:szCs w:val="21"/>
                <w:color w:val="auto"/>
              </w:rPr>
            </w:pPr>
          </w:p>
        </w:tc>
        <w:tc>
          <w:tcPr>
            <w:tcW w:w="800" w:type="dxa"/>
            <w:vAlign w:val="bottom"/>
            <w:tcBorders>
              <w:bottom w:val="single" w:sz="8" w:color="EBECEC"/>
            </w:tcBorders>
            <w:shd w:val="clear" w:color="auto" w:fill="EBECEC"/>
          </w:tcPr>
          <w:p>
            <w:pPr>
              <w:spacing w:after="0"/>
              <w:rPr>
                <w:sz w:val="21"/>
                <w:szCs w:val="21"/>
                <w:color w:val="auto"/>
              </w:rPr>
            </w:pPr>
          </w:p>
        </w:tc>
        <w:tc>
          <w:tcPr>
            <w:tcW w:w="180" w:type="dxa"/>
            <w:vAlign w:val="bottom"/>
            <w:tcBorders>
              <w:bottom w:val="single" w:sz="8" w:color="EBECEC"/>
            </w:tcBorders>
            <w:shd w:val="clear" w:color="auto" w:fill="EBECEC"/>
          </w:tcPr>
          <w:p>
            <w:pPr>
              <w:spacing w:after="0"/>
              <w:rPr>
                <w:sz w:val="21"/>
                <w:szCs w:val="21"/>
                <w:color w:val="auto"/>
              </w:rPr>
            </w:pPr>
          </w:p>
        </w:tc>
        <w:tc>
          <w:tcPr>
            <w:tcW w:w="20" w:type="dxa"/>
            <w:vAlign w:val="bottom"/>
            <w:tcBorders>
              <w:bottom w:val="single" w:sz="8" w:color="EBECEC"/>
            </w:tcBorders>
            <w:shd w:val="clear" w:color="auto" w:fill="EBECEC"/>
          </w:tcPr>
          <w:p>
            <w:pPr>
              <w:spacing w:after="0"/>
              <w:rPr>
                <w:sz w:val="21"/>
                <w:szCs w:val="21"/>
                <w:color w:val="auto"/>
              </w:rPr>
            </w:pPr>
          </w:p>
        </w:tc>
        <w:tc>
          <w:tcPr>
            <w:tcW w:w="120" w:type="dxa"/>
            <w:vAlign w:val="bottom"/>
            <w:tcBorders>
              <w:bottom w:val="single" w:sz="8" w:color="EBECEC"/>
            </w:tcBorders>
            <w:shd w:val="clear" w:color="auto" w:fill="EBECEC"/>
          </w:tcPr>
          <w:p>
            <w:pPr>
              <w:spacing w:after="0"/>
              <w:rPr>
                <w:sz w:val="21"/>
                <w:szCs w:val="21"/>
                <w:color w:val="auto"/>
              </w:rPr>
            </w:pPr>
          </w:p>
        </w:tc>
        <w:tc>
          <w:tcPr>
            <w:tcW w:w="800" w:type="dxa"/>
            <w:vAlign w:val="bottom"/>
            <w:tcBorders>
              <w:bottom w:val="single" w:sz="8" w:color="EBECEC"/>
            </w:tcBorders>
            <w:shd w:val="clear" w:color="auto" w:fill="EBECEC"/>
          </w:tcPr>
          <w:p>
            <w:pPr>
              <w:spacing w:after="0"/>
              <w:rPr>
                <w:sz w:val="21"/>
                <w:szCs w:val="21"/>
                <w:color w:val="auto"/>
              </w:rPr>
            </w:pPr>
          </w:p>
        </w:tc>
        <w:tc>
          <w:tcPr>
            <w:tcW w:w="180" w:type="dxa"/>
            <w:vAlign w:val="bottom"/>
            <w:tcBorders>
              <w:bottom w:val="single" w:sz="8" w:color="EBECEC"/>
            </w:tcBorders>
            <w:shd w:val="clear" w:color="auto" w:fill="EBECEC"/>
          </w:tcPr>
          <w:p>
            <w:pPr>
              <w:spacing w:after="0"/>
              <w:rPr>
                <w:sz w:val="21"/>
                <w:szCs w:val="21"/>
                <w:color w:val="auto"/>
              </w:rPr>
            </w:pPr>
          </w:p>
        </w:tc>
        <w:tc>
          <w:tcPr>
            <w:tcW w:w="20" w:type="dxa"/>
            <w:vAlign w:val="bottom"/>
            <w:tcBorders>
              <w:bottom w:val="single" w:sz="8" w:color="EBECEC"/>
            </w:tcBorders>
            <w:shd w:val="clear" w:color="auto" w:fill="EBECEC"/>
          </w:tcPr>
          <w:p>
            <w:pPr>
              <w:spacing w:after="0"/>
              <w:rPr>
                <w:sz w:val="21"/>
                <w:szCs w:val="21"/>
                <w:color w:val="auto"/>
              </w:rPr>
            </w:pPr>
          </w:p>
        </w:tc>
        <w:tc>
          <w:tcPr>
            <w:tcW w:w="160" w:type="dxa"/>
            <w:vAlign w:val="bottom"/>
            <w:tcBorders>
              <w:bottom w:val="single" w:sz="8" w:color="EBECEC"/>
            </w:tcBorders>
            <w:shd w:val="clear" w:color="auto" w:fill="EBECEC"/>
          </w:tcPr>
          <w:p>
            <w:pPr>
              <w:spacing w:after="0"/>
              <w:rPr>
                <w:sz w:val="21"/>
                <w:szCs w:val="21"/>
                <w:color w:val="auto"/>
              </w:rPr>
            </w:pPr>
          </w:p>
        </w:tc>
        <w:tc>
          <w:tcPr>
            <w:tcW w:w="760" w:type="dxa"/>
            <w:vAlign w:val="bottom"/>
            <w:tcBorders>
              <w:bottom w:val="single" w:sz="8" w:color="EBECEC"/>
            </w:tcBorders>
            <w:shd w:val="clear" w:color="auto" w:fill="EBECEC"/>
          </w:tcPr>
          <w:p>
            <w:pPr>
              <w:spacing w:after="0"/>
              <w:rPr>
                <w:sz w:val="21"/>
                <w:szCs w:val="21"/>
                <w:color w:val="auto"/>
              </w:rPr>
            </w:pPr>
          </w:p>
        </w:tc>
        <w:tc>
          <w:tcPr>
            <w:tcW w:w="60" w:type="dxa"/>
            <w:vAlign w:val="bottom"/>
            <w:tcBorders>
              <w:bottom w:val="single" w:sz="8" w:color="EBECEC"/>
            </w:tcBorders>
            <w:shd w:val="clear" w:color="auto" w:fill="EBECEC"/>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316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9"/>
                <w:szCs w:val="19"/>
                <w:color w:val="231F20"/>
              </w:rPr>
              <w:t xml:space="preserve">Money market funds </w:t>
            </w:r>
            <w:r>
              <w:rPr>
                <w:rFonts w:ascii="Times New Roman" w:cs="Times New Roman" w:eastAsia="Times New Roman" w:hAnsi="Times New Roman"/>
                <w:sz w:val="25"/>
                <w:szCs w:val="25"/>
                <w:color w:val="231F20"/>
                <w:vertAlign w:val="superscript"/>
              </w:rPr>
              <w:t>(1)</w:t>
            </w:r>
          </w:p>
        </w:tc>
        <w:tc>
          <w:tcPr>
            <w:tcW w:w="200" w:type="dxa"/>
            <w:vAlign w:val="bottom"/>
          </w:tcPr>
          <w:p>
            <w:pPr>
              <w:jc w:val="right"/>
              <w:ind w:right="2"/>
              <w:spacing w:after="0" w:line="216"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rPr>
              <w:t>45,669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231F20"/>
                <w:w w:val="99"/>
              </w:rPr>
              <w:t>$</w:t>
            </w: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rPr>
              <w:t>45,669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00" w:type="dxa"/>
            <w:vAlign w:val="bottom"/>
          </w:tcPr>
          <w:p>
            <w:pPr>
              <w:ind w:left="580"/>
              <w:spacing w:after="0" w:line="216" w:lineRule="exact"/>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00" w:type="dxa"/>
            <w:vAlign w:val="bottom"/>
          </w:tcPr>
          <w:p>
            <w:pPr>
              <w:ind w:left="580"/>
              <w:spacing w:after="0" w:line="216" w:lineRule="exact"/>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rPr>
              <w:t>45,669</w:t>
            </w:r>
          </w:p>
        </w:tc>
        <w:tc>
          <w:tcPr>
            <w:tcW w:w="60" w:type="dxa"/>
            <w:vAlign w:val="bottom"/>
          </w:tcPr>
          <w:p>
            <w:pPr>
              <w:spacing w:after="0"/>
              <w:rPr>
                <w:sz w:val="18"/>
                <w:szCs w:val="18"/>
                <w:color w:val="auto"/>
              </w:rPr>
            </w:pPr>
          </w:p>
        </w:tc>
      </w:tr>
      <w:tr>
        <w:trPr>
          <w:trHeight w:val="244"/>
        </w:trPr>
        <w:tc>
          <w:tcPr>
            <w:tcW w:w="80" w:type="dxa"/>
            <w:vAlign w:val="bottom"/>
          </w:tcPr>
          <w:p>
            <w:pPr>
              <w:spacing w:after="0"/>
              <w:rPr>
                <w:sz w:val="21"/>
                <w:szCs w:val="21"/>
                <w:color w:val="auto"/>
              </w:rPr>
            </w:pPr>
          </w:p>
        </w:tc>
        <w:tc>
          <w:tcPr>
            <w:tcW w:w="3160" w:type="dxa"/>
            <w:vAlign w:val="bottom"/>
            <w:gridSpan w:val="3"/>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U.S. treasury securities</w:t>
            </w:r>
          </w:p>
        </w:tc>
        <w:tc>
          <w:tcPr>
            <w:tcW w:w="200" w:type="dxa"/>
            <w:vAlign w:val="bottom"/>
            <w:tcBorders>
              <w:bottom w:val="single" w:sz="8" w:color="231F20"/>
            </w:tcBorders>
            <w:shd w:val="clear" w:color="auto" w:fill="EBECEC"/>
          </w:tcPr>
          <w:p>
            <w:pPr>
              <w:spacing w:after="0"/>
              <w:rPr>
                <w:sz w:val="21"/>
                <w:szCs w:val="21"/>
                <w:color w:val="auto"/>
              </w:rPr>
            </w:pPr>
          </w:p>
        </w:tc>
        <w:tc>
          <w:tcPr>
            <w:tcW w:w="74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346,581</w:t>
            </w:r>
          </w:p>
        </w:tc>
        <w:tc>
          <w:tcPr>
            <w:tcW w:w="180" w:type="dxa"/>
            <w:vAlign w:val="bottom"/>
            <w:shd w:val="clear" w:color="auto" w:fill="EBECEC"/>
          </w:tcPr>
          <w:p>
            <w:pPr>
              <w:spacing w:after="0"/>
              <w:rPr>
                <w:sz w:val="21"/>
                <w:szCs w:val="21"/>
                <w:color w:val="auto"/>
              </w:rPr>
            </w:pPr>
          </w:p>
        </w:tc>
        <w:tc>
          <w:tcPr>
            <w:tcW w:w="20" w:type="dxa"/>
            <w:vAlign w:val="bottom"/>
            <w:tcBorders>
              <w:bottom w:val="single" w:sz="8" w:color="231F20"/>
            </w:tcBorders>
            <w:shd w:val="clear" w:color="auto" w:fill="EBECEC"/>
          </w:tcPr>
          <w:p>
            <w:pPr>
              <w:spacing w:after="0"/>
              <w:rPr>
                <w:sz w:val="21"/>
                <w:szCs w:val="21"/>
                <w:color w:val="auto"/>
              </w:rPr>
            </w:pPr>
          </w:p>
        </w:tc>
        <w:tc>
          <w:tcPr>
            <w:tcW w:w="120" w:type="dxa"/>
            <w:vAlign w:val="bottom"/>
            <w:tcBorders>
              <w:bottom w:val="single" w:sz="8" w:color="231F20"/>
            </w:tcBorders>
            <w:shd w:val="clear" w:color="auto" w:fill="EBECEC"/>
          </w:tcPr>
          <w:p>
            <w:pPr>
              <w:spacing w:after="0"/>
              <w:rPr>
                <w:sz w:val="21"/>
                <w:szCs w:val="21"/>
                <w:color w:val="auto"/>
              </w:rPr>
            </w:pPr>
          </w:p>
        </w:tc>
        <w:tc>
          <w:tcPr>
            <w:tcW w:w="8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346,581</w:t>
            </w:r>
          </w:p>
        </w:tc>
        <w:tc>
          <w:tcPr>
            <w:tcW w:w="180" w:type="dxa"/>
            <w:vAlign w:val="bottom"/>
            <w:shd w:val="clear" w:color="auto" w:fill="EBECEC"/>
          </w:tcPr>
          <w:p>
            <w:pPr>
              <w:spacing w:after="0"/>
              <w:rPr>
                <w:sz w:val="21"/>
                <w:szCs w:val="21"/>
                <w:color w:val="auto"/>
              </w:rPr>
            </w:pPr>
          </w:p>
        </w:tc>
        <w:tc>
          <w:tcPr>
            <w:tcW w:w="20" w:type="dxa"/>
            <w:vAlign w:val="bottom"/>
            <w:tcBorders>
              <w:bottom w:val="single" w:sz="8" w:color="231F20"/>
            </w:tcBorders>
            <w:shd w:val="clear" w:color="auto" w:fill="EBECEC"/>
          </w:tcPr>
          <w:p>
            <w:pPr>
              <w:spacing w:after="0"/>
              <w:rPr>
                <w:sz w:val="21"/>
                <w:szCs w:val="21"/>
                <w:color w:val="auto"/>
              </w:rPr>
            </w:pPr>
          </w:p>
        </w:tc>
        <w:tc>
          <w:tcPr>
            <w:tcW w:w="120" w:type="dxa"/>
            <w:vAlign w:val="bottom"/>
            <w:tcBorders>
              <w:bottom w:val="single" w:sz="8" w:color="231F20"/>
            </w:tcBorders>
            <w:shd w:val="clear" w:color="auto" w:fill="EBECEC"/>
          </w:tcPr>
          <w:p>
            <w:pPr>
              <w:spacing w:after="0"/>
              <w:rPr>
                <w:sz w:val="21"/>
                <w:szCs w:val="21"/>
                <w:color w:val="auto"/>
              </w:rPr>
            </w:pPr>
          </w:p>
        </w:tc>
        <w:tc>
          <w:tcPr>
            <w:tcW w:w="800" w:type="dxa"/>
            <w:vAlign w:val="bottom"/>
            <w:tcBorders>
              <w:bottom w:val="single" w:sz="8" w:color="231F20"/>
            </w:tcBorders>
            <w:shd w:val="clear" w:color="auto" w:fill="EBECEC"/>
          </w:tcPr>
          <w:p>
            <w:pPr>
              <w:ind w:left="580"/>
              <w:spacing w:after="0"/>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shd w:val="clear" w:color="auto" w:fill="EBECEC"/>
          </w:tcPr>
          <w:p>
            <w:pPr>
              <w:spacing w:after="0"/>
              <w:rPr>
                <w:sz w:val="21"/>
                <w:szCs w:val="21"/>
                <w:color w:val="auto"/>
              </w:rPr>
            </w:pPr>
          </w:p>
        </w:tc>
        <w:tc>
          <w:tcPr>
            <w:tcW w:w="20" w:type="dxa"/>
            <w:vAlign w:val="bottom"/>
            <w:tcBorders>
              <w:bottom w:val="single" w:sz="8" w:color="231F20"/>
            </w:tcBorders>
            <w:shd w:val="clear" w:color="auto" w:fill="EBECEC"/>
          </w:tcPr>
          <w:p>
            <w:pPr>
              <w:spacing w:after="0"/>
              <w:rPr>
                <w:sz w:val="21"/>
                <w:szCs w:val="21"/>
                <w:color w:val="auto"/>
              </w:rPr>
            </w:pPr>
          </w:p>
        </w:tc>
        <w:tc>
          <w:tcPr>
            <w:tcW w:w="120" w:type="dxa"/>
            <w:vAlign w:val="bottom"/>
            <w:tcBorders>
              <w:bottom w:val="single" w:sz="8" w:color="231F20"/>
            </w:tcBorders>
            <w:shd w:val="clear" w:color="auto" w:fill="EBECEC"/>
          </w:tcPr>
          <w:p>
            <w:pPr>
              <w:spacing w:after="0"/>
              <w:rPr>
                <w:sz w:val="21"/>
                <w:szCs w:val="21"/>
                <w:color w:val="auto"/>
              </w:rPr>
            </w:pPr>
          </w:p>
        </w:tc>
        <w:tc>
          <w:tcPr>
            <w:tcW w:w="800" w:type="dxa"/>
            <w:vAlign w:val="bottom"/>
            <w:tcBorders>
              <w:bottom w:val="single" w:sz="8" w:color="231F20"/>
            </w:tcBorders>
            <w:shd w:val="clear" w:color="auto" w:fill="EBECEC"/>
          </w:tcPr>
          <w:p>
            <w:pPr>
              <w:ind w:left="580"/>
              <w:spacing w:after="0"/>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shd w:val="clear" w:color="auto" w:fill="EBECEC"/>
          </w:tcPr>
          <w:p>
            <w:pPr>
              <w:spacing w:after="0"/>
              <w:rPr>
                <w:sz w:val="21"/>
                <w:szCs w:val="21"/>
                <w:color w:val="auto"/>
              </w:rPr>
            </w:pPr>
          </w:p>
        </w:tc>
        <w:tc>
          <w:tcPr>
            <w:tcW w:w="20" w:type="dxa"/>
            <w:vAlign w:val="bottom"/>
            <w:tcBorders>
              <w:bottom w:val="single" w:sz="8" w:color="231F20"/>
            </w:tcBorders>
            <w:shd w:val="clear" w:color="auto" w:fill="EBECEC"/>
          </w:tcPr>
          <w:p>
            <w:pPr>
              <w:spacing w:after="0"/>
              <w:rPr>
                <w:sz w:val="21"/>
                <w:szCs w:val="21"/>
                <w:color w:val="auto"/>
              </w:rPr>
            </w:pPr>
          </w:p>
        </w:tc>
        <w:tc>
          <w:tcPr>
            <w:tcW w:w="160" w:type="dxa"/>
            <w:vAlign w:val="bottom"/>
            <w:tcBorders>
              <w:bottom w:val="single" w:sz="8" w:color="231F20"/>
            </w:tcBorders>
            <w:shd w:val="clear" w:color="auto" w:fill="EBECEC"/>
          </w:tcPr>
          <w:p>
            <w:pPr>
              <w:spacing w:after="0"/>
              <w:rPr>
                <w:sz w:val="21"/>
                <w:szCs w:val="21"/>
                <w:color w:val="auto"/>
              </w:rPr>
            </w:pPr>
          </w:p>
        </w:tc>
        <w:tc>
          <w:tcPr>
            <w:tcW w:w="76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346,581</w:t>
            </w:r>
          </w:p>
        </w:tc>
        <w:tc>
          <w:tcPr>
            <w:tcW w:w="60" w:type="dxa"/>
            <w:vAlign w:val="bottom"/>
            <w:shd w:val="clear" w:color="auto" w:fill="EBECEC"/>
          </w:tcPr>
          <w:p>
            <w:pPr>
              <w:spacing w:after="0"/>
              <w:rPr>
                <w:sz w:val="21"/>
                <w:szCs w:val="21"/>
                <w:color w:val="auto"/>
              </w:rPr>
            </w:pPr>
          </w:p>
        </w:tc>
      </w:tr>
      <w:tr>
        <w:trPr>
          <w:trHeight w:val="279"/>
        </w:trPr>
        <w:tc>
          <w:tcPr>
            <w:tcW w:w="80" w:type="dxa"/>
            <w:vAlign w:val="bottom"/>
          </w:tcPr>
          <w:p>
            <w:pPr>
              <w:spacing w:after="0"/>
              <w:rPr>
                <w:sz w:val="24"/>
                <w:szCs w:val="24"/>
                <w:color w:val="auto"/>
              </w:rPr>
            </w:pPr>
          </w:p>
        </w:tc>
        <w:tc>
          <w:tcPr>
            <w:tcW w:w="3160" w:type="dxa"/>
            <w:vAlign w:val="bottom"/>
            <w:tcBorders>
              <w:bottom w:val="single" w:sz="8" w:color="EBECEC"/>
            </w:tcBorders>
            <w:gridSpan w:val="3"/>
          </w:tcPr>
          <w:p>
            <w:pPr>
              <w:ind w:left="400"/>
              <w:spacing w:after="0"/>
              <w:rPr>
                <w:sz w:val="20"/>
                <w:szCs w:val="20"/>
                <w:color w:val="auto"/>
              </w:rPr>
            </w:pPr>
            <w:r>
              <w:rPr>
                <w:rFonts w:ascii="Times New Roman" w:cs="Times New Roman" w:eastAsia="Times New Roman" w:hAnsi="Times New Roman"/>
                <w:sz w:val="20"/>
                <w:szCs w:val="20"/>
                <w:color w:val="231F20"/>
              </w:rPr>
              <w:t>Total</w:t>
            </w:r>
          </w:p>
        </w:tc>
        <w:tc>
          <w:tcPr>
            <w:tcW w:w="2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392,250</w:t>
            </w:r>
          </w:p>
        </w:tc>
        <w:tc>
          <w:tcPr>
            <w:tcW w:w="180" w:type="dxa"/>
            <w:vAlign w:val="bottom"/>
            <w:tcBorders>
              <w:bottom w:val="single" w:sz="8" w:color="EBECEC"/>
            </w:tcBorders>
          </w:tcPr>
          <w:p>
            <w:pPr>
              <w:spacing w:after="0"/>
              <w:rPr>
                <w:sz w:val="24"/>
                <w:szCs w:val="24"/>
                <w:color w:val="auto"/>
              </w:rPr>
            </w:pPr>
          </w:p>
        </w:tc>
        <w:tc>
          <w:tcPr>
            <w:tcW w:w="14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392,250</w:t>
            </w:r>
          </w:p>
        </w:tc>
        <w:tc>
          <w:tcPr>
            <w:tcW w:w="180" w:type="dxa"/>
            <w:vAlign w:val="bottom"/>
            <w:tcBorders>
              <w:bottom w:val="single" w:sz="8" w:color="EBECEC"/>
            </w:tcBorders>
          </w:tcPr>
          <w:p>
            <w:pPr>
              <w:spacing w:after="0"/>
              <w:rPr>
                <w:sz w:val="24"/>
                <w:szCs w:val="24"/>
                <w:color w:val="auto"/>
              </w:rPr>
            </w:pPr>
          </w:p>
        </w:tc>
        <w:tc>
          <w:tcPr>
            <w:tcW w:w="1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bottom w:val="single" w:sz="8" w:color="231F20"/>
            </w:tcBorders>
          </w:tcPr>
          <w:p>
            <w:pPr>
              <w:ind w:left="580"/>
              <w:spacing w:after="0"/>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tcBorders>
              <w:bottom w:val="single" w:sz="8" w:color="EBECEC"/>
            </w:tcBorders>
          </w:tcPr>
          <w:p>
            <w:pPr>
              <w:spacing w:after="0"/>
              <w:rPr>
                <w:sz w:val="24"/>
                <w:szCs w:val="24"/>
                <w:color w:val="auto"/>
              </w:rPr>
            </w:pPr>
          </w:p>
        </w:tc>
        <w:tc>
          <w:tcPr>
            <w:tcW w:w="1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bottom w:val="single" w:sz="8" w:color="231F20"/>
            </w:tcBorders>
          </w:tcPr>
          <w:p>
            <w:pPr>
              <w:ind w:left="580"/>
              <w:spacing w:after="0"/>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tcBorders>
              <w:bottom w:val="single" w:sz="8" w:color="EBECEC"/>
            </w:tcBorders>
          </w:tcPr>
          <w:p>
            <w:pPr>
              <w:spacing w:after="0"/>
              <w:rPr>
                <w:sz w:val="24"/>
                <w:szCs w:val="24"/>
                <w:color w:val="auto"/>
              </w:rPr>
            </w:pPr>
          </w:p>
        </w:tc>
        <w:tc>
          <w:tcPr>
            <w:tcW w:w="1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392,250</w:t>
            </w:r>
          </w:p>
        </w:tc>
        <w:tc>
          <w:tcPr>
            <w:tcW w:w="60" w:type="dxa"/>
            <w:vAlign w:val="bottom"/>
            <w:tcBorders>
              <w:bottom w:val="single" w:sz="8" w:color="EBECEC"/>
            </w:tcBorders>
          </w:tcPr>
          <w:p>
            <w:pPr>
              <w:spacing w:after="0"/>
              <w:rPr>
                <w:sz w:val="24"/>
                <w:szCs w:val="24"/>
                <w:color w:val="auto"/>
              </w:rPr>
            </w:pPr>
          </w:p>
        </w:tc>
      </w:tr>
      <w:tr>
        <w:trPr>
          <w:trHeight w:val="237"/>
        </w:trPr>
        <w:tc>
          <w:tcPr>
            <w:tcW w:w="80" w:type="dxa"/>
            <w:vAlign w:val="bottom"/>
          </w:tcPr>
          <w:p>
            <w:pPr>
              <w:spacing w:after="0"/>
              <w:rPr>
                <w:sz w:val="20"/>
                <w:szCs w:val="20"/>
                <w:color w:val="auto"/>
              </w:rPr>
            </w:pPr>
          </w:p>
        </w:tc>
        <w:tc>
          <w:tcPr>
            <w:tcW w:w="1620" w:type="dxa"/>
            <w:vAlign w:val="bottom"/>
            <w:tcBorders>
              <w:bottom w:val="single" w:sz="8" w:color="231F20"/>
            </w:tcBorders>
            <w:shd w:val="clear" w:color="auto" w:fill="EBECEC"/>
          </w:tcPr>
          <w:p>
            <w:pPr>
              <w:spacing w:after="0" w:line="217" w:lineRule="exact"/>
              <w:rPr>
                <w:sz w:val="20"/>
                <w:szCs w:val="20"/>
                <w:color w:val="auto"/>
              </w:rPr>
            </w:pPr>
            <w:r>
              <w:rPr>
                <w:rFonts w:ascii="Times New Roman" w:cs="Times New Roman" w:eastAsia="Times New Roman" w:hAnsi="Times New Roman"/>
                <w:sz w:val="20"/>
                <w:szCs w:val="20"/>
                <w:b w:val="1"/>
                <w:bCs w:val="1"/>
                <w:color w:val="231F20"/>
                <w:w w:val="98"/>
              </w:rPr>
              <w:t>December 31, 2024</w:t>
            </w:r>
          </w:p>
        </w:tc>
        <w:tc>
          <w:tcPr>
            <w:tcW w:w="1540" w:type="dxa"/>
            <w:vAlign w:val="bottom"/>
            <w:tcBorders>
              <w:bottom w:val="single" w:sz="8" w:color="EBECEC"/>
            </w:tcBorders>
            <w:gridSpan w:val="2"/>
            <w:shd w:val="clear" w:color="auto" w:fill="EBECEC"/>
          </w:tcPr>
          <w:p>
            <w:pPr>
              <w:spacing w:after="0"/>
              <w:rPr>
                <w:sz w:val="20"/>
                <w:szCs w:val="20"/>
                <w:color w:val="auto"/>
              </w:rPr>
            </w:pPr>
          </w:p>
        </w:tc>
        <w:tc>
          <w:tcPr>
            <w:tcW w:w="200" w:type="dxa"/>
            <w:vAlign w:val="bottom"/>
            <w:tcBorders>
              <w:bottom w:val="single" w:sz="8" w:color="EBECEC"/>
            </w:tcBorders>
            <w:shd w:val="clear" w:color="auto" w:fill="EBECEC"/>
          </w:tcPr>
          <w:p>
            <w:pPr>
              <w:spacing w:after="0"/>
              <w:rPr>
                <w:sz w:val="20"/>
                <w:szCs w:val="20"/>
                <w:color w:val="auto"/>
              </w:rPr>
            </w:pPr>
          </w:p>
        </w:tc>
        <w:tc>
          <w:tcPr>
            <w:tcW w:w="740" w:type="dxa"/>
            <w:vAlign w:val="bottom"/>
            <w:tcBorders>
              <w:bottom w:val="single" w:sz="8" w:color="EBECEC"/>
            </w:tcBorders>
            <w:shd w:val="clear" w:color="auto" w:fill="EBECEC"/>
          </w:tcPr>
          <w:p>
            <w:pPr>
              <w:spacing w:after="0"/>
              <w:rPr>
                <w:sz w:val="20"/>
                <w:szCs w:val="20"/>
                <w:color w:val="auto"/>
              </w:rPr>
            </w:pPr>
          </w:p>
        </w:tc>
        <w:tc>
          <w:tcPr>
            <w:tcW w:w="180" w:type="dxa"/>
            <w:vAlign w:val="bottom"/>
            <w:tcBorders>
              <w:bottom w:val="single" w:sz="8" w:color="EBECEC"/>
            </w:tcBorders>
            <w:shd w:val="clear" w:color="auto" w:fill="EBECEC"/>
          </w:tcPr>
          <w:p>
            <w:pPr>
              <w:spacing w:after="0"/>
              <w:rPr>
                <w:sz w:val="20"/>
                <w:szCs w:val="20"/>
                <w:color w:val="auto"/>
              </w:rPr>
            </w:pPr>
          </w:p>
        </w:tc>
        <w:tc>
          <w:tcPr>
            <w:tcW w:w="20" w:type="dxa"/>
            <w:vAlign w:val="bottom"/>
            <w:tcBorders>
              <w:bottom w:val="single" w:sz="8" w:color="EBECEC"/>
            </w:tcBorders>
            <w:shd w:val="clear" w:color="auto" w:fill="EBECEC"/>
          </w:tcPr>
          <w:p>
            <w:pPr>
              <w:spacing w:after="0"/>
              <w:rPr>
                <w:sz w:val="20"/>
                <w:szCs w:val="20"/>
                <w:color w:val="auto"/>
              </w:rPr>
            </w:pPr>
          </w:p>
        </w:tc>
        <w:tc>
          <w:tcPr>
            <w:tcW w:w="120" w:type="dxa"/>
            <w:vAlign w:val="bottom"/>
            <w:tcBorders>
              <w:bottom w:val="single" w:sz="8" w:color="EBECEC"/>
            </w:tcBorders>
            <w:shd w:val="clear" w:color="auto" w:fill="EBECEC"/>
          </w:tcPr>
          <w:p>
            <w:pPr>
              <w:spacing w:after="0"/>
              <w:rPr>
                <w:sz w:val="20"/>
                <w:szCs w:val="20"/>
                <w:color w:val="auto"/>
              </w:rPr>
            </w:pPr>
          </w:p>
        </w:tc>
        <w:tc>
          <w:tcPr>
            <w:tcW w:w="800" w:type="dxa"/>
            <w:vAlign w:val="bottom"/>
            <w:tcBorders>
              <w:bottom w:val="single" w:sz="8" w:color="EBECEC"/>
            </w:tcBorders>
            <w:shd w:val="clear" w:color="auto" w:fill="EBECEC"/>
          </w:tcPr>
          <w:p>
            <w:pPr>
              <w:spacing w:after="0"/>
              <w:rPr>
                <w:sz w:val="20"/>
                <w:szCs w:val="20"/>
                <w:color w:val="auto"/>
              </w:rPr>
            </w:pPr>
          </w:p>
        </w:tc>
        <w:tc>
          <w:tcPr>
            <w:tcW w:w="180" w:type="dxa"/>
            <w:vAlign w:val="bottom"/>
            <w:tcBorders>
              <w:bottom w:val="single" w:sz="8" w:color="EBECEC"/>
            </w:tcBorders>
            <w:shd w:val="clear" w:color="auto" w:fill="EBECEC"/>
          </w:tcPr>
          <w:p>
            <w:pPr>
              <w:spacing w:after="0"/>
              <w:rPr>
                <w:sz w:val="20"/>
                <w:szCs w:val="20"/>
                <w:color w:val="auto"/>
              </w:rPr>
            </w:pPr>
          </w:p>
        </w:tc>
        <w:tc>
          <w:tcPr>
            <w:tcW w:w="20" w:type="dxa"/>
            <w:vAlign w:val="bottom"/>
            <w:tcBorders>
              <w:bottom w:val="single" w:sz="8" w:color="EBECEC"/>
            </w:tcBorders>
            <w:shd w:val="clear" w:color="auto" w:fill="EBECEC"/>
          </w:tcPr>
          <w:p>
            <w:pPr>
              <w:spacing w:after="0"/>
              <w:rPr>
                <w:sz w:val="20"/>
                <w:szCs w:val="20"/>
                <w:color w:val="auto"/>
              </w:rPr>
            </w:pPr>
          </w:p>
        </w:tc>
        <w:tc>
          <w:tcPr>
            <w:tcW w:w="120" w:type="dxa"/>
            <w:vAlign w:val="bottom"/>
            <w:tcBorders>
              <w:bottom w:val="single" w:sz="8" w:color="EBECEC"/>
            </w:tcBorders>
            <w:shd w:val="clear" w:color="auto" w:fill="EBECEC"/>
          </w:tcPr>
          <w:p>
            <w:pPr>
              <w:spacing w:after="0"/>
              <w:rPr>
                <w:sz w:val="20"/>
                <w:szCs w:val="20"/>
                <w:color w:val="auto"/>
              </w:rPr>
            </w:pPr>
          </w:p>
        </w:tc>
        <w:tc>
          <w:tcPr>
            <w:tcW w:w="800" w:type="dxa"/>
            <w:vAlign w:val="bottom"/>
            <w:tcBorders>
              <w:bottom w:val="single" w:sz="8" w:color="EBECEC"/>
            </w:tcBorders>
            <w:shd w:val="clear" w:color="auto" w:fill="EBECEC"/>
          </w:tcPr>
          <w:p>
            <w:pPr>
              <w:spacing w:after="0"/>
              <w:rPr>
                <w:sz w:val="20"/>
                <w:szCs w:val="20"/>
                <w:color w:val="auto"/>
              </w:rPr>
            </w:pPr>
          </w:p>
        </w:tc>
        <w:tc>
          <w:tcPr>
            <w:tcW w:w="180" w:type="dxa"/>
            <w:vAlign w:val="bottom"/>
            <w:tcBorders>
              <w:bottom w:val="single" w:sz="8" w:color="EBECEC"/>
            </w:tcBorders>
            <w:shd w:val="clear" w:color="auto" w:fill="EBECEC"/>
          </w:tcPr>
          <w:p>
            <w:pPr>
              <w:spacing w:after="0"/>
              <w:rPr>
                <w:sz w:val="20"/>
                <w:szCs w:val="20"/>
                <w:color w:val="auto"/>
              </w:rPr>
            </w:pPr>
          </w:p>
        </w:tc>
        <w:tc>
          <w:tcPr>
            <w:tcW w:w="20" w:type="dxa"/>
            <w:vAlign w:val="bottom"/>
            <w:tcBorders>
              <w:bottom w:val="single" w:sz="8" w:color="EBECEC"/>
            </w:tcBorders>
            <w:shd w:val="clear" w:color="auto" w:fill="EBECEC"/>
          </w:tcPr>
          <w:p>
            <w:pPr>
              <w:spacing w:after="0"/>
              <w:rPr>
                <w:sz w:val="20"/>
                <w:szCs w:val="20"/>
                <w:color w:val="auto"/>
              </w:rPr>
            </w:pPr>
          </w:p>
        </w:tc>
        <w:tc>
          <w:tcPr>
            <w:tcW w:w="120" w:type="dxa"/>
            <w:vAlign w:val="bottom"/>
            <w:tcBorders>
              <w:bottom w:val="single" w:sz="8" w:color="EBECEC"/>
            </w:tcBorders>
            <w:shd w:val="clear" w:color="auto" w:fill="EBECEC"/>
          </w:tcPr>
          <w:p>
            <w:pPr>
              <w:spacing w:after="0"/>
              <w:rPr>
                <w:sz w:val="20"/>
                <w:szCs w:val="20"/>
                <w:color w:val="auto"/>
              </w:rPr>
            </w:pPr>
          </w:p>
        </w:tc>
        <w:tc>
          <w:tcPr>
            <w:tcW w:w="800" w:type="dxa"/>
            <w:vAlign w:val="bottom"/>
            <w:tcBorders>
              <w:bottom w:val="single" w:sz="8" w:color="EBECEC"/>
            </w:tcBorders>
            <w:shd w:val="clear" w:color="auto" w:fill="EBECEC"/>
          </w:tcPr>
          <w:p>
            <w:pPr>
              <w:spacing w:after="0"/>
              <w:rPr>
                <w:sz w:val="20"/>
                <w:szCs w:val="20"/>
                <w:color w:val="auto"/>
              </w:rPr>
            </w:pPr>
          </w:p>
        </w:tc>
        <w:tc>
          <w:tcPr>
            <w:tcW w:w="180" w:type="dxa"/>
            <w:vAlign w:val="bottom"/>
            <w:tcBorders>
              <w:bottom w:val="single" w:sz="8" w:color="EBECEC"/>
            </w:tcBorders>
            <w:shd w:val="clear" w:color="auto" w:fill="EBECEC"/>
          </w:tcPr>
          <w:p>
            <w:pPr>
              <w:spacing w:after="0"/>
              <w:rPr>
                <w:sz w:val="20"/>
                <w:szCs w:val="20"/>
                <w:color w:val="auto"/>
              </w:rPr>
            </w:pPr>
          </w:p>
        </w:tc>
        <w:tc>
          <w:tcPr>
            <w:tcW w:w="20" w:type="dxa"/>
            <w:vAlign w:val="bottom"/>
            <w:tcBorders>
              <w:bottom w:val="single" w:sz="8" w:color="EBECEC"/>
            </w:tcBorders>
            <w:shd w:val="clear" w:color="auto" w:fill="EBECEC"/>
          </w:tcPr>
          <w:p>
            <w:pPr>
              <w:spacing w:after="0"/>
              <w:rPr>
                <w:sz w:val="20"/>
                <w:szCs w:val="20"/>
                <w:color w:val="auto"/>
              </w:rPr>
            </w:pPr>
          </w:p>
        </w:tc>
        <w:tc>
          <w:tcPr>
            <w:tcW w:w="160" w:type="dxa"/>
            <w:vAlign w:val="bottom"/>
            <w:tcBorders>
              <w:bottom w:val="single" w:sz="8" w:color="EBECEC"/>
            </w:tcBorders>
            <w:shd w:val="clear" w:color="auto" w:fill="EBECEC"/>
          </w:tcPr>
          <w:p>
            <w:pPr>
              <w:spacing w:after="0"/>
              <w:rPr>
                <w:sz w:val="20"/>
                <w:szCs w:val="20"/>
                <w:color w:val="auto"/>
              </w:rPr>
            </w:pPr>
          </w:p>
        </w:tc>
        <w:tc>
          <w:tcPr>
            <w:tcW w:w="760" w:type="dxa"/>
            <w:vAlign w:val="bottom"/>
            <w:tcBorders>
              <w:bottom w:val="single" w:sz="8" w:color="EBECEC"/>
            </w:tcBorders>
            <w:shd w:val="clear" w:color="auto" w:fill="EBECEC"/>
          </w:tcPr>
          <w:p>
            <w:pPr>
              <w:spacing w:after="0"/>
              <w:rPr>
                <w:sz w:val="20"/>
                <w:szCs w:val="20"/>
                <w:color w:val="auto"/>
              </w:rPr>
            </w:pPr>
          </w:p>
        </w:tc>
        <w:tc>
          <w:tcPr>
            <w:tcW w:w="60" w:type="dxa"/>
            <w:vAlign w:val="bottom"/>
            <w:tcBorders>
              <w:bottom w:val="single" w:sz="8" w:color="EBECEC"/>
            </w:tcBorders>
            <w:shd w:val="clear" w:color="auto" w:fill="EBECEC"/>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316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9"/>
                <w:szCs w:val="19"/>
                <w:color w:val="231F20"/>
              </w:rPr>
              <w:t xml:space="preserve">Money market funds </w:t>
            </w:r>
            <w:r>
              <w:rPr>
                <w:rFonts w:ascii="Times New Roman" w:cs="Times New Roman" w:eastAsia="Times New Roman" w:hAnsi="Times New Roman"/>
                <w:sz w:val="25"/>
                <w:szCs w:val="25"/>
                <w:color w:val="231F20"/>
                <w:vertAlign w:val="superscript"/>
              </w:rPr>
              <w:t>(1)</w:t>
            </w:r>
          </w:p>
        </w:tc>
        <w:tc>
          <w:tcPr>
            <w:tcW w:w="200" w:type="dxa"/>
            <w:vAlign w:val="bottom"/>
          </w:tcPr>
          <w:p>
            <w:pPr>
              <w:jc w:val="right"/>
              <w:ind w:right="2"/>
              <w:spacing w:after="0" w:line="216"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rPr>
              <w:t>59,406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231F20"/>
                <w:w w:val="99"/>
              </w:rPr>
              <w:t>$</w:t>
            </w: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rPr>
              <w:t>59,406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00" w:type="dxa"/>
            <w:vAlign w:val="bottom"/>
          </w:tcPr>
          <w:p>
            <w:pPr>
              <w:ind w:left="580"/>
              <w:spacing w:after="0" w:line="216" w:lineRule="exact"/>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00" w:type="dxa"/>
            <w:vAlign w:val="bottom"/>
          </w:tcPr>
          <w:p>
            <w:pPr>
              <w:ind w:left="580"/>
              <w:spacing w:after="0" w:line="216" w:lineRule="exact"/>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rPr>
              <w:t>59,406</w:t>
            </w:r>
          </w:p>
        </w:tc>
        <w:tc>
          <w:tcPr>
            <w:tcW w:w="60" w:type="dxa"/>
            <w:vAlign w:val="bottom"/>
          </w:tcPr>
          <w:p>
            <w:pPr>
              <w:spacing w:after="0"/>
              <w:rPr>
                <w:sz w:val="18"/>
                <w:szCs w:val="18"/>
                <w:color w:val="auto"/>
              </w:rPr>
            </w:pPr>
          </w:p>
        </w:tc>
      </w:tr>
      <w:tr>
        <w:trPr>
          <w:trHeight w:val="244"/>
        </w:trPr>
        <w:tc>
          <w:tcPr>
            <w:tcW w:w="80" w:type="dxa"/>
            <w:vAlign w:val="bottom"/>
          </w:tcPr>
          <w:p>
            <w:pPr>
              <w:spacing w:after="0"/>
              <w:rPr>
                <w:sz w:val="21"/>
                <w:szCs w:val="21"/>
                <w:color w:val="auto"/>
              </w:rPr>
            </w:pPr>
          </w:p>
        </w:tc>
        <w:tc>
          <w:tcPr>
            <w:tcW w:w="3160" w:type="dxa"/>
            <w:vAlign w:val="bottom"/>
            <w:gridSpan w:val="3"/>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U.S. treasury securities</w:t>
            </w:r>
          </w:p>
        </w:tc>
        <w:tc>
          <w:tcPr>
            <w:tcW w:w="200" w:type="dxa"/>
            <w:vAlign w:val="bottom"/>
            <w:tcBorders>
              <w:bottom w:val="single" w:sz="8" w:color="231F20"/>
            </w:tcBorders>
            <w:shd w:val="clear" w:color="auto" w:fill="EBECEC"/>
          </w:tcPr>
          <w:p>
            <w:pPr>
              <w:spacing w:after="0"/>
              <w:rPr>
                <w:sz w:val="21"/>
                <w:szCs w:val="21"/>
                <w:color w:val="auto"/>
              </w:rPr>
            </w:pPr>
          </w:p>
        </w:tc>
        <w:tc>
          <w:tcPr>
            <w:tcW w:w="74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196,554</w:t>
            </w:r>
          </w:p>
        </w:tc>
        <w:tc>
          <w:tcPr>
            <w:tcW w:w="180" w:type="dxa"/>
            <w:vAlign w:val="bottom"/>
            <w:shd w:val="clear" w:color="auto" w:fill="EBECEC"/>
          </w:tcPr>
          <w:p>
            <w:pPr>
              <w:spacing w:after="0"/>
              <w:rPr>
                <w:sz w:val="21"/>
                <w:szCs w:val="21"/>
                <w:color w:val="auto"/>
              </w:rPr>
            </w:pPr>
          </w:p>
        </w:tc>
        <w:tc>
          <w:tcPr>
            <w:tcW w:w="20" w:type="dxa"/>
            <w:vAlign w:val="bottom"/>
            <w:tcBorders>
              <w:bottom w:val="single" w:sz="8" w:color="231F20"/>
            </w:tcBorders>
            <w:shd w:val="clear" w:color="auto" w:fill="EBECEC"/>
          </w:tcPr>
          <w:p>
            <w:pPr>
              <w:spacing w:after="0"/>
              <w:rPr>
                <w:sz w:val="21"/>
                <w:szCs w:val="21"/>
                <w:color w:val="auto"/>
              </w:rPr>
            </w:pPr>
          </w:p>
        </w:tc>
        <w:tc>
          <w:tcPr>
            <w:tcW w:w="120" w:type="dxa"/>
            <w:vAlign w:val="bottom"/>
            <w:tcBorders>
              <w:bottom w:val="single" w:sz="8" w:color="231F20"/>
            </w:tcBorders>
            <w:shd w:val="clear" w:color="auto" w:fill="EBECEC"/>
          </w:tcPr>
          <w:p>
            <w:pPr>
              <w:spacing w:after="0"/>
              <w:rPr>
                <w:sz w:val="21"/>
                <w:szCs w:val="21"/>
                <w:color w:val="auto"/>
              </w:rPr>
            </w:pPr>
          </w:p>
        </w:tc>
        <w:tc>
          <w:tcPr>
            <w:tcW w:w="8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196,554</w:t>
            </w:r>
          </w:p>
        </w:tc>
        <w:tc>
          <w:tcPr>
            <w:tcW w:w="180" w:type="dxa"/>
            <w:vAlign w:val="bottom"/>
            <w:shd w:val="clear" w:color="auto" w:fill="EBECEC"/>
          </w:tcPr>
          <w:p>
            <w:pPr>
              <w:spacing w:after="0"/>
              <w:rPr>
                <w:sz w:val="21"/>
                <w:szCs w:val="21"/>
                <w:color w:val="auto"/>
              </w:rPr>
            </w:pPr>
          </w:p>
        </w:tc>
        <w:tc>
          <w:tcPr>
            <w:tcW w:w="20" w:type="dxa"/>
            <w:vAlign w:val="bottom"/>
            <w:tcBorders>
              <w:bottom w:val="single" w:sz="8" w:color="231F20"/>
            </w:tcBorders>
            <w:shd w:val="clear" w:color="auto" w:fill="EBECEC"/>
          </w:tcPr>
          <w:p>
            <w:pPr>
              <w:spacing w:after="0"/>
              <w:rPr>
                <w:sz w:val="21"/>
                <w:szCs w:val="21"/>
                <w:color w:val="auto"/>
              </w:rPr>
            </w:pPr>
          </w:p>
        </w:tc>
        <w:tc>
          <w:tcPr>
            <w:tcW w:w="120" w:type="dxa"/>
            <w:vAlign w:val="bottom"/>
            <w:tcBorders>
              <w:bottom w:val="single" w:sz="8" w:color="231F20"/>
            </w:tcBorders>
            <w:shd w:val="clear" w:color="auto" w:fill="EBECEC"/>
          </w:tcPr>
          <w:p>
            <w:pPr>
              <w:spacing w:after="0"/>
              <w:rPr>
                <w:sz w:val="21"/>
                <w:szCs w:val="21"/>
                <w:color w:val="auto"/>
              </w:rPr>
            </w:pPr>
          </w:p>
        </w:tc>
        <w:tc>
          <w:tcPr>
            <w:tcW w:w="800" w:type="dxa"/>
            <w:vAlign w:val="bottom"/>
            <w:tcBorders>
              <w:bottom w:val="single" w:sz="8" w:color="231F20"/>
            </w:tcBorders>
            <w:shd w:val="clear" w:color="auto" w:fill="EBECEC"/>
          </w:tcPr>
          <w:p>
            <w:pPr>
              <w:ind w:left="580"/>
              <w:spacing w:after="0"/>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shd w:val="clear" w:color="auto" w:fill="EBECEC"/>
          </w:tcPr>
          <w:p>
            <w:pPr>
              <w:spacing w:after="0"/>
              <w:rPr>
                <w:sz w:val="21"/>
                <w:szCs w:val="21"/>
                <w:color w:val="auto"/>
              </w:rPr>
            </w:pPr>
          </w:p>
        </w:tc>
        <w:tc>
          <w:tcPr>
            <w:tcW w:w="20" w:type="dxa"/>
            <w:vAlign w:val="bottom"/>
            <w:tcBorders>
              <w:bottom w:val="single" w:sz="8" w:color="231F20"/>
            </w:tcBorders>
            <w:shd w:val="clear" w:color="auto" w:fill="EBECEC"/>
          </w:tcPr>
          <w:p>
            <w:pPr>
              <w:spacing w:after="0"/>
              <w:rPr>
                <w:sz w:val="21"/>
                <w:szCs w:val="21"/>
                <w:color w:val="auto"/>
              </w:rPr>
            </w:pPr>
          </w:p>
        </w:tc>
        <w:tc>
          <w:tcPr>
            <w:tcW w:w="120" w:type="dxa"/>
            <w:vAlign w:val="bottom"/>
            <w:tcBorders>
              <w:bottom w:val="single" w:sz="8" w:color="231F20"/>
            </w:tcBorders>
            <w:shd w:val="clear" w:color="auto" w:fill="EBECEC"/>
          </w:tcPr>
          <w:p>
            <w:pPr>
              <w:spacing w:after="0"/>
              <w:rPr>
                <w:sz w:val="21"/>
                <w:szCs w:val="21"/>
                <w:color w:val="auto"/>
              </w:rPr>
            </w:pPr>
          </w:p>
        </w:tc>
        <w:tc>
          <w:tcPr>
            <w:tcW w:w="800" w:type="dxa"/>
            <w:vAlign w:val="bottom"/>
            <w:tcBorders>
              <w:bottom w:val="single" w:sz="8" w:color="231F20"/>
            </w:tcBorders>
            <w:shd w:val="clear" w:color="auto" w:fill="EBECEC"/>
          </w:tcPr>
          <w:p>
            <w:pPr>
              <w:ind w:left="580"/>
              <w:spacing w:after="0"/>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shd w:val="clear" w:color="auto" w:fill="EBECEC"/>
          </w:tcPr>
          <w:p>
            <w:pPr>
              <w:spacing w:after="0"/>
              <w:rPr>
                <w:sz w:val="21"/>
                <w:szCs w:val="21"/>
                <w:color w:val="auto"/>
              </w:rPr>
            </w:pPr>
          </w:p>
        </w:tc>
        <w:tc>
          <w:tcPr>
            <w:tcW w:w="20" w:type="dxa"/>
            <w:vAlign w:val="bottom"/>
            <w:tcBorders>
              <w:bottom w:val="single" w:sz="8" w:color="231F20"/>
            </w:tcBorders>
            <w:shd w:val="clear" w:color="auto" w:fill="EBECEC"/>
          </w:tcPr>
          <w:p>
            <w:pPr>
              <w:spacing w:after="0"/>
              <w:rPr>
                <w:sz w:val="21"/>
                <w:szCs w:val="21"/>
                <w:color w:val="auto"/>
              </w:rPr>
            </w:pPr>
          </w:p>
        </w:tc>
        <w:tc>
          <w:tcPr>
            <w:tcW w:w="160" w:type="dxa"/>
            <w:vAlign w:val="bottom"/>
            <w:tcBorders>
              <w:bottom w:val="single" w:sz="8" w:color="231F20"/>
            </w:tcBorders>
            <w:shd w:val="clear" w:color="auto" w:fill="EBECEC"/>
          </w:tcPr>
          <w:p>
            <w:pPr>
              <w:spacing w:after="0"/>
              <w:rPr>
                <w:sz w:val="21"/>
                <w:szCs w:val="21"/>
                <w:color w:val="auto"/>
              </w:rPr>
            </w:pPr>
          </w:p>
        </w:tc>
        <w:tc>
          <w:tcPr>
            <w:tcW w:w="76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196,554</w:t>
            </w:r>
          </w:p>
        </w:tc>
        <w:tc>
          <w:tcPr>
            <w:tcW w:w="60" w:type="dxa"/>
            <w:vAlign w:val="bottom"/>
            <w:shd w:val="clear" w:color="auto" w:fill="EBECEC"/>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316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Total</w:t>
            </w:r>
          </w:p>
        </w:tc>
        <w:tc>
          <w:tcPr>
            <w:tcW w:w="2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255,960</w:t>
            </w:r>
          </w:p>
        </w:tc>
        <w:tc>
          <w:tcPr>
            <w:tcW w:w="180" w:type="dxa"/>
            <w:vAlign w:val="bottom"/>
          </w:tcPr>
          <w:p>
            <w:pPr>
              <w:spacing w:after="0"/>
              <w:rPr>
                <w:sz w:val="20"/>
                <w:szCs w:val="20"/>
                <w:color w:val="auto"/>
              </w:rPr>
            </w:pPr>
          </w:p>
        </w:tc>
        <w:tc>
          <w:tcPr>
            <w:tcW w:w="14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255,960</w:t>
            </w:r>
          </w:p>
        </w:tc>
        <w:tc>
          <w:tcPr>
            <w:tcW w:w="180" w:type="dxa"/>
            <w:vAlign w:val="bottom"/>
          </w:tcPr>
          <w:p>
            <w:pPr>
              <w:spacing w:after="0"/>
              <w:rPr>
                <w:sz w:val="20"/>
                <w:szCs w:val="20"/>
                <w:color w:val="auto"/>
              </w:rPr>
            </w:pPr>
          </w:p>
        </w:tc>
        <w:tc>
          <w:tcPr>
            <w:tcW w:w="1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bottom w:val="single" w:sz="8" w:color="231F20"/>
            </w:tcBorders>
          </w:tcPr>
          <w:p>
            <w:pPr>
              <w:ind w:left="580"/>
              <w:spacing w:after="0"/>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tcPr>
          <w:p>
            <w:pPr>
              <w:spacing w:after="0"/>
              <w:rPr>
                <w:sz w:val="20"/>
                <w:szCs w:val="20"/>
                <w:color w:val="auto"/>
              </w:rPr>
            </w:pPr>
          </w:p>
        </w:tc>
        <w:tc>
          <w:tcPr>
            <w:tcW w:w="1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bottom w:val="single" w:sz="8" w:color="231F20"/>
            </w:tcBorders>
          </w:tcPr>
          <w:p>
            <w:pPr>
              <w:ind w:left="580"/>
              <w:spacing w:after="0"/>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tcPr>
          <w:p>
            <w:pPr>
              <w:spacing w:after="0"/>
              <w:rPr>
                <w:sz w:val="20"/>
                <w:szCs w:val="20"/>
                <w:color w:val="auto"/>
              </w:rPr>
            </w:pPr>
          </w:p>
        </w:tc>
        <w:tc>
          <w:tcPr>
            <w:tcW w:w="1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255,960</w:t>
            </w:r>
          </w:p>
        </w:tc>
        <w:tc>
          <w:tcPr>
            <w:tcW w:w="6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4"/>
        </w:trPr>
        <w:tc>
          <w:tcPr>
            <w:tcW w:w="80" w:type="dxa"/>
            <w:vAlign w:val="bottom"/>
            <w:tcBorders>
              <w:bottom w:val="single" w:sz="8" w:color="231F20"/>
            </w:tcBorders>
          </w:tcPr>
          <w:p>
            <w:pPr>
              <w:spacing w:after="0"/>
              <w:rPr>
                <w:sz w:val="6"/>
                <w:szCs w:val="6"/>
                <w:color w:val="auto"/>
              </w:rPr>
            </w:pPr>
          </w:p>
        </w:tc>
        <w:tc>
          <w:tcPr>
            <w:tcW w:w="1620" w:type="dxa"/>
            <w:vAlign w:val="bottom"/>
            <w:tcBorders>
              <w:bottom w:val="single" w:sz="8" w:color="231F20"/>
            </w:tcBorders>
          </w:tcPr>
          <w:p>
            <w:pPr>
              <w:spacing w:after="0"/>
              <w:rPr>
                <w:sz w:val="6"/>
                <w:szCs w:val="6"/>
                <w:color w:val="auto"/>
              </w:rPr>
            </w:pPr>
          </w:p>
        </w:tc>
        <w:tc>
          <w:tcPr>
            <w:tcW w:w="180" w:type="dxa"/>
            <w:vAlign w:val="bottom"/>
            <w:tcBorders>
              <w:bottom w:val="single" w:sz="8" w:color="231F20"/>
            </w:tcBorders>
          </w:tcPr>
          <w:p>
            <w:pPr>
              <w:spacing w:after="0"/>
              <w:rPr>
                <w:sz w:val="6"/>
                <w:szCs w:val="6"/>
                <w:color w:val="auto"/>
              </w:rPr>
            </w:pPr>
          </w:p>
        </w:tc>
        <w:tc>
          <w:tcPr>
            <w:tcW w:w="1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-1551305</wp:posOffset>
            </wp:positionV>
            <wp:extent cx="276415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extLst>
                    </a:blip>
                    <a:srcRect/>
                    <a:stretch>
                      <a:fillRect/>
                    </a:stretch>
                  </pic:blipFill>
                  <pic:spPr bwMode="auto">
                    <a:xfrm>
                      <a:off x="0" y="0"/>
                      <a:ext cx="2764155" cy="38100"/>
                    </a:xfrm>
                    <a:prstGeom prst="rect">
                      <a:avLst/>
                    </a:prstGeom>
                    <a:noFill/>
                  </pic:spPr>
                </pic:pic>
              </a:graphicData>
            </a:graphic>
          </wp:anchor>
        </w:drawing>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231F20"/>
        </w:rPr>
        <w:t>(1) Included in cash and cash equivalents in accompanying balance sheets.</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 transfers between levels occurred during either of the reporting periods presented.</w:t>
      </w:r>
    </w:p>
    <w:p>
      <w:pPr>
        <w:spacing w:after="0" w:line="356" w:lineRule="exact"/>
        <w:rPr>
          <w:sz w:val="20"/>
          <w:szCs w:val="20"/>
          <w:color w:val="auto"/>
        </w:rPr>
      </w:pPr>
    </w:p>
    <w:p>
      <w:pPr>
        <w:ind w:left="200" w:hanging="200"/>
        <w:spacing w:after="0"/>
        <w:tabs>
          <w:tab w:leader="none" w:pos="200" w:val="left"/>
        </w:tabs>
        <w:numPr>
          <w:ilvl w:val="0"/>
          <w:numId w:val="7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u w:val="single" w:color="auto"/>
          <w:color w:val="231F20"/>
        </w:rPr>
        <w:t>Leases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Operating Leases</w:t>
      </w:r>
    </w:p>
    <w:p>
      <w:pPr>
        <w:spacing w:after="0" w:line="12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231F20"/>
        </w:rPr>
        <w:t>The Company has an operating lease for office and laboratory space in South San Francisco, California that ends in May 2028 with an option to renew for an additional one-year term. The Company also has an operating lease for office space in San Diego, California through February 2028 with an option to renew for one period of two years.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Following contains information related to the Company's leases (in thousands, except for weighted-average information):</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252"/>
        </w:trPr>
        <w:tc>
          <w:tcPr>
            <w:tcW w:w="5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tcBorders>
              <w:bottom w:val="single" w:sz="8" w:color="231F20"/>
            </w:tcBorders>
            <w:gridSpan w:val="4"/>
          </w:tcPr>
          <w:p>
            <w:pPr>
              <w:jc w:val="center"/>
              <w:ind w:left="413"/>
              <w:spacing w:after="0"/>
              <w:rPr>
                <w:sz w:val="20"/>
                <w:szCs w:val="20"/>
                <w:color w:val="auto"/>
              </w:rPr>
            </w:pPr>
            <w:r>
              <w:rPr>
                <w:rFonts w:ascii="Times New Roman" w:cs="Times New Roman" w:eastAsia="Times New Roman" w:hAnsi="Times New Roman"/>
                <w:sz w:val="18"/>
                <w:szCs w:val="18"/>
                <w:b w:val="1"/>
                <w:bCs w:val="1"/>
                <w:color w:val="231F20"/>
              </w:rPr>
              <w:t>Years Ended December 31,</w:t>
            </w:r>
          </w:p>
        </w:tc>
        <w:tc>
          <w:tcPr>
            <w:tcW w:w="500" w:type="dxa"/>
            <w:vAlign w:val="bottom"/>
            <w:tcBorders>
              <w:bottom w:val="single" w:sz="8" w:color="231F20"/>
            </w:tcBorders>
          </w:tcPr>
          <w:p>
            <w:pPr>
              <w:spacing w:after="0"/>
              <w:rPr>
                <w:sz w:val="21"/>
                <w:szCs w:val="21"/>
                <w:color w:val="auto"/>
              </w:rPr>
            </w:pPr>
          </w:p>
        </w:tc>
        <w:tc>
          <w:tcPr>
            <w:tcW w:w="220" w:type="dxa"/>
            <w:vAlign w:val="bottom"/>
          </w:tcPr>
          <w:p>
            <w:pPr>
              <w:spacing w:after="0"/>
              <w:rPr>
                <w:sz w:val="21"/>
                <w:szCs w:val="21"/>
                <w:color w:val="auto"/>
              </w:rPr>
            </w:pPr>
          </w:p>
        </w:tc>
      </w:tr>
      <w:tr>
        <w:trPr>
          <w:trHeight w:val="207"/>
        </w:trPr>
        <w:tc>
          <w:tcPr>
            <w:tcW w:w="5140" w:type="dxa"/>
            <w:vAlign w:val="bottom"/>
            <w:tcBorders>
              <w:bottom w:val="single" w:sz="8" w:color="EBECEC"/>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500" w:type="dxa"/>
            <w:vAlign w:val="bottom"/>
            <w:tcBorders>
              <w:bottom w:val="single" w:sz="8" w:color="231F20"/>
            </w:tcBorders>
          </w:tcPr>
          <w:p>
            <w:pPr>
              <w:spacing w:after="0"/>
              <w:rPr>
                <w:sz w:val="17"/>
                <w:szCs w:val="17"/>
                <w:color w:val="auto"/>
              </w:rPr>
            </w:pPr>
          </w:p>
        </w:tc>
        <w:tc>
          <w:tcPr>
            <w:tcW w:w="360" w:type="dxa"/>
            <w:vAlign w:val="bottom"/>
            <w:tcBorders>
              <w:bottom w:val="single" w:sz="8" w:color="EBECEC"/>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500" w:type="dxa"/>
            <w:vAlign w:val="bottom"/>
            <w:tcBorders>
              <w:bottom w:val="single" w:sz="8" w:color="231F20"/>
            </w:tcBorders>
          </w:tcPr>
          <w:p>
            <w:pPr>
              <w:spacing w:after="0"/>
              <w:rPr>
                <w:sz w:val="17"/>
                <w:szCs w:val="17"/>
                <w:color w:val="auto"/>
              </w:rPr>
            </w:pPr>
          </w:p>
        </w:tc>
        <w:tc>
          <w:tcPr>
            <w:tcW w:w="220" w:type="dxa"/>
            <w:vAlign w:val="bottom"/>
            <w:tcBorders>
              <w:bottom w:val="single" w:sz="8" w:color="EBECEC"/>
            </w:tcBorders>
          </w:tcPr>
          <w:p>
            <w:pPr>
              <w:spacing w:after="0"/>
              <w:rPr>
                <w:sz w:val="17"/>
                <w:szCs w:val="17"/>
                <w:color w:val="auto"/>
              </w:rPr>
            </w:pPr>
          </w:p>
        </w:tc>
      </w:tr>
      <w:tr>
        <w:trPr>
          <w:trHeight w:val="225"/>
        </w:trPr>
        <w:tc>
          <w:tcPr>
            <w:tcW w:w="514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b w:val="1"/>
                <w:bCs w:val="1"/>
                <w:color w:val="231F20"/>
              </w:rPr>
              <w:t>Lease costs and cash paid:</w:t>
            </w:r>
          </w:p>
        </w:tc>
        <w:tc>
          <w:tcPr>
            <w:tcW w:w="20" w:type="dxa"/>
            <w:vAlign w:val="bottom"/>
          </w:tcPr>
          <w:p>
            <w:pPr>
              <w:spacing w:after="0"/>
              <w:rPr>
                <w:sz w:val="19"/>
                <w:szCs w:val="19"/>
                <w:color w:val="auto"/>
              </w:rPr>
            </w:pPr>
          </w:p>
        </w:tc>
        <w:tc>
          <w:tcPr>
            <w:tcW w:w="940" w:type="dxa"/>
            <w:vAlign w:val="bottom"/>
            <w:shd w:val="clear" w:color="auto" w:fill="EBECEC"/>
          </w:tcPr>
          <w:p>
            <w:pPr>
              <w:spacing w:after="0"/>
              <w:rPr>
                <w:sz w:val="19"/>
                <w:szCs w:val="19"/>
                <w:color w:val="auto"/>
              </w:rPr>
            </w:pPr>
          </w:p>
        </w:tc>
        <w:tc>
          <w:tcPr>
            <w:tcW w:w="500" w:type="dxa"/>
            <w:vAlign w:val="bottom"/>
            <w:shd w:val="clear" w:color="auto" w:fill="EBECEC"/>
          </w:tcPr>
          <w:p>
            <w:pPr>
              <w:spacing w:after="0"/>
              <w:rPr>
                <w:sz w:val="19"/>
                <w:szCs w:val="19"/>
                <w:color w:val="auto"/>
              </w:rPr>
            </w:pPr>
          </w:p>
        </w:tc>
        <w:tc>
          <w:tcPr>
            <w:tcW w:w="360" w:type="dxa"/>
            <w:vAlign w:val="bottom"/>
            <w:shd w:val="clear" w:color="auto" w:fill="EBECEC"/>
          </w:tcPr>
          <w:p>
            <w:pPr>
              <w:spacing w:after="0"/>
              <w:rPr>
                <w:sz w:val="19"/>
                <w:szCs w:val="19"/>
                <w:color w:val="auto"/>
              </w:rPr>
            </w:pPr>
          </w:p>
        </w:tc>
        <w:tc>
          <w:tcPr>
            <w:tcW w:w="960" w:type="dxa"/>
            <w:vAlign w:val="bottom"/>
            <w:shd w:val="clear" w:color="auto" w:fill="EBECEC"/>
          </w:tcPr>
          <w:p>
            <w:pPr>
              <w:spacing w:after="0"/>
              <w:rPr>
                <w:sz w:val="19"/>
                <w:szCs w:val="19"/>
                <w:color w:val="auto"/>
              </w:rPr>
            </w:pPr>
          </w:p>
        </w:tc>
        <w:tc>
          <w:tcPr>
            <w:tcW w:w="500" w:type="dxa"/>
            <w:vAlign w:val="bottom"/>
            <w:shd w:val="clear" w:color="auto" w:fill="EBECEC"/>
          </w:tcPr>
          <w:p>
            <w:pPr>
              <w:spacing w:after="0"/>
              <w:rPr>
                <w:sz w:val="19"/>
                <w:szCs w:val="19"/>
                <w:color w:val="auto"/>
              </w:rPr>
            </w:pPr>
          </w:p>
        </w:tc>
        <w:tc>
          <w:tcPr>
            <w:tcW w:w="220" w:type="dxa"/>
            <w:vAlign w:val="bottom"/>
            <w:shd w:val="clear" w:color="auto" w:fill="EBECEC"/>
          </w:tcPr>
          <w:p>
            <w:pPr>
              <w:spacing w:after="0"/>
              <w:rPr>
                <w:sz w:val="19"/>
                <w:szCs w:val="19"/>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lease costs</w:t>
            </w:r>
          </w:p>
        </w:tc>
        <w:tc>
          <w:tcPr>
            <w:tcW w:w="20" w:type="dxa"/>
            <w:vAlign w:val="bottom"/>
          </w:tcPr>
          <w:p>
            <w:pPr>
              <w:spacing w:after="0"/>
              <w:rPr>
                <w:sz w:val="20"/>
                <w:szCs w:val="20"/>
                <w:color w:val="auto"/>
              </w:rPr>
            </w:pP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231F20"/>
                <w:w w:val="70"/>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3"/>
              </w:rPr>
              <w:t>3,112</w:t>
            </w:r>
          </w:p>
        </w:tc>
        <w:tc>
          <w:tcPr>
            <w:tcW w:w="360" w:type="dxa"/>
            <w:vAlign w:val="bottom"/>
          </w:tcPr>
          <w:p>
            <w:pPr>
              <w:spacing w:after="0"/>
              <w:rPr>
                <w:sz w:val="20"/>
                <w:szCs w:val="20"/>
                <w:color w:val="auto"/>
              </w:rPr>
            </w:pPr>
          </w:p>
        </w:tc>
        <w:tc>
          <w:tcPr>
            <w:tcW w:w="960" w:type="dxa"/>
            <w:vAlign w:val="bottom"/>
          </w:tcPr>
          <w:p>
            <w:pPr>
              <w:jc w:val="right"/>
              <w:ind w:right="763"/>
              <w:spacing w:after="0"/>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3"/>
              </w:rPr>
              <w:t>2,829</w:t>
            </w:r>
          </w:p>
        </w:tc>
        <w:tc>
          <w:tcPr>
            <w:tcW w:w="220" w:type="dxa"/>
            <w:vAlign w:val="bottom"/>
          </w:tcPr>
          <w:p>
            <w:pPr>
              <w:spacing w:after="0"/>
              <w:rPr>
                <w:sz w:val="20"/>
                <w:szCs w:val="20"/>
                <w:color w:val="auto"/>
              </w:rPr>
            </w:pPr>
          </w:p>
        </w:tc>
      </w:tr>
      <w:tr>
        <w:trPr>
          <w:trHeight w:val="230"/>
        </w:trPr>
        <w:tc>
          <w:tcPr>
            <w:tcW w:w="51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Cash paid for operating leases</w:t>
            </w:r>
          </w:p>
        </w:tc>
        <w:tc>
          <w:tcPr>
            <w:tcW w:w="960" w:type="dxa"/>
            <w:vAlign w:val="bottom"/>
            <w:gridSpan w:val="2"/>
            <w:shd w:val="clear" w:color="auto" w:fill="EBECEC"/>
          </w:tcPr>
          <w:p>
            <w:pPr>
              <w:jc w:val="right"/>
              <w:ind w:right="773"/>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gridSpan w:val="2"/>
            <w:shd w:val="clear" w:color="auto" w:fill="EBECEC"/>
          </w:tcPr>
          <w:p>
            <w:pPr>
              <w:ind w:left="60"/>
              <w:spacing w:after="0"/>
              <w:rPr>
                <w:sz w:val="20"/>
                <w:szCs w:val="20"/>
                <w:color w:val="auto"/>
              </w:rPr>
            </w:pPr>
            <w:r>
              <w:rPr>
                <w:rFonts w:ascii="Times New Roman" w:cs="Times New Roman" w:eastAsia="Times New Roman" w:hAnsi="Times New Roman"/>
                <w:sz w:val="20"/>
                <w:szCs w:val="20"/>
                <w:color w:val="231F20"/>
              </w:rPr>
              <w:t>3,307</w:t>
            </w:r>
          </w:p>
        </w:tc>
        <w:tc>
          <w:tcPr>
            <w:tcW w:w="960" w:type="dxa"/>
            <w:vAlign w:val="bottom"/>
            <w:shd w:val="clear" w:color="auto" w:fill="EBECEC"/>
          </w:tcPr>
          <w:p>
            <w:pPr>
              <w:jc w:val="right"/>
              <w:ind w:right="763"/>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gridSpan w:val="2"/>
            <w:shd w:val="clear" w:color="auto" w:fill="EBECEC"/>
          </w:tcPr>
          <w:p>
            <w:pPr>
              <w:ind w:left="60"/>
              <w:spacing w:after="0"/>
              <w:rPr>
                <w:sz w:val="20"/>
                <w:szCs w:val="20"/>
                <w:color w:val="auto"/>
              </w:rPr>
            </w:pPr>
            <w:r>
              <w:rPr>
                <w:rFonts w:ascii="Times New Roman" w:cs="Times New Roman" w:eastAsia="Times New Roman" w:hAnsi="Times New Roman"/>
                <w:sz w:val="20"/>
                <w:szCs w:val="20"/>
                <w:color w:val="231F20"/>
              </w:rPr>
              <w:t>2,919</w:t>
            </w:r>
          </w:p>
        </w:tc>
      </w:tr>
      <w:tr>
        <w:trPr>
          <w:trHeight w:val="485"/>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231F20"/>
            </w:tcBorders>
          </w:tcPr>
          <w:p>
            <w:pPr>
              <w:spacing w:after="0"/>
              <w:rPr>
                <w:sz w:val="24"/>
                <w:szCs w:val="24"/>
                <w:color w:val="auto"/>
              </w:rPr>
            </w:pPr>
          </w:p>
        </w:tc>
        <w:tc>
          <w:tcPr>
            <w:tcW w:w="1820" w:type="dxa"/>
            <w:vAlign w:val="bottom"/>
            <w:tcBorders>
              <w:bottom w:val="single" w:sz="8" w:color="231F20"/>
            </w:tcBorders>
            <w:gridSpan w:val="3"/>
          </w:tcPr>
          <w:p>
            <w:pPr>
              <w:jc w:val="center"/>
              <w:ind w:right="343"/>
              <w:spacing w:after="0"/>
              <w:rPr>
                <w:sz w:val="20"/>
                <w:szCs w:val="20"/>
                <w:color w:val="auto"/>
              </w:rPr>
            </w:pPr>
            <w:r>
              <w:rPr>
                <w:rFonts w:ascii="Times New Roman" w:cs="Times New Roman" w:eastAsia="Times New Roman" w:hAnsi="Times New Roman"/>
                <w:sz w:val="18"/>
                <w:szCs w:val="18"/>
                <w:b w:val="1"/>
                <w:bCs w:val="1"/>
                <w:color w:val="231F20"/>
              </w:rPr>
              <w:t>December 31,</w:t>
            </w:r>
          </w:p>
        </w:tc>
        <w:tc>
          <w:tcPr>
            <w:tcW w:w="500" w:type="dxa"/>
            <w:vAlign w:val="bottom"/>
            <w:tcBorders>
              <w:bottom w:val="single" w:sz="8" w:color="231F20"/>
            </w:tcBorders>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5140" w:type="dxa"/>
            <w:vAlign w:val="bottom"/>
            <w:tcBorders>
              <w:bottom w:val="single" w:sz="8" w:color="EBECEC"/>
            </w:tcBorders>
          </w:tcPr>
          <w:p>
            <w:pPr>
              <w:spacing w:after="0"/>
              <w:rPr>
                <w:sz w:val="19"/>
                <w:szCs w:val="19"/>
                <w:color w:val="auto"/>
              </w:rPr>
            </w:pPr>
          </w:p>
        </w:tc>
        <w:tc>
          <w:tcPr>
            <w:tcW w:w="9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500" w:type="dxa"/>
            <w:vAlign w:val="bottom"/>
            <w:tcBorders>
              <w:bottom w:val="single" w:sz="8" w:color="231F20"/>
            </w:tcBorders>
          </w:tcPr>
          <w:p>
            <w:pPr>
              <w:spacing w:after="0"/>
              <w:rPr>
                <w:sz w:val="19"/>
                <w:szCs w:val="19"/>
                <w:color w:val="auto"/>
              </w:rPr>
            </w:pPr>
          </w:p>
        </w:tc>
        <w:tc>
          <w:tcPr>
            <w:tcW w:w="360" w:type="dxa"/>
            <w:vAlign w:val="bottom"/>
            <w:tcBorders>
              <w:bottom w:val="single" w:sz="8" w:color="EBECEC"/>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500" w:type="dxa"/>
            <w:vAlign w:val="bottom"/>
            <w:tcBorders>
              <w:bottom w:val="single" w:sz="8" w:color="231F20"/>
            </w:tcBorders>
          </w:tcPr>
          <w:p>
            <w:pPr>
              <w:spacing w:after="0"/>
              <w:rPr>
                <w:sz w:val="19"/>
                <w:szCs w:val="19"/>
                <w:color w:val="auto"/>
              </w:rPr>
            </w:pPr>
          </w:p>
        </w:tc>
        <w:tc>
          <w:tcPr>
            <w:tcW w:w="220" w:type="dxa"/>
            <w:vAlign w:val="bottom"/>
            <w:tcBorders>
              <w:bottom w:val="single" w:sz="8" w:color="EBECEC"/>
            </w:tcBorders>
          </w:tcPr>
          <w:p>
            <w:pPr>
              <w:spacing w:after="0"/>
              <w:rPr>
                <w:sz w:val="19"/>
                <w:szCs w:val="19"/>
                <w:color w:val="auto"/>
              </w:rPr>
            </w:pPr>
          </w:p>
        </w:tc>
      </w:tr>
      <w:tr>
        <w:trPr>
          <w:trHeight w:val="225"/>
        </w:trPr>
        <w:tc>
          <w:tcPr>
            <w:tcW w:w="5140" w:type="dxa"/>
            <w:vAlign w:val="bottom"/>
            <w:shd w:val="clear" w:color="auto" w:fill="EBECEC"/>
          </w:tcPr>
          <w:p>
            <w:pPr>
              <w:ind w:left="60"/>
              <w:spacing w:after="0" w:line="225" w:lineRule="exact"/>
              <w:rPr>
                <w:sz w:val="20"/>
                <w:szCs w:val="20"/>
                <w:color w:val="auto"/>
              </w:rPr>
            </w:pPr>
            <w:r>
              <w:rPr>
                <w:rFonts w:ascii="Times New Roman" w:cs="Times New Roman" w:eastAsia="Times New Roman" w:hAnsi="Times New Roman"/>
                <w:sz w:val="20"/>
                <w:szCs w:val="20"/>
                <w:b w:val="1"/>
                <w:bCs w:val="1"/>
                <w:color w:val="231F20"/>
              </w:rPr>
              <w:t>Lease assets:</w:t>
            </w:r>
          </w:p>
        </w:tc>
        <w:tc>
          <w:tcPr>
            <w:tcW w:w="20" w:type="dxa"/>
            <w:vAlign w:val="bottom"/>
          </w:tcPr>
          <w:p>
            <w:pPr>
              <w:spacing w:after="0"/>
              <w:rPr>
                <w:sz w:val="19"/>
                <w:szCs w:val="19"/>
                <w:color w:val="auto"/>
              </w:rPr>
            </w:pPr>
          </w:p>
        </w:tc>
        <w:tc>
          <w:tcPr>
            <w:tcW w:w="940" w:type="dxa"/>
            <w:vAlign w:val="bottom"/>
            <w:shd w:val="clear" w:color="auto" w:fill="EBECEC"/>
          </w:tcPr>
          <w:p>
            <w:pPr>
              <w:spacing w:after="0"/>
              <w:rPr>
                <w:sz w:val="19"/>
                <w:szCs w:val="19"/>
                <w:color w:val="auto"/>
              </w:rPr>
            </w:pPr>
          </w:p>
        </w:tc>
        <w:tc>
          <w:tcPr>
            <w:tcW w:w="500" w:type="dxa"/>
            <w:vAlign w:val="bottom"/>
            <w:shd w:val="clear" w:color="auto" w:fill="EBECEC"/>
          </w:tcPr>
          <w:p>
            <w:pPr>
              <w:spacing w:after="0"/>
              <w:rPr>
                <w:sz w:val="19"/>
                <w:szCs w:val="19"/>
                <w:color w:val="auto"/>
              </w:rPr>
            </w:pPr>
          </w:p>
        </w:tc>
        <w:tc>
          <w:tcPr>
            <w:tcW w:w="360" w:type="dxa"/>
            <w:vAlign w:val="bottom"/>
            <w:shd w:val="clear" w:color="auto" w:fill="EBECEC"/>
          </w:tcPr>
          <w:p>
            <w:pPr>
              <w:spacing w:after="0"/>
              <w:rPr>
                <w:sz w:val="19"/>
                <w:szCs w:val="19"/>
                <w:color w:val="auto"/>
              </w:rPr>
            </w:pPr>
          </w:p>
        </w:tc>
        <w:tc>
          <w:tcPr>
            <w:tcW w:w="960" w:type="dxa"/>
            <w:vAlign w:val="bottom"/>
            <w:shd w:val="clear" w:color="auto" w:fill="EBECEC"/>
          </w:tcPr>
          <w:p>
            <w:pPr>
              <w:spacing w:after="0"/>
              <w:rPr>
                <w:sz w:val="19"/>
                <w:szCs w:val="19"/>
                <w:color w:val="auto"/>
              </w:rPr>
            </w:pPr>
          </w:p>
        </w:tc>
        <w:tc>
          <w:tcPr>
            <w:tcW w:w="500" w:type="dxa"/>
            <w:vAlign w:val="bottom"/>
            <w:shd w:val="clear" w:color="auto" w:fill="EBECEC"/>
          </w:tcPr>
          <w:p>
            <w:pPr>
              <w:spacing w:after="0"/>
              <w:rPr>
                <w:sz w:val="19"/>
                <w:szCs w:val="19"/>
                <w:color w:val="auto"/>
              </w:rPr>
            </w:pPr>
          </w:p>
        </w:tc>
        <w:tc>
          <w:tcPr>
            <w:tcW w:w="220" w:type="dxa"/>
            <w:vAlign w:val="bottom"/>
            <w:shd w:val="clear" w:color="auto" w:fill="EBECEC"/>
          </w:tcPr>
          <w:p>
            <w:pPr>
              <w:spacing w:after="0"/>
              <w:rPr>
                <w:sz w:val="19"/>
                <w:szCs w:val="19"/>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Right-of-use assets included in other assets</w:t>
            </w:r>
          </w:p>
        </w:tc>
        <w:tc>
          <w:tcPr>
            <w:tcW w:w="20" w:type="dxa"/>
            <w:vAlign w:val="bottom"/>
          </w:tcPr>
          <w:p>
            <w:pPr>
              <w:spacing w:after="0"/>
              <w:rPr>
                <w:sz w:val="20"/>
                <w:szCs w:val="20"/>
                <w:color w:val="auto"/>
              </w:rPr>
            </w:pP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231F20"/>
                <w:w w:val="70"/>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3"/>
              </w:rPr>
              <w:t>6,658</w:t>
            </w:r>
          </w:p>
        </w:tc>
        <w:tc>
          <w:tcPr>
            <w:tcW w:w="360" w:type="dxa"/>
            <w:vAlign w:val="bottom"/>
          </w:tcPr>
          <w:p>
            <w:pPr>
              <w:spacing w:after="0"/>
              <w:rPr>
                <w:sz w:val="20"/>
                <w:szCs w:val="20"/>
                <w:color w:val="auto"/>
              </w:rPr>
            </w:pPr>
          </w:p>
        </w:tc>
        <w:tc>
          <w:tcPr>
            <w:tcW w:w="960" w:type="dxa"/>
            <w:vAlign w:val="bottom"/>
          </w:tcPr>
          <w:p>
            <w:pPr>
              <w:jc w:val="right"/>
              <w:ind w:right="763"/>
              <w:spacing w:after="0"/>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3"/>
              </w:rPr>
              <w:t>8,380</w:t>
            </w:r>
          </w:p>
        </w:tc>
        <w:tc>
          <w:tcPr>
            <w:tcW w:w="220" w:type="dxa"/>
            <w:vAlign w:val="bottom"/>
          </w:tcPr>
          <w:p>
            <w:pPr>
              <w:spacing w:after="0"/>
              <w:rPr>
                <w:sz w:val="20"/>
                <w:szCs w:val="20"/>
                <w:color w:val="auto"/>
              </w:rPr>
            </w:pPr>
          </w:p>
        </w:tc>
      </w:tr>
      <w:tr>
        <w:trPr>
          <w:trHeight w:val="230"/>
        </w:trPr>
        <w:tc>
          <w:tcPr>
            <w:tcW w:w="514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c>
          <w:tcPr>
            <w:tcW w:w="940" w:type="dxa"/>
            <w:vAlign w:val="bottom"/>
            <w:shd w:val="clear" w:color="auto" w:fill="EBECEC"/>
          </w:tcPr>
          <w:p>
            <w:pPr>
              <w:spacing w:after="0"/>
              <w:rPr>
                <w:sz w:val="20"/>
                <w:szCs w:val="20"/>
                <w:color w:val="auto"/>
              </w:rPr>
            </w:pPr>
          </w:p>
        </w:tc>
        <w:tc>
          <w:tcPr>
            <w:tcW w:w="500" w:type="dxa"/>
            <w:vAlign w:val="bottom"/>
            <w:shd w:val="clear" w:color="auto" w:fill="EBECEC"/>
          </w:tcPr>
          <w:p>
            <w:pPr>
              <w:spacing w:after="0"/>
              <w:rPr>
                <w:sz w:val="20"/>
                <w:szCs w:val="20"/>
                <w:color w:val="auto"/>
              </w:rPr>
            </w:pPr>
          </w:p>
        </w:tc>
        <w:tc>
          <w:tcPr>
            <w:tcW w:w="360" w:type="dxa"/>
            <w:vAlign w:val="bottom"/>
            <w:shd w:val="clear" w:color="auto" w:fill="EBECEC"/>
          </w:tcPr>
          <w:p>
            <w:pPr>
              <w:spacing w:after="0"/>
              <w:rPr>
                <w:sz w:val="20"/>
                <w:szCs w:val="20"/>
                <w:color w:val="auto"/>
              </w:rPr>
            </w:pPr>
          </w:p>
        </w:tc>
        <w:tc>
          <w:tcPr>
            <w:tcW w:w="960" w:type="dxa"/>
            <w:vAlign w:val="bottom"/>
            <w:shd w:val="clear" w:color="auto" w:fill="EBECEC"/>
          </w:tcPr>
          <w:p>
            <w:pPr>
              <w:spacing w:after="0"/>
              <w:rPr>
                <w:sz w:val="20"/>
                <w:szCs w:val="20"/>
                <w:color w:val="auto"/>
              </w:rPr>
            </w:pPr>
          </w:p>
        </w:tc>
        <w:tc>
          <w:tcPr>
            <w:tcW w:w="500" w:type="dxa"/>
            <w:vAlign w:val="bottom"/>
            <w:shd w:val="clear" w:color="auto" w:fill="EBECEC"/>
          </w:tcPr>
          <w:p>
            <w:pPr>
              <w:spacing w:after="0"/>
              <w:rPr>
                <w:sz w:val="20"/>
                <w:szCs w:val="20"/>
                <w:color w:val="auto"/>
              </w:rPr>
            </w:pPr>
          </w:p>
        </w:tc>
        <w:tc>
          <w:tcPr>
            <w:tcW w:w="220" w:type="dxa"/>
            <w:vAlign w:val="bottom"/>
            <w:shd w:val="clear" w:color="auto" w:fill="EBECEC"/>
          </w:tcPr>
          <w:p>
            <w:pPr>
              <w:spacing w:after="0"/>
              <w:rPr>
                <w:sz w:val="20"/>
                <w:szCs w:val="20"/>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Lease liabilities: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51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Lease liabilities included in accrued liabilities</w:t>
            </w:r>
          </w:p>
        </w:tc>
        <w:tc>
          <w:tcPr>
            <w:tcW w:w="960" w:type="dxa"/>
            <w:vAlign w:val="bottom"/>
            <w:gridSpan w:val="2"/>
            <w:shd w:val="clear" w:color="auto" w:fill="EBECEC"/>
          </w:tcPr>
          <w:p>
            <w:pPr>
              <w:jc w:val="right"/>
              <w:ind w:right="773"/>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gridSpan w:val="2"/>
            <w:shd w:val="clear" w:color="auto" w:fill="EBECEC"/>
          </w:tcPr>
          <w:p>
            <w:pPr>
              <w:ind w:left="60"/>
              <w:spacing w:after="0"/>
              <w:rPr>
                <w:sz w:val="20"/>
                <w:szCs w:val="20"/>
                <w:color w:val="auto"/>
              </w:rPr>
            </w:pPr>
            <w:r>
              <w:rPr>
                <w:rFonts w:ascii="Times New Roman" w:cs="Times New Roman" w:eastAsia="Times New Roman" w:hAnsi="Times New Roman"/>
                <w:sz w:val="20"/>
                <w:szCs w:val="20"/>
                <w:color w:val="231F20"/>
              </w:rPr>
              <w:t>3,330</w:t>
            </w:r>
          </w:p>
        </w:tc>
        <w:tc>
          <w:tcPr>
            <w:tcW w:w="960" w:type="dxa"/>
            <w:vAlign w:val="bottom"/>
            <w:shd w:val="clear" w:color="auto" w:fill="EBECEC"/>
          </w:tcPr>
          <w:p>
            <w:pPr>
              <w:jc w:val="right"/>
              <w:ind w:right="763"/>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gridSpan w:val="2"/>
            <w:shd w:val="clear" w:color="auto" w:fill="EBECEC"/>
          </w:tcPr>
          <w:p>
            <w:pPr>
              <w:ind w:left="60"/>
              <w:spacing w:after="0"/>
              <w:rPr>
                <w:sz w:val="20"/>
                <w:szCs w:val="20"/>
                <w:color w:val="auto"/>
              </w:rPr>
            </w:pPr>
            <w:r>
              <w:rPr>
                <w:rFonts w:ascii="Times New Roman" w:cs="Times New Roman" w:eastAsia="Times New Roman" w:hAnsi="Times New Roman"/>
                <w:sz w:val="20"/>
                <w:szCs w:val="20"/>
                <w:color w:val="231F20"/>
              </w:rPr>
              <w:t>3,183</w:t>
            </w: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Lease liabilities included in other long-term liabilities</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4,111</w:t>
            </w:r>
          </w:p>
        </w:tc>
        <w:tc>
          <w:tcPr>
            <w:tcW w:w="96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6,174</w:t>
            </w:r>
          </w:p>
        </w:tc>
      </w:tr>
      <w:tr>
        <w:trPr>
          <w:trHeight w:val="225"/>
        </w:trPr>
        <w:tc>
          <w:tcPr>
            <w:tcW w:w="5140" w:type="dxa"/>
            <w:vAlign w:val="bottom"/>
            <w:tcBorders>
              <w:top w:val="single" w:sz="8" w:color="EBECEC"/>
              <w:bottom w:val="single" w:sz="8" w:color="EBECEC"/>
            </w:tcBorders>
            <w:shd w:val="clear" w:color="auto" w:fill="EBECEC"/>
          </w:tcPr>
          <w:p>
            <w:pPr>
              <w:ind w:left="400"/>
              <w:spacing w:after="0" w:line="225" w:lineRule="exact"/>
              <w:rPr>
                <w:sz w:val="20"/>
                <w:szCs w:val="20"/>
                <w:color w:val="auto"/>
              </w:rPr>
            </w:pPr>
            <w:r>
              <w:rPr>
                <w:rFonts w:ascii="Times New Roman" w:cs="Times New Roman" w:eastAsia="Times New Roman" w:hAnsi="Times New Roman"/>
                <w:sz w:val="20"/>
                <w:szCs w:val="20"/>
                <w:color w:val="231F20"/>
              </w:rPr>
              <w:t>Total lease liabilities</w:t>
            </w:r>
          </w:p>
        </w:tc>
        <w:tc>
          <w:tcPr>
            <w:tcW w:w="20" w:type="dxa"/>
            <w:vAlign w:val="bottom"/>
            <w:tcBorders>
              <w:top w:val="single" w:sz="8" w:color="231F20"/>
              <w:bottom w:val="single" w:sz="8" w:color="231F20"/>
            </w:tcBorders>
          </w:tcPr>
          <w:p>
            <w:pPr>
              <w:spacing w:after="0"/>
              <w:rPr>
                <w:sz w:val="19"/>
                <w:szCs w:val="19"/>
                <w:color w:val="auto"/>
              </w:rPr>
            </w:pPr>
          </w:p>
        </w:tc>
        <w:tc>
          <w:tcPr>
            <w:tcW w:w="940" w:type="dxa"/>
            <w:vAlign w:val="bottom"/>
            <w:tcBorders>
              <w:top w:val="single" w:sz="8" w:color="231F20"/>
              <w:bottom w:val="single" w:sz="8" w:color="231F20"/>
            </w:tcBorders>
            <w:shd w:val="clear" w:color="auto" w:fill="EBECEC"/>
          </w:tcPr>
          <w:p>
            <w:pPr>
              <w:jc w:val="right"/>
              <w:ind w:right="773"/>
              <w:spacing w:after="0"/>
              <w:rPr>
                <w:sz w:val="20"/>
                <w:szCs w:val="20"/>
                <w:color w:val="auto"/>
              </w:rPr>
            </w:pPr>
            <w:r>
              <w:rPr>
                <w:rFonts w:ascii="Times New Roman" w:cs="Times New Roman" w:eastAsia="Times New Roman" w:hAnsi="Times New Roman"/>
                <w:sz w:val="17"/>
                <w:szCs w:val="17"/>
                <w:color w:val="231F20"/>
                <w:w w:val="70"/>
              </w:rPr>
              <w:t>$</w:t>
            </w:r>
          </w:p>
        </w:tc>
        <w:tc>
          <w:tcPr>
            <w:tcW w:w="500" w:type="dxa"/>
            <w:vAlign w:val="bottom"/>
            <w:tcBorders>
              <w:top w:val="single" w:sz="8" w:color="231F20"/>
              <w:bottom w:val="single" w:sz="8" w:color="231F20"/>
            </w:tcBorders>
            <w:shd w:val="clear" w:color="auto" w:fill="EBECEC"/>
          </w:tcPr>
          <w:p>
            <w:pPr>
              <w:ind w:left="60"/>
              <w:spacing w:after="0" w:line="225" w:lineRule="exact"/>
              <w:rPr>
                <w:sz w:val="20"/>
                <w:szCs w:val="20"/>
                <w:color w:val="auto"/>
              </w:rPr>
            </w:pPr>
            <w:r>
              <w:rPr>
                <w:rFonts w:ascii="Times New Roman" w:cs="Times New Roman" w:eastAsia="Times New Roman" w:hAnsi="Times New Roman"/>
                <w:sz w:val="20"/>
                <w:szCs w:val="20"/>
                <w:color w:val="231F20"/>
                <w:w w:val="93"/>
              </w:rPr>
              <w:t>7,441</w:t>
            </w:r>
          </w:p>
        </w:tc>
        <w:tc>
          <w:tcPr>
            <w:tcW w:w="360" w:type="dxa"/>
            <w:vAlign w:val="bottom"/>
            <w:tcBorders>
              <w:top w:val="single" w:sz="8" w:color="EBECEC"/>
              <w:bottom w:val="single" w:sz="8" w:color="EBECEC"/>
            </w:tcBorders>
            <w:shd w:val="clear" w:color="auto" w:fill="EBECEC"/>
          </w:tcPr>
          <w:p>
            <w:pPr>
              <w:spacing w:after="0"/>
              <w:rPr>
                <w:sz w:val="19"/>
                <w:szCs w:val="19"/>
                <w:color w:val="auto"/>
              </w:rPr>
            </w:pPr>
          </w:p>
        </w:tc>
        <w:tc>
          <w:tcPr>
            <w:tcW w:w="960" w:type="dxa"/>
            <w:vAlign w:val="bottom"/>
            <w:tcBorders>
              <w:top w:val="single" w:sz="8" w:color="231F20"/>
              <w:bottom w:val="single" w:sz="8" w:color="231F20"/>
            </w:tcBorders>
            <w:shd w:val="clear" w:color="auto" w:fill="EBECEC"/>
          </w:tcPr>
          <w:p>
            <w:pPr>
              <w:jc w:val="right"/>
              <w:ind w:right="763"/>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tcBorders>
              <w:top w:val="single" w:sz="8" w:color="231F20"/>
              <w:bottom w:val="single" w:sz="8" w:color="231F20"/>
            </w:tcBorders>
            <w:shd w:val="clear" w:color="auto" w:fill="EBECEC"/>
          </w:tcPr>
          <w:p>
            <w:pPr>
              <w:ind w:left="60"/>
              <w:spacing w:after="0" w:line="225" w:lineRule="exact"/>
              <w:rPr>
                <w:sz w:val="20"/>
                <w:szCs w:val="20"/>
                <w:color w:val="auto"/>
              </w:rPr>
            </w:pPr>
            <w:r>
              <w:rPr>
                <w:rFonts w:ascii="Times New Roman" w:cs="Times New Roman" w:eastAsia="Times New Roman" w:hAnsi="Times New Roman"/>
                <w:sz w:val="20"/>
                <w:szCs w:val="20"/>
                <w:color w:val="231F20"/>
                <w:w w:val="93"/>
              </w:rPr>
              <w:t>9,357</w:t>
            </w:r>
          </w:p>
        </w:tc>
        <w:tc>
          <w:tcPr>
            <w:tcW w:w="220" w:type="dxa"/>
            <w:vAlign w:val="bottom"/>
            <w:tcBorders>
              <w:top w:val="single" w:sz="8" w:color="EBECEC"/>
              <w:bottom w:val="single" w:sz="8" w:color="EBECEC"/>
            </w:tcBorders>
            <w:shd w:val="clear" w:color="auto" w:fill="EBECEC"/>
          </w:tcPr>
          <w:p>
            <w:pPr>
              <w:spacing w:after="0"/>
              <w:rPr>
                <w:sz w:val="19"/>
                <w:szCs w:val="19"/>
                <w:color w:val="auto"/>
              </w:rPr>
            </w:pPr>
          </w:p>
        </w:tc>
      </w:tr>
      <w:tr>
        <w:trPr>
          <w:trHeight w:val="225"/>
        </w:trPr>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1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b w:val="1"/>
                <w:bCs w:val="1"/>
                <w:color w:val="231F20"/>
              </w:rPr>
              <w:t>Supplemental weighted- average information:</w:t>
            </w:r>
          </w:p>
        </w:tc>
        <w:tc>
          <w:tcPr>
            <w:tcW w:w="20" w:type="dxa"/>
            <w:vAlign w:val="bottom"/>
            <w:shd w:val="clear" w:color="auto" w:fill="EBECEC"/>
          </w:tcPr>
          <w:p>
            <w:pPr>
              <w:spacing w:after="0"/>
              <w:rPr>
                <w:sz w:val="20"/>
                <w:szCs w:val="20"/>
                <w:color w:val="auto"/>
              </w:rPr>
            </w:pPr>
          </w:p>
        </w:tc>
        <w:tc>
          <w:tcPr>
            <w:tcW w:w="940" w:type="dxa"/>
            <w:vAlign w:val="bottom"/>
            <w:shd w:val="clear" w:color="auto" w:fill="EBECEC"/>
          </w:tcPr>
          <w:p>
            <w:pPr>
              <w:spacing w:after="0"/>
              <w:rPr>
                <w:sz w:val="20"/>
                <w:szCs w:val="20"/>
                <w:color w:val="auto"/>
              </w:rPr>
            </w:pPr>
          </w:p>
        </w:tc>
        <w:tc>
          <w:tcPr>
            <w:tcW w:w="500" w:type="dxa"/>
            <w:vAlign w:val="bottom"/>
            <w:shd w:val="clear" w:color="auto" w:fill="EBECEC"/>
          </w:tcPr>
          <w:p>
            <w:pPr>
              <w:spacing w:after="0"/>
              <w:rPr>
                <w:sz w:val="20"/>
                <w:szCs w:val="20"/>
                <w:color w:val="auto"/>
              </w:rPr>
            </w:pPr>
          </w:p>
        </w:tc>
        <w:tc>
          <w:tcPr>
            <w:tcW w:w="360" w:type="dxa"/>
            <w:vAlign w:val="bottom"/>
            <w:shd w:val="clear" w:color="auto" w:fill="EBECEC"/>
          </w:tcPr>
          <w:p>
            <w:pPr>
              <w:spacing w:after="0"/>
              <w:rPr>
                <w:sz w:val="20"/>
                <w:szCs w:val="20"/>
                <w:color w:val="auto"/>
              </w:rPr>
            </w:pPr>
          </w:p>
        </w:tc>
        <w:tc>
          <w:tcPr>
            <w:tcW w:w="960" w:type="dxa"/>
            <w:vAlign w:val="bottom"/>
            <w:shd w:val="clear" w:color="auto" w:fill="EBECEC"/>
          </w:tcPr>
          <w:p>
            <w:pPr>
              <w:spacing w:after="0"/>
              <w:rPr>
                <w:sz w:val="20"/>
                <w:szCs w:val="20"/>
                <w:color w:val="auto"/>
              </w:rPr>
            </w:pPr>
          </w:p>
        </w:tc>
        <w:tc>
          <w:tcPr>
            <w:tcW w:w="500" w:type="dxa"/>
            <w:vAlign w:val="bottom"/>
            <w:shd w:val="clear" w:color="auto" w:fill="EBECEC"/>
          </w:tcPr>
          <w:p>
            <w:pPr>
              <w:spacing w:after="0"/>
              <w:rPr>
                <w:sz w:val="20"/>
                <w:szCs w:val="20"/>
                <w:color w:val="auto"/>
              </w:rPr>
            </w:pPr>
          </w:p>
        </w:tc>
        <w:tc>
          <w:tcPr>
            <w:tcW w:w="220" w:type="dxa"/>
            <w:vAlign w:val="bottom"/>
            <w:shd w:val="clear" w:color="auto" w:fill="EBECEC"/>
          </w:tcPr>
          <w:p>
            <w:pPr>
              <w:spacing w:after="0"/>
              <w:rPr>
                <w:sz w:val="20"/>
                <w:szCs w:val="20"/>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Weighted-average discount rate</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8.4%</w:t>
            </w:r>
          </w:p>
        </w:tc>
        <w:tc>
          <w:tcPr>
            <w:tcW w:w="96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8.3%</w:t>
            </w:r>
          </w:p>
        </w:tc>
      </w:tr>
      <w:tr>
        <w:trPr>
          <w:trHeight w:val="269"/>
        </w:trPr>
        <w:tc>
          <w:tcPr>
            <w:tcW w:w="51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Weighted-average remaining lease term (years)</w:t>
            </w:r>
          </w:p>
        </w:tc>
        <w:tc>
          <w:tcPr>
            <w:tcW w:w="20" w:type="dxa"/>
            <w:vAlign w:val="bottom"/>
            <w:shd w:val="clear" w:color="auto" w:fill="EBECEC"/>
          </w:tcPr>
          <w:p>
            <w:pPr>
              <w:spacing w:after="0"/>
              <w:rPr>
                <w:sz w:val="23"/>
                <w:szCs w:val="23"/>
                <w:color w:val="auto"/>
              </w:rPr>
            </w:pPr>
          </w:p>
        </w:tc>
        <w:tc>
          <w:tcPr>
            <w:tcW w:w="940" w:type="dxa"/>
            <w:vAlign w:val="bottom"/>
            <w:shd w:val="clear" w:color="auto" w:fill="EBECEC"/>
          </w:tcPr>
          <w:p>
            <w:pPr>
              <w:spacing w:after="0"/>
              <w:rPr>
                <w:sz w:val="23"/>
                <w:szCs w:val="23"/>
                <w:color w:val="auto"/>
              </w:rPr>
            </w:pPr>
          </w:p>
        </w:tc>
        <w:tc>
          <w:tcPr>
            <w:tcW w:w="860" w:type="dxa"/>
            <w:vAlign w:val="bottom"/>
            <w:gridSpan w:val="2"/>
            <w:shd w:val="clear" w:color="auto" w:fill="EBECEC"/>
          </w:tcPr>
          <w:p>
            <w:pPr>
              <w:ind w:left="260"/>
              <w:spacing w:after="0"/>
              <w:rPr>
                <w:sz w:val="20"/>
                <w:szCs w:val="20"/>
                <w:color w:val="auto"/>
              </w:rPr>
            </w:pPr>
            <w:r>
              <w:rPr>
                <w:rFonts w:ascii="Times New Roman" w:cs="Times New Roman" w:eastAsia="Times New Roman" w:hAnsi="Times New Roman"/>
                <w:sz w:val="20"/>
                <w:szCs w:val="20"/>
                <w:color w:val="231F20"/>
              </w:rPr>
              <w:t>2.3</w:t>
            </w:r>
          </w:p>
        </w:tc>
        <w:tc>
          <w:tcPr>
            <w:tcW w:w="960" w:type="dxa"/>
            <w:vAlign w:val="bottom"/>
            <w:shd w:val="clear" w:color="auto" w:fill="EBECEC"/>
          </w:tcPr>
          <w:p>
            <w:pPr>
              <w:spacing w:after="0"/>
              <w:rPr>
                <w:sz w:val="23"/>
                <w:szCs w:val="23"/>
                <w:color w:val="auto"/>
              </w:rPr>
            </w:pPr>
          </w:p>
        </w:tc>
        <w:tc>
          <w:tcPr>
            <w:tcW w:w="500" w:type="dxa"/>
            <w:vAlign w:val="bottom"/>
            <w:shd w:val="clear" w:color="auto" w:fill="EBECEC"/>
          </w:tcPr>
          <w:p>
            <w:pPr>
              <w:ind w:left="260"/>
              <w:spacing w:after="0"/>
              <w:rPr>
                <w:sz w:val="20"/>
                <w:szCs w:val="20"/>
                <w:color w:val="auto"/>
              </w:rPr>
            </w:pPr>
            <w:r>
              <w:rPr>
                <w:rFonts w:ascii="Times New Roman" w:cs="Times New Roman" w:eastAsia="Times New Roman" w:hAnsi="Times New Roman"/>
                <w:sz w:val="20"/>
                <w:szCs w:val="20"/>
                <w:color w:val="231F20"/>
                <w:w w:val="87"/>
              </w:rPr>
              <w:t>3.2</w:t>
            </w:r>
          </w:p>
        </w:tc>
        <w:tc>
          <w:tcPr>
            <w:tcW w:w="220" w:type="dxa"/>
            <w:vAlign w:val="bottom"/>
            <w:shd w:val="clear" w:color="auto" w:fill="EBECEC"/>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0740"/>
          </w:cols>
          <w:pgMar w:left="540" w:top="75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121</w:t>
      </w:r>
    </w:p>
    <w:p>
      <w:pPr>
        <w:sectPr>
          <w:pgSz w:w="11880" w:h="15480" w:orient="portrait"/>
          <w:cols w:equalWidth="0" w:num="1">
            <w:col w:w="10740"/>
          </w:cols>
          <w:pgMar w:left="540" w:top="750" w:right="600" w:bottom="0" w:gutter="0" w:footer="0" w:header="0"/>
          <w:type w:val="continuous"/>
        </w:sectPr>
      </w:pPr>
    </w:p>
    <w:bookmarkStart w:id="127" w:name="page128"/>
    <w:bookmarkEnd w:id="127"/>
    <w:p>
      <w:pPr>
        <w:ind w:left="720"/>
        <w:spacing w:after="0"/>
        <w:rPr>
          <w:sz w:val="20"/>
          <w:szCs w:val="20"/>
          <w:color w:val="auto"/>
        </w:rPr>
      </w:pPr>
      <w:r>
        <w:rPr>
          <w:rFonts w:ascii="Times New Roman" w:cs="Times New Roman" w:eastAsia="Times New Roman" w:hAnsi="Times New Roman"/>
          <w:sz w:val="20"/>
          <w:szCs w:val="20"/>
          <w:color w:val="231F20"/>
        </w:rPr>
        <w:t>Future lease payments of operating lease liabilities as of December 31, 2025, were as follows (in thousands):</w:t>
      </w:r>
    </w:p>
    <w:p>
      <w:pPr>
        <w:spacing w:after="0" w:line="226" w:lineRule="exact"/>
        <w:rPr>
          <w:sz w:val="20"/>
          <w:szCs w:val="20"/>
          <w:color w:val="auto"/>
        </w:rPr>
      </w:pPr>
    </w:p>
    <w:tbl>
      <w:tblPr>
        <w:tblLayout w:type="fixed"/>
        <w:tblInd w:w="1080" w:type="dxa"/>
        <w:tblCellMar>
          <w:top w:w="0" w:type="dxa"/>
          <w:left w:w="0" w:type="dxa"/>
          <w:bottom w:w="0" w:type="dxa"/>
          <w:right w:w="0" w:type="dxa"/>
        </w:tblCellMar>
      </w:tblPr>
      <w:tr>
        <w:trPr>
          <w:trHeight w:val="253"/>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231F20"/>
              </w:rPr>
              <w:t>Year ending December 31,</w:t>
            </w:r>
          </w:p>
        </w:tc>
        <w:tc>
          <w:tcPr>
            <w:tcW w:w="1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231F20"/>
              </w:rPr>
              <w:t>Operating Leases</w:t>
            </w:r>
          </w:p>
        </w:tc>
      </w:tr>
      <w:tr>
        <w:trPr>
          <w:trHeight w:val="225"/>
        </w:trPr>
        <w:tc>
          <w:tcPr>
            <w:tcW w:w="4620" w:type="dxa"/>
            <w:vAlign w:val="bottom"/>
            <w:tcBorders>
              <w:top w:val="single" w:sz="8" w:color="EBECEC"/>
            </w:tcBorders>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2026</w:t>
            </w:r>
          </w:p>
        </w:tc>
        <w:tc>
          <w:tcPr>
            <w:tcW w:w="1900" w:type="dxa"/>
            <w:vAlign w:val="bottom"/>
            <w:tcBorders>
              <w:top w:val="single" w:sz="8" w:color="EBECEC"/>
            </w:tcBorders>
            <w:shd w:val="clear" w:color="auto" w:fill="EBECEC"/>
          </w:tcPr>
          <w:p>
            <w:pPr>
              <w:spacing w:after="0"/>
              <w:rPr>
                <w:sz w:val="19"/>
                <w:szCs w:val="19"/>
                <w:color w:val="auto"/>
              </w:rPr>
            </w:pPr>
          </w:p>
        </w:tc>
        <w:tc>
          <w:tcPr>
            <w:tcW w:w="20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86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3,455</w:t>
            </w:r>
          </w:p>
        </w:tc>
        <w:tc>
          <w:tcPr>
            <w:tcW w:w="60" w:type="dxa"/>
            <w:vAlign w:val="bottom"/>
            <w:tcBorders>
              <w:top w:val="single" w:sz="8" w:color="EBECEC"/>
            </w:tcBorders>
            <w:shd w:val="clear" w:color="auto" w:fill="EBECE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3,503</w:t>
            </w:r>
          </w:p>
        </w:tc>
        <w:tc>
          <w:tcPr>
            <w:tcW w:w="60" w:type="dxa"/>
            <w:vAlign w:val="bottom"/>
          </w:tcPr>
          <w:p>
            <w:pPr>
              <w:spacing w:after="0"/>
              <w:rPr>
                <w:sz w:val="20"/>
                <w:szCs w:val="20"/>
                <w:color w:val="auto"/>
              </w:rPr>
            </w:pPr>
          </w:p>
        </w:tc>
      </w:tr>
      <w:tr>
        <w:trPr>
          <w:trHeight w:val="230"/>
        </w:trPr>
        <w:tc>
          <w:tcPr>
            <w:tcW w:w="46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2028</w:t>
            </w:r>
          </w:p>
        </w:tc>
        <w:tc>
          <w:tcPr>
            <w:tcW w:w="1900" w:type="dxa"/>
            <w:vAlign w:val="bottom"/>
            <w:shd w:val="clear" w:color="auto" w:fill="EBECEC"/>
          </w:tcPr>
          <w:p>
            <w:pPr>
              <w:spacing w:after="0"/>
              <w:rPr>
                <w:sz w:val="20"/>
                <w:szCs w:val="20"/>
                <w:color w:val="auto"/>
              </w:rPr>
            </w:pPr>
          </w:p>
        </w:tc>
        <w:tc>
          <w:tcPr>
            <w:tcW w:w="200" w:type="dxa"/>
            <w:vAlign w:val="bottom"/>
            <w:shd w:val="clear" w:color="auto" w:fill="EBECEC"/>
          </w:tcPr>
          <w:p>
            <w:pPr>
              <w:spacing w:after="0"/>
              <w:rPr>
                <w:sz w:val="20"/>
                <w:szCs w:val="20"/>
                <w:color w:val="auto"/>
              </w:rPr>
            </w:pPr>
          </w:p>
        </w:tc>
        <w:tc>
          <w:tcPr>
            <w:tcW w:w="1920" w:type="dxa"/>
            <w:vAlign w:val="bottom"/>
            <w:gridSpan w:val="2"/>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rPr>
              <w:t>1,182</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46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2030</w:t>
            </w:r>
          </w:p>
        </w:tc>
        <w:tc>
          <w:tcPr>
            <w:tcW w:w="1900" w:type="dxa"/>
            <w:vAlign w:val="bottom"/>
            <w:shd w:val="clear" w:color="auto" w:fill="EBECEC"/>
          </w:tcPr>
          <w:p>
            <w:pPr>
              <w:spacing w:after="0"/>
              <w:rPr>
                <w:sz w:val="20"/>
                <w:szCs w:val="20"/>
                <w:color w:val="auto"/>
              </w:rPr>
            </w:pPr>
          </w:p>
        </w:tc>
        <w:tc>
          <w:tcPr>
            <w:tcW w:w="200" w:type="dxa"/>
            <w:vAlign w:val="bottom"/>
            <w:shd w:val="clear" w:color="auto" w:fill="EBECEC"/>
          </w:tcPr>
          <w:p>
            <w:pPr>
              <w:spacing w:after="0"/>
              <w:rPr>
                <w:sz w:val="20"/>
                <w:szCs w:val="20"/>
                <w:color w:val="auto"/>
              </w:rPr>
            </w:pPr>
          </w:p>
        </w:tc>
        <w:tc>
          <w:tcPr>
            <w:tcW w:w="1920" w:type="dxa"/>
            <w:vAlign w:val="bottom"/>
            <w:gridSpan w:val="2"/>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25"/>
        </w:trPr>
        <w:tc>
          <w:tcPr>
            <w:tcW w:w="4620" w:type="dxa"/>
            <w:vAlign w:val="bottom"/>
            <w:tcBorders>
              <w:top w:val="single" w:sz="8" w:color="EBECEC"/>
            </w:tcBorders>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Total minimum lease payments</w:t>
            </w:r>
          </w:p>
        </w:tc>
        <w:tc>
          <w:tcPr>
            <w:tcW w:w="1900" w:type="dxa"/>
            <w:vAlign w:val="bottom"/>
            <w:tcBorders>
              <w:top w:val="single" w:sz="8" w:color="EBECEC"/>
            </w:tcBorders>
            <w:shd w:val="clear" w:color="auto" w:fill="EBECEC"/>
          </w:tcPr>
          <w:p>
            <w:pPr>
              <w:spacing w:after="0"/>
              <w:rPr>
                <w:sz w:val="19"/>
                <w:szCs w:val="19"/>
                <w:color w:val="auto"/>
              </w:rPr>
            </w:pPr>
          </w:p>
        </w:tc>
        <w:tc>
          <w:tcPr>
            <w:tcW w:w="200" w:type="dxa"/>
            <w:vAlign w:val="bottom"/>
            <w:tcBorders>
              <w:top w:val="single" w:sz="8" w:color="231F20"/>
            </w:tcBorders>
            <w:shd w:val="clear" w:color="auto" w:fill="EBECEC"/>
          </w:tcPr>
          <w:p>
            <w:pPr>
              <w:spacing w:after="0"/>
              <w:rPr>
                <w:sz w:val="19"/>
                <w:szCs w:val="19"/>
                <w:color w:val="auto"/>
              </w:rPr>
            </w:pPr>
          </w:p>
        </w:tc>
        <w:tc>
          <w:tcPr>
            <w:tcW w:w="186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8,140</w:t>
            </w:r>
          </w:p>
        </w:tc>
        <w:tc>
          <w:tcPr>
            <w:tcW w:w="60" w:type="dxa"/>
            <w:vAlign w:val="bottom"/>
            <w:tcBorders>
              <w:top w:val="single" w:sz="8" w:color="EBECEC"/>
            </w:tcBorders>
            <w:shd w:val="clear" w:color="auto" w:fill="EBECEC"/>
          </w:tcPr>
          <w:p>
            <w:pPr>
              <w:spacing w:after="0"/>
              <w:rPr>
                <w:sz w:val="19"/>
                <w:szCs w:val="19"/>
                <w:color w:val="auto"/>
              </w:rPr>
            </w:pPr>
          </w:p>
        </w:tc>
      </w:tr>
      <w:tr>
        <w:trPr>
          <w:trHeight w:val="230"/>
        </w:trPr>
        <w:tc>
          <w:tcPr>
            <w:tcW w:w="462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Less: interest</w:t>
            </w:r>
          </w:p>
        </w:tc>
        <w:tc>
          <w:tcPr>
            <w:tcW w:w="1900" w:type="dxa"/>
            <w:vAlign w:val="bottom"/>
            <w:tcBorders>
              <w:bottom w:val="single" w:sz="8" w:color="EBECEC"/>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699</w:t>
            </w:r>
          </w:p>
        </w:tc>
        <w:tc>
          <w:tcPr>
            <w:tcW w:w="60" w:type="dxa"/>
            <w:vAlign w:val="bottom"/>
            <w:tcBorders>
              <w:bottom w:val="single" w:sz="8" w:color="EBECEC"/>
            </w:tcBorders>
          </w:tcPr>
          <w:p>
            <w:pPr>
              <w:spacing w:after="0"/>
              <w:rPr>
                <w:sz w:val="20"/>
                <w:szCs w:val="20"/>
                <w:color w:val="auto"/>
              </w:rPr>
            </w:pPr>
          </w:p>
        </w:tc>
      </w:tr>
      <w:tr>
        <w:trPr>
          <w:trHeight w:val="245"/>
        </w:trPr>
        <w:tc>
          <w:tcPr>
            <w:tcW w:w="4620" w:type="dxa"/>
            <w:vAlign w:val="bottom"/>
            <w:tcBorders>
              <w:bottom w:val="single" w:sz="8" w:color="EBECEC"/>
            </w:tcBorders>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Present value of lease liabilities</w:t>
            </w:r>
          </w:p>
        </w:tc>
        <w:tc>
          <w:tcPr>
            <w:tcW w:w="1900" w:type="dxa"/>
            <w:vAlign w:val="bottom"/>
            <w:tcBorders>
              <w:bottom w:val="single" w:sz="8" w:color="EBECEC"/>
            </w:tcBorders>
            <w:shd w:val="clear" w:color="auto" w:fill="EBECEC"/>
          </w:tcPr>
          <w:p>
            <w:pPr>
              <w:spacing w:after="0"/>
              <w:rPr>
                <w:sz w:val="21"/>
                <w:szCs w:val="21"/>
                <w:color w:val="auto"/>
              </w:rPr>
            </w:pPr>
          </w:p>
        </w:tc>
        <w:tc>
          <w:tcPr>
            <w:tcW w:w="20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86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7,441</w:t>
            </w:r>
          </w:p>
        </w:tc>
        <w:tc>
          <w:tcPr>
            <w:tcW w:w="60" w:type="dxa"/>
            <w:vAlign w:val="bottom"/>
            <w:tcBorders>
              <w:bottom w:val="single" w:sz="8" w:color="EBECEC"/>
            </w:tcBorders>
            <w:shd w:val="clear" w:color="auto" w:fill="EBECEC"/>
          </w:tcPr>
          <w:p>
            <w:pPr>
              <w:spacing w:after="0"/>
              <w:rPr>
                <w:sz w:val="21"/>
                <w:szCs w:val="21"/>
                <w:color w:val="auto"/>
              </w:rPr>
            </w:pPr>
          </w:p>
        </w:tc>
      </w:tr>
      <w:tr>
        <w:trPr>
          <w:trHeight w:val="20"/>
        </w:trPr>
        <w:tc>
          <w:tcPr>
            <w:tcW w:w="4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200" w:hanging="200"/>
        <w:spacing w:after="0"/>
        <w:tabs>
          <w:tab w:leader="none" w:pos="200" w:val="left"/>
        </w:tabs>
        <w:numPr>
          <w:ilvl w:val="0"/>
          <w:numId w:val="7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u w:val="single" w:color="auto"/>
          <w:color w:val="231F20"/>
        </w:rPr>
        <w:t>Stockholders' Equity and Stock-Based Compensation</w:t>
      </w:r>
    </w:p>
    <w:p>
      <w:pPr>
        <w:spacing w:after="0" w:line="244"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As of December 31, 2025, there were 2,154,209 shares available for future issuance under the 2020 Equity Incentive Plan and 695,377 shares available for future issuance under the 2022 Inducement Equity Incentive Plan. The 2020 Equity Incentive Plan provides for the grants of stock options and other equity-based awards to employees, non-employee directors and consultants of the Company. The number of shares of the Company’s common stock available for issuance under the 2020 Equity Incentive Plan will automatically increase on the first day of each fiscal year in an amount equal to the lessor of (1) 2,656,500 shares, (2) 5% of the outstanding shares of the Company’s common stock on the last day of the immediately preceding fiscal year, or (3) such other amount as determined by the Company’s Board of Directors. The 2022 Inducement Equity Incentive Plan provides for the grants of equity-based awards to individuals not previously employees or non-employee directors of the Company.</w:t>
      </w:r>
    </w:p>
    <w:p>
      <w:pPr>
        <w:spacing w:after="0" w:line="202"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The table below summarizes the total stock-based compensation expense included in the Company’s statements of operations and comprehensive loss for the periods presented (in thousands):</w:t>
      </w:r>
    </w:p>
    <w:p>
      <w:pPr>
        <w:spacing w:after="0" w:line="278" w:lineRule="exact"/>
        <w:rPr>
          <w:sz w:val="20"/>
          <w:szCs w:val="20"/>
          <w:color w:val="auto"/>
        </w:rPr>
      </w:pPr>
    </w:p>
    <w:tbl>
      <w:tblPr>
        <w:tblLayout w:type="fixed"/>
        <w:tblInd w:w="540" w:type="dxa"/>
        <w:tblCellMar>
          <w:top w:w="0" w:type="dxa"/>
          <w:left w:w="0" w:type="dxa"/>
          <w:bottom w:w="0" w:type="dxa"/>
          <w:right w:w="0" w:type="dxa"/>
        </w:tblCellMar>
      </w:tblPr>
      <w:tr>
        <w:trPr>
          <w:trHeight w:val="252"/>
        </w:trPr>
        <w:tc>
          <w:tcPr>
            <w:tcW w:w="6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231F20"/>
              </w:rPr>
              <w:t>Years Ended December 31,</w:t>
            </w:r>
          </w:p>
        </w:tc>
      </w:tr>
      <w:tr>
        <w:trPr>
          <w:trHeight w:val="207"/>
        </w:trPr>
        <w:tc>
          <w:tcPr>
            <w:tcW w:w="6620" w:type="dxa"/>
            <w:vAlign w:val="bottom"/>
            <w:tcBorders>
              <w:bottom w:val="single" w:sz="8" w:color="EBECEC"/>
            </w:tcBorders>
          </w:tcPr>
          <w:p>
            <w:pPr>
              <w:spacing w:after="0"/>
              <w:rPr>
                <w:sz w:val="17"/>
                <w:szCs w:val="17"/>
                <w:color w:val="auto"/>
              </w:rPr>
            </w:pPr>
          </w:p>
        </w:tc>
        <w:tc>
          <w:tcPr>
            <w:tcW w:w="280" w:type="dxa"/>
            <w:vAlign w:val="bottom"/>
            <w:tcBorders>
              <w:top w:val="single" w:sz="8" w:color="231F20"/>
              <w:bottom w:val="single" w:sz="8" w:color="231F20"/>
            </w:tcBorders>
          </w:tcPr>
          <w:p>
            <w:pPr>
              <w:spacing w:after="0"/>
              <w:rPr>
                <w:sz w:val="17"/>
                <w:szCs w:val="17"/>
                <w:color w:val="auto"/>
              </w:rPr>
            </w:pPr>
          </w:p>
        </w:tc>
        <w:tc>
          <w:tcPr>
            <w:tcW w:w="1120" w:type="dxa"/>
            <w:vAlign w:val="bottom"/>
            <w:tcBorders>
              <w:top w:val="single" w:sz="8" w:color="231F20"/>
              <w:bottom w:val="single" w:sz="8" w:color="231F20"/>
            </w:tcBorders>
          </w:tcPr>
          <w:p>
            <w:pPr>
              <w:jc w:val="right"/>
              <w:ind w:right="424"/>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40" w:type="dxa"/>
            <w:vAlign w:val="bottom"/>
            <w:tcBorders>
              <w:top w:val="single" w:sz="8" w:color="231F20"/>
              <w:bottom w:val="single" w:sz="8" w:color="EBECEC"/>
            </w:tcBorders>
          </w:tcPr>
          <w:p>
            <w:pPr>
              <w:spacing w:after="0"/>
              <w:rPr>
                <w:sz w:val="17"/>
                <w:szCs w:val="17"/>
                <w:color w:val="auto"/>
              </w:rPr>
            </w:pPr>
          </w:p>
        </w:tc>
        <w:tc>
          <w:tcPr>
            <w:tcW w:w="300" w:type="dxa"/>
            <w:vAlign w:val="bottom"/>
            <w:tcBorders>
              <w:top w:val="single" w:sz="8" w:color="231F20"/>
              <w:bottom w:val="single" w:sz="8" w:color="231F20"/>
            </w:tcBorders>
          </w:tcPr>
          <w:p>
            <w:pPr>
              <w:spacing w:after="0"/>
              <w:rPr>
                <w:sz w:val="17"/>
                <w:szCs w:val="17"/>
                <w:color w:val="auto"/>
              </w:rPr>
            </w:pPr>
          </w:p>
        </w:tc>
        <w:tc>
          <w:tcPr>
            <w:tcW w:w="1100" w:type="dxa"/>
            <w:vAlign w:val="bottom"/>
            <w:tcBorders>
              <w:top w:val="single" w:sz="8" w:color="231F20"/>
              <w:bottom w:val="single" w:sz="8" w:color="231F20"/>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Borders>
              <w:bottom w:val="single" w:sz="8" w:color="EBECEC"/>
            </w:tcBorders>
          </w:tcPr>
          <w:p>
            <w:pPr>
              <w:spacing w:after="0"/>
              <w:rPr>
                <w:sz w:val="17"/>
                <w:szCs w:val="17"/>
                <w:color w:val="auto"/>
              </w:rPr>
            </w:pPr>
          </w:p>
        </w:tc>
      </w:tr>
      <w:tr>
        <w:trPr>
          <w:trHeight w:val="225"/>
        </w:trPr>
        <w:tc>
          <w:tcPr>
            <w:tcW w:w="662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Research and development</w:t>
            </w:r>
          </w:p>
        </w:tc>
        <w:tc>
          <w:tcPr>
            <w:tcW w:w="280" w:type="dxa"/>
            <w:vAlign w:val="bottom"/>
            <w:shd w:val="clear" w:color="auto" w:fill="EBECEC"/>
          </w:tcPr>
          <w:p>
            <w:pPr>
              <w:jc w:val="right"/>
              <w:ind w:right="8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10,721</w:t>
            </w:r>
          </w:p>
        </w:tc>
        <w:tc>
          <w:tcPr>
            <w:tcW w:w="240" w:type="dxa"/>
            <w:vAlign w:val="bottom"/>
            <w:shd w:val="clear" w:color="auto" w:fill="EBECEC"/>
          </w:tcPr>
          <w:p>
            <w:pPr>
              <w:spacing w:after="0"/>
              <w:rPr>
                <w:sz w:val="19"/>
                <w:szCs w:val="19"/>
                <w:color w:val="auto"/>
              </w:rPr>
            </w:pPr>
          </w:p>
        </w:tc>
        <w:tc>
          <w:tcPr>
            <w:tcW w:w="300" w:type="dxa"/>
            <w:vAlign w:val="bottom"/>
            <w:shd w:val="clear" w:color="auto" w:fill="EBECEC"/>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8,624</w:t>
            </w:r>
          </w:p>
        </w:tc>
        <w:tc>
          <w:tcPr>
            <w:tcW w:w="60" w:type="dxa"/>
            <w:vAlign w:val="bottom"/>
            <w:shd w:val="clear" w:color="auto" w:fill="EBECEC"/>
          </w:tcPr>
          <w:p>
            <w:pPr>
              <w:spacing w:after="0"/>
              <w:rPr>
                <w:sz w:val="19"/>
                <w:szCs w:val="19"/>
                <w:color w:val="auto"/>
              </w:rPr>
            </w:pPr>
          </w:p>
        </w:tc>
      </w:tr>
      <w:tr>
        <w:trPr>
          <w:trHeight w:val="230"/>
        </w:trPr>
        <w:tc>
          <w:tcPr>
            <w:tcW w:w="662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28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14,316</w:t>
            </w:r>
          </w:p>
        </w:tc>
        <w:tc>
          <w:tcPr>
            <w:tcW w:w="240" w:type="dxa"/>
            <w:vAlign w:val="bottom"/>
            <w:tcBorders>
              <w:bottom w:val="single" w:sz="8" w:color="EBECEC"/>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11,589</w:t>
            </w:r>
          </w:p>
        </w:tc>
        <w:tc>
          <w:tcPr>
            <w:tcW w:w="60" w:type="dxa"/>
            <w:vAlign w:val="bottom"/>
            <w:tcBorders>
              <w:bottom w:val="single" w:sz="8" w:color="EBECEC"/>
            </w:tcBorders>
          </w:tcPr>
          <w:p>
            <w:pPr>
              <w:spacing w:after="0"/>
              <w:rPr>
                <w:sz w:val="19"/>
                <w:szCs w:val="19"/>
                <w:color w:val="auto"/>
              </w:rPr>
            </w:pPr>
          </w:p>
        </w:tc>
      </w:tr>
      <w:tr>
        <w:trPr>
          <w:trHeight w:val="225"/>
        </w:trPr>
        <w:tc>
          <w:tcPr>
            <w:tcW w:w="6620" w:type="dxa"/>
            <w:vAlign w:val="bottom"/>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Total stock-based compensation expense</w:t>
            </w:r>
          </w:p>
        </w:tc>
        <w:tc>
          <w:tcPr>
            <w:tcW w:w="280" w:type="dxa"/>
            <w:vAlign w:val="bottom"/>
            <w:tcBorders>
              <w:bottom w:val="single" w:sz="8" w:color="231F20"/>
            </w:tcBorders>
            <w:shd w:val="clear" w:color="auto" w:fill="EBECEC"/>
          </w:tcPr>
          <w:p>
            <w:pPr>
              <w:jc w:val="right"/>
              <w:ind w:right="8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25,037</w:t>
            </w:r>
          </w:p>
        </w:tc>
        <w:tc>
          <w:tcPr>
            <w:tcW w:w="240" w:type="dxa"/>
            <w:vAlign w:val="bottom"/>
            <w:shd w:val="clear" w:color="auto" w:fill="EBECEC"/>
          </w:tcPr>
          <w:p>
            <w:pPr>
              <w:spacing w:after="0"/>
              <w:rPr>
                <w:sz w:val="19"/>
                <w:szCs w:val="19"/>
                <w:color w:val="auto"/>
              </w:rPr>
            </w:pPr>
          </w:p>
        </w:tc>
        <w:tc>
          <w:tcPr>
            <w:tcW w:w="300" w:type="dxa"/>
            <w:vAlign w:val="bottom"/>
            <w:tcBorders>
              <w:bottom w:val="single" w:sz="8" w:color="231F20"/>
            </w:tcBorders>
            <w:shd w:val="clear" w:color="auto" w:fill="EBECEC"/>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20,213</w:t>
            </w:r>
          </w:p>
        </w:tc>
        <w:tc>
          <w:tcPr>
            <w:tcW w:w="60" w:type="dxa"/>
            <w:vAlign w:val="bottom"/>
            <w:shd w:val="clear" w:color="auto" w:fill="EBECEC"/>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Stock Options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summarizes the stock option activity for the year ended December 31, 2025:</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4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4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Remaining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r>
      <w:tr>
        <w:trPr>
          <w:trHeight w:val="184"/>
        </w:trPr>
        <w:tc>
          <w:tcPr>
            <w:tcW w:w="4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Contractual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Intrinsic</w:t>
            </w:r>
          </w:p>
        </w:tc>
      </w:tr>
      <w:tr>
        <w:trPr>
          <w:trHeight w:val="184"/>
        </w:trPr>
        <w:tc>
          <w:tcPr>
            <w:tcW w:w="4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Exercise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Term</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Value</w:t>
            </w:r>
          </w:p>
        </w:tc>
      </w:tr>
      <w:tr>
        <w:trPr>
          <w:trHeight w:val="203"/>
        </w:trPr>
        <w:tc>
          <w:tcPr>
            <w:tcW w:w="4820" w:type="dxa"/>
            <w:vAlign w:val="bottom"/>
          </w:tcPr>
          <w:p>
            <w:pPr>
              <w:spacing w:after="0"/>
              <w:rPr>
                <w:sz w:val="17"/>
                <w:szCs w:val="17"/>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rPr>
              <w:t>Price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9"/>
              </w:rPr>
              <w:t>(in years)</w:t>
            </w:r>
          </w:p>
        </w:tc>
        <w:tc>
          <w:tcPr>
            <w:tcW w:w="120" w:type="dxa"/>
            <w:vAlign w:val="bottom"/>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(in thousands)</w:t>
            </w:r>
          </w:p>
        </w:tc>
      </w:tr>
      <w:tr>
        <w:trPr>
          <w:trHeight w:val="225"/>
        </w:trPr>
        <w:tc>
          <w:tcPr>
            <w:tcW w:w="4820" w:type="dxa"/>
            <w:vAlign w:val="bottom"/>
            <w:tcBorders>
              <w:top w:val="single" w:sz="8" w:color="EBECEC"/>
            </w:tcBorders>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Outstanding at December 31, 2024</w:t>
            </w:r>
          </w:p>
        </w:tc>
        <w:tc>
          <w:tcPr>
            <w:tcW w:w="112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11,249,452</w:t>
            </w:r>
          </w:p>
        </w:tc>
        <w:tc>
          <w:tcPr>
            <w:tcW w:w="140" w:type="dxa"/>
            <w:vAlign w:val="bottom"/>
            <w:tcBorders>
              <w:top w:val="single" w:sz="8" w:color="EBECEC"/>
            </w:tcBorders>
            <w:shd w:val="clear" w:color="auto" w:fill="EBECEC"/>
          </w:tcPr>
          <w:p>
            <w:pPr>
              <w:spacing w:after="0"/>
              <w:rPr>
                <w:sz w:val="19"/>
                <w:szCs w:val="19"/>
                <w:color w:val="auto"/>
              </w:rPr>
            </w:pPr>
          </w:p>
        </w:tc>
        <w:tc>
          <w:tcPr>
            <w:tcW w:w="80" w:type="dxa"/>
            <w:vAlign w:val="bottom"/>
            <w:tcBorders>
              <w:top w:val="single" w:sz="8" w:color="EBECEC"/>
            </w:tcBorders>
            <w:shd w:val="clear" w:color="auto" w:fill="EBECEC"/>
          </w:tcPr>
          <w:p>
            <w:pPr>
              <w:spacing w:after="0"/>
              <w:rPr>
                <w:sz w:val="19"/>
                <w:szCs w:val="19"/>
                <w:color w:val="auto"/>
              </w:rPr>
            </w:pPr>
          </w:p>
        </w:tc>
        <w:tc>
          <w:tcPr>
            <w:tcW w:w="14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5.87</w:t>
            </w:r>
          </w:p>
        </w:tc>
        <w:tc>
          <w:tcPr>
            <w:tcW w:w="220" w:type="dxa"/>
            <w:vAlign w:val="bottom"/>
            <w:tcBorders>
              <w:top w:val="single" w:sz="8" w:color="EBECEC"/>
            </w:tcBorders>
            <w:shd w:val="clear" w:color="auto" w:fill="EBECEC"/>
          </w:tcPr>
          <w:p>
            <w:pPr>
              <w:spacing w:after="0"/>
              <w:rPr>
                <w:sz w:val="19"/>
                <w:szCs w:val="19"/>
                <w:color w:val="auto"/>
              </w:rPr>
            </w:pPr>
          </w:p>
        </w:tc>
        <w:tc>
          <w:tcPr>
            <w:tcW w:w="960" w:type="dxa"/>
            <w:vAlign w:val="bottom"/>
            <w:tcBorders>
              <w:top w:val="single" w:sz="8" w:color="231F20"/>
            </w:tcBorders>
            <w:shd w:val="clear" w:color="auto" w:fill="EBECEC"/>
          </w:tcPr>
          <w:p>
            <w:pPr>
              <w:spacing w:after="0"/>
              <w:rPr>
                <w:sz w:val="19"/>
                <w:szCs w:val="19"/>
                <w:color w:val="auto"/>
              </w:rPr>
            </w:pPr>
          </w:p>
        </w:tc>
        <w:tc>
          <w:tcPr>
            <w:tcW w:w="100" w:type="dxa"/>
            <w:vAlign w:val="bottom"/>
            <w:tcBorders>
              <w:top w:val="single" w:sz="8" w:color="EBECEC"/>
            </w:tcBorders>
            <w:shd w:val="clear" w:color="auto" w:fill="EBECEC"/>
          </w:tcPr>
          <w:p>
            <w:pPr>
              <w:spacing w:after="0"/>
              <w:rPr>
                <w:sz w:val="19"/>
                <w:szCs w:val="19"/>
                <w:color w:val="auto"/>
              </w:rPr>
            </w:pPr>
          </w:p>
        </w:tc>
        <w:tc>
          <w:tcPr>
            <w:tcW w:w="120" w:type="dxa"/>
            <w:vAlign w:val="bottom"/>
            <w:tcBorders>
              <w:top w:val="single" w:sz="8" w:color="EBECEC"/>
            </w:tcBorders>
            <w:shd w:val="clear" w:color="auto" w:fill="EBECEC"/>
          </w:tcPr>
          <w:p>
            <w:pPr>
              <w:spacing w:after="0"/>
              <w:rPr>
                <w:sz w:val="19"/>
                <w:szCs w:val="19"/>
                <w:color w:val="auto"/>
              </w:rPr>
            </w:pPr>
          </w:p>
        </w:tc>
        <w:tc>
          <w:tcPr>
            <w:tcW w:w="120" w:type="dxa"/>
            <w:vAlign w:val="bottom"/>
            <w:tcBorders>
              <w:top w:val="single" w:sz="8" w:color="231F20"/>
            </w:tcBorders>
            <w:shd w:val="clear" w:color="auto" w:fill="EBECEC"/>
          </w:tcPr>
          <w:p>
            <w:pPr>
              <w:spacing w:after="0"/>
              <w:rPr>
                <w:sz w:val="19"/>
                <w:szCs w:val="19"/>
                <w:color w:val="auto"/>
              </w:rPr>
            </w:pPr>
          </w:p>
        </w:tc>
        <w:tc>
          <w:tcPr>
            <w:tcW w:w="900" w:type="dxa"/>
            <w:vAlign w:val="bottom"/>
            <w:tcBorders>
              <w:top w:val="single" w:sz="8" w:color="231F20"/>
            </w:tcBorders>
            <w:shd w:val="clear" w:color="auto" w:fill="EBECEC"/>
          </w:tcPr>
          <w:p>
            <w:pPr>
              <w:spacing w:after="0"/>
              <w:rPr>
                <w:sz w:val="19"/>
                <w:szCs w:val="19"/>
                <w:color w:val="auto"/>
              </w:rPr>
            </w:pPr>
          </w:p>
        </w:tc>
        <w:tc>
          <w:tcPr>
            <w:tcW w:w="100" w:type="dxa"/>
            <w:vAlign w:val="bottom"/>
            <w:tcBorders>
              <w:top w:val="single" w:sz="8" w:color="EBECEC"/>
            </w:tcBorders>
            <w:shd w:val="clear" w:color="auto" w:fill="EBECE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231F20"/>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3,534,498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8.48</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8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Exercised</w:t>
            </w:r>
          </w:p>
        </w:tc>
        <w:tc>
          <w:tcPr>
            <w:tcW w:w="126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(390,055)</w:t>
            </w:r>
          </w:p>
        </w:tc>
        <w:tc>
          <w:tcPr>
            <w:tcW w:w="22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2"/>
            <w:shd w:val="clear" w:color="auto" w:fill="EBECEC"/>
          </w:tcPr>
          <w:p>
            <w:pPr>
              <w:jc w:val="right"/>
              <w:ind w:right="220"/>
              <w:spacing w:after="0"/>
              <w:rPr>
                <w:sz w:val="20"/>
                <w:szCs w:val="20"/>
                <w:color w:val="auto"/>
              </w:rPr>
            </w:pPr>
            <w:r>
              <w:rPr>
                <w:rFonts w:ascii="Times New Roman" w:cs="Times New Roman" w:eastAsia="Times New Roman" w:hAnsi="Times New Roman"/>
                <w:sz w:val="20"/>
                <w:szCs w:val="20"/>
                <w:color w:val="231F20"/>
              </w:rPr>
              <w:t>5.07</w:t>
            </w:r>
          </w:p>
        </w:tc>
        <w:tc>
          <w:tcPr>
            <w:tcW w:w="96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90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231F20"/>
              </w:rPr>
              <w:t>Forfeited and cancelled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(491,656)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7.90</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4820" w:type="dxa"/>
            <w:vAlign w:val="bottom"/>
            <w:tcBorders>
              <w:top w:val="single" w:sz="8" w:color="EBECEC"/>
              <w:bottom w:val="single" w:sz="8" w:color="EBECEC"/>
            </w:tcBorders>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Outstanding at December 31, 2025</w:t>
            </w:r>
          </w:p>
        </w:tc>
        <w:tc>
          <w:tcPr>
            <w:tcW w:w="1120" w:type="dxa"/>
            <w:vAlign w:val="bottom"/>
            <w:tcBorders>
              <w:top w:val="single" w:sz="8" w:color="231F20"/>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13,902,239</w:t>
            </w:r>
          </w:p>
        </w:tc>
        <w:tc>
          <w:tcPr>
            <w:tcW w:w="140" w:type="dxa"/>
            <w:vAlign w:val="bottom"/>
            <w:tcBorders>
              <w:top w:val="single" w:sz="8" w:color="EBECEC"/>
              <w:bottom w:val="single" w:sz="8" w:color="EBECEC"/>
            </w:tcBorders>
            <w:shd w:val="clear" w:color="auto" w:fill="EBECEC"/>
          </w:tcPr>
          <w:p>
            <w:pPr>
              <w:spacing w:after="0"/>
              <w:rPr>
                <w:sz w:val="21"/>
                <w:szCs w:val="21"/>
                <w:color w:val="auto"/>
              </w:rPr>
            </w:pPr>
          </w:p>
        </w:tc>
        <w:tc>
          <w:tcPr>
            <w:tcW w:w="220" w:type="dxa"/>
            <w:vAlign w:val="bottom"/>
            <w:tcBorders>
              <w:top w:val="single" w:sz="8" w:color="EBECEC"/>
              <w:bottom w:val="single" w:sz="8" w:color="EBECEC"/>
            </w:tcBorders>
            <w:gridSpan w:val="2"/>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top w:val="single" w:sz="8" w:color="EBECEC"/>
              <w:bottom w:val="single" w:sz="8" w:color="EBECEC"/>
            </w:tcBorders>
            <w:gridSpan w:val="2"/>
            <w:shd w:val="clear" w:color="auto" w:fill="EBECEC"/>
          </w:tcPr>
          <w:p>
            <w:pPr>
              <w:jc w:val="right"/>
              <w:ind w:right="220"/>
              <w:spacing w:after="0" w:line="225" w:lineRule="exact"/>
              <w:rPr>
                <w:sz w:val="20"/>
                <w:szCs w:val="20"/>
                <w:color w:val="auto"/>
              </w:rPr>
            </w:pPr>
            <w:r>
              <w:rPr>
                <w:rFonts w:ascii="Times New Roman" w:cs="Times New Roman" w:eastAsia="Times New Roman" w:hAnsi="Times New Roman"/>
                <w:sz w:val="20"/>
                <w:szCs w:val="20"/>
                <w:color w:val="231F20"/>
              </w:rPr>
              <w:t>6.49</w:t>
            </w:r>
          </w:p>
        </w:tc>
        <w:tc>
          <w:tcPr>
            <w:tcW w:w="960" w:type="dxa"/>
            <w:vAlign w:val="bottom"/>
            <w:tcBorders>
              <w:top w:val="single" w:sz="8" w:color="EBECEC"/>
              <w:bottom w:val="single" w:sz="8" w:color="EBECEC"/>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7.0</w:t>
            </w:r>
          </w:p>
        </w:tc>
        <w:tc>
          <w:tcPr>
            <w:tcW w:w="100" w:type="dxa"/>
            <w:vAlign w:val="bottom"/>
            <w:tcBorders>
              <w:top w:val="single" w:sz="8" w:color="EBECEC"/>
              <w:bottom w:val="single" w:sz="8" w:color="EBECEC"/>
            </w:tcBorders>
            <w:shd w:val="clear" w:color="auto" w:fill="EBECEC"/>
          </w:tcPr>
          <w:p>
            <w:pPr>
              <w:spacing w:after="0"/>
              <w:rPr>
                <w:sz w:val="21"/>
                <w:szCs w:val="21"/>
                <w:color w:val="auto"/>
              </w:rPr>
            </w:pPr>
          </w:p>
        </w:tc>
        <w:tc>
          <w:tcPr>
            <w:tcW w:w="240" w:type="dxa"/>
            <w:vAlign w:val="bottom"/>
            <w:tcBorders>
              <w:top w:val="single" w:sz="8" w:color="EBECEC"/>
              <w:bottom w:val="single" w:sz="8" w:color="EBECEC"/>
            </w:tcBorders>
            <w:gridSpan w:val="2"/>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top w:val="single" w:sz="8" w:color="EBECEC"/>
              <w:bottom w:val="single" w:sz="8" w:color="EBECEC"/>
            </w:tcBorders>
            <w:gridSpan w:val="2"/>
            <w:shd w:val="clear" w:color="auto" w:fill="EBECEC"/>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rPr>
              <w:t>30,732</w:t>
            </w:r>
          </w:p>
        </w:tc>
      </w:tr>
      <w:tr>
        <w:trPr>
          <w:trHeight w:val="205"/>
        </w:trPr>
        <w:tc>
          <w:tcPr>
            <w:tcW w:w="48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231F20"/>
              </w:rPr>
              <w:t>Exercisable at December 31, 2025</w:t>
            </w:r>
          </w:p>
        </w:tc>
        <w:tc>
          <w:tcPr>
            <w:tcW w:w="1120" w:type="dxa"/>
            <w:vAlign w:val="bottom"/>
            <w:tcBorders>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8,493,343</w:t>
            </w:r>
          </w:p>
        </w:tc>
        <w:tc>
          <w:tcPr>
            <w:tcW w:w="140" w:type="dxa"/>
            <w:vAlign w:val="bottom"/>
          </w:tcPr>
          <w:p>
            <w:pPr>
              <w:spacing w:after="0"/>
              <w:rPr>
                <w:sz w:val="17"/>
                <w:szCs w:val="17"/>
                <w:color w:val="auto"/>
              </w:rPr>
            </w:pPr>
          </w:p>
        </w:tc>
        <w:tc>
          <w:tcPr>
            <w:tcW w:w="2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2"/>
          </w:tcPr>
          <w:p>
            <w:pPr>
              <w:jc w:val="right"/>
              <w:ind w:right="220"/>
              <w:spacing w:after="0" w:line="205" w:lineRule="exact"/>
              <w:rPr>
                <w:sz w:val="20"/>
                <w:szCs w:val="20"/>
                <w:color w:val="auto"/>
              </w:rPr>
            </w:pPr>
            <w:r>
              <w:rPr>
                <w:rFonts w:ascii="Times New Roman" w:cs="Times New Roman" w:eastAsia="Times New Roman" w:hAnsi="Times New Roman"/>
                <w:sz w:val="20"/>
                <w:szCs w:val="20"/>
                <w:color w:val="231F20"/>
              </w:rPr>
              <w:t>5.38</w:t>
            </w:r>
          </w:p>
        </w:tc>
        <w:tc>
          <w:tcPr>
            <w:tcW w:w="106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20"/>
                <w:szCs w:val="20"/>
                <w:color w:val="231F20"/>
              </w:rPr>
              <w:t>6.1</w:t>
            </w:r>
          </w:p>
        </w:tc>
        <w:tc>
          <w:tcPr>
            <w:tcW w:w="2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20"/>
                <w:szCs w:val="20"/>
                <w:color w:val="231F20"/>
              </w:rPr>
              <w:t>27,849</w:t>
            </w:r>
          </w:p>
        </w:tc>
      </w:tr>
    </w:tbl>
    <w:p>
      <w:pPr>
        <w:spacing w:after="0" w:line="221"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231F20"/>
        </w:rPr>
        <w:t>The total intrinsic value of options exercised was $2.3 million and $1.1 million for the years ended December 31, 2025 and 2024, respectively.</w:t>
      </w:r>
    </w:p>
    <w:p>
      <w:pPr>
        <w:spacing w:after="0" w:line="169" w:lineRule="exact"/>
        <w:rPr>
          <w:sz w:val="20"/>
          <w:szCs w:val="20"/>
          <w:color w:val="auto"/>
        </w:rPr>
      </w:pPr>
    </w:p>
    <w:p>
      <w:pPr>
        <w:ind w:right="260" w:firstLine="720"/>
        <w:spacing w:after="0" w:line="277" w:lineRule="auto"/>
        <w:rPr>
          <w:sz w:val="20"/>
          <w:szCs w:val="20"/>
          <w:color w:val="auto"/>
        </w:rPr>
      </w:pPr>
      <w:r>
        <w:rPr>
          <w:rFonts w:ascii="Times New Roman" w:cs="Times New Roman" w:eastAsia="Times New Roman" w:hAnsi="Times New Roman"/>
          <w:sz w:val="20"/>
          <w:szCs w:val="20"/>
          <w:color w:val="231F20"/>
        </w:rPr>
        <w:t>The fair value of stock option awards to employees, executives, directors, and other service providers was estimated at the date of grant using the Black-Scholes Merton option pricing model with the following assumptions.</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122</w:t>
      </w:r>
    </w:p>
    <w:p>
      <w:pPr>
        <w:sectPr>
          <w:pgSz w:w="11880" w:h="15480" w:orient="portrait"/>
          <w:cols w:equalWidth="0" w:num="1">
            <w:col w:w="10760"/>
          </w:cols>
          <w:pgMar w:left="540" w:top="750" w:right="580" w:bottom="0" w:gutter="0" w:footer="0" w:header="0"/>
          <w:type w:val="continuous"/>
        </w:sectPr>
      </w:pPr>
    </w:p>
    <w:bookmarkStart w:id="128" w:name="page129"/>
    <w:bookmarkEnd w:id="128"/>
    <w:tbl>
      <w:tblPr>
        <w:tblLayout w:type="fixed"/>
        <w:tblInd w:w="540" w:type="dxa"/>
        <w:tblCellMar>
          <w:top w:w="0" w:type="dxa"/>
          <w:left w:w="0" w:type="dxa"/>
          <w:bottom w:w="0" w:type="dxa"/>
          <w:right w:w="0" w:type="dxa"/>
        </w:tblCellMar>
      </w:tblPr>
      <w:tr>
        <w:trPr>
          <w:trHeight w:val="252"/>
        </w:trPr>
        <w:tc>
          <w:tcPr>
            <w:tcW w:w="4700" w:type="dxa"/>
            <w:vAlign w:val="bottom"/>
          </w:tcPr>
          <w:p>
            <w:pPr>
              <w:spacing w:after="0"/>
              <w:rPr>
                <w:sz w:val="21"/>
                <w:szCs w:val="21"/>
                <w:color w:val="auto"/>
              </w:rPr>
            </w:pPr>
          </w:p>
        </w:tc>
        <w:tc>
          <w:tcPr>
            <w:tcW w:w="1180" w:type="dxa"/>
            <w:vAlign w:val="bottom"/>
            <w:tcBorders>
              <w:bottom w:val="single" w:sz="8" w:color="231F20"/>
            </w:tcBorders>
          </w:tcPr>
          <w:p>
            <w:pPr>
              <w:spacing w:after="0"/>
              <w:rPr>
                <w:sz w:val="21"/>
                <w:szCs w:val="21"/>
                <w:color w:val="auto"/>
              </w:rPr>
            </w:pPr>
          </w:p>
        </w:tc>
        <w:tc>
          <w:tcPr>
            <w:tcW w:w="2600" w:type="dxa"/>
            <w:vAlign w:val="bottom"/>
            <w:tcBorders>
              <w:bottom w:val="single" w:sz="8" w:color="231F20"/>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231F20"/>
              </w:rPr>
              <w:t>Years Ended December 31,</w:t>
            </w:r>
          </w:p>
        </w:tc>
        <w:tc>
          <w:tcPr>
            <w:tcW w:w="1240" w:type="dxa"/>
            <w:vAlign w:val="bottom"/>
            <w:tcBorders>
              <w:bottom w:val="single" w:sz="8" w:color="231F20"/>
            </w:tcBorders>
          </w:tcPr>
          <w:p>
            <w:pPr>
              <w:spacing w:after="0"/>
              <w:rPr>
                <w:sz w:val="21"/>
                <w:szCs w:val="21"/>
                <w:color w:val="auto"/>
              </w:rPr>
            </w:pPr>
          </w:p>
        </w:tc>
      </w:tr>
      <w:tr>
        <w:trPr>
          <w:trHeight w:val="227"/>
        </w:trPr>
        <w:tc>
          <w:tcPr>
            <w:tcW w:w="4700" w:type="dxa"/>
            <w:vAlign w:val="bottom"/>
          </w:tcPr>
          <w:p>
            <w:pPr>
              <w:spacing w:after="0"/>
              <w:rPr>
                <w:sz w:val="19"/>
                <w:szCs w:val="19"/>
                <w:color w:val="auto"/>
              </w:rPr>
            </w:pPr>
          </w:p>
        </w:tc>
        <w:tc>
          <w:tcPr>
            <w:tcW w:w="2460" w:type="dxa"/>
            <w:vAlign w:val="bottom"/>
            <w:gridSpan w:val="2"/>
          </w:tcPr>
          <w:p>
            <w:pPr>
              <w:jc w:val="right"/>
              <w:ind w:right="94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56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05"/>
        </w:trPr>
        <w:tc>
          <w:tcPr>
            <w:tcW w:w="4700" w:type="dxa"/>
            <w:vAlign w:val="bottom"/>
            <w:tcBorders>
              <w:top w:val="single" w:sz="8" w:color="EBECEC"/>
            </w:tcBorders>
            <w:shd w:val="clear" w:color="auto" w:fill="EBECEC"/>
          </w:tcPr>
          <w:p>
            <w:pPr>
              <w:spacing w:after="0" w:line="205" w:lineRule="exact"/>
              <w:rPr>
                <w:sz w:val="20"/>
                <w:szCs w:val="20"/>
                <w:color w:val="auto"/>
              </w:rPr>
            </w:pPr>
            <w:r>
              <w:rPr>
                <w:rFonts w:ascii="Times New Roman" w:cs="Times New Roman" w:eastAsia="Times New Roman" w:hAnsi="Times New Roman"/>
                <w:sz w:val="20"/>
                <w:szCs w:val="20"/>
                <w:color w:val="231F20"/>
              </w:rPr>
              <w:t>Risk-free interest rate</w:t>
            </w:r>
          </w:p>
        </w:tc>
        <w:tc>
          <w:tcPr>
            <w:tcW w:w="1180" w:type="dxa"/>
            <w:vAlign w:val="bottom"/>
            <w:tcBorders>
              <w:top w:val="single" w:sz="8" w:color="231F20"/>
            </w:tcBorders>
            <w:shd w:val="clear" w:color="auto" w:fill="EBECEC"/>
          </w:tcPr>
          <w:p>
            <w:pPr>
              <w:jc w:val="right"/>
              <w:spacing w:after="0" w:line="205" w:lineRule="exact"/>
              <w:rPr>
                <w:sz w:val="20"/>
                <w:szCs w:val="20"/>
                <w:color w:val="auto"/>
              </w:rPr>
            </w:pPr>
            <w:r>
              <w:rPr>
                <w:rFonts w:ascii="Times New Roman" w:cs="Times New Roman" w:eastAsia="Times New Roman" w:hAnsi="Times New Roman"/>
                <w:sz w:val="20"/>
                <w:szCs w:val="20"/>
                <w:color w:val="231F20"/>
              </w:rPr>
              <w:t>3.77%</w:t>
            </w:r>
          </w:p>
        </w:tc>
        <w:tc>
          <w:tcPr>
            <w:tcW w:w="1280" w:type="dxa"/>
            <w:vAlign w:val="bottom"/>
            <w:tcBorders>
              <w:top w:val="single" w:sz="8" w:color="231F20"/>
            </w:tcBorders>
            <w:shd w:val="clear" w:color="auto" w:fill="EBECEC"/>
          </w:tcPr>
          <w:p>
            <w:pPr>
              <w:ind w:left="20"/>
              <w:spacing w:after="0" w:line="205" w:lineRule="exact"/>
              <w:rPr>
                <w:sz w:val="20"/>
                <w:szCs w:val="20"/>
                <w:color w:val="auto"/>
              </w:rPr>
            </w:pPr>
            <w:r>
              <w:rPr>
                <w:rFonts w:ascii="Times New Roman" w:cs="Times New Roman" w:eastAsia="Times New Roman" w:hAnsi="Times New Roman"/>
                <w:sz w:val="20"/>
                <w:szCs w:val="20"/>
                <w:color w:val="231F20"/>
              </w:rPr>
              <w:t>- 4.43%</w:t>
            </w:r>
          </w:p>
        </w:tc>
        <w:tc>
          <w:tcPr>
            <w:tcW w:w="180" w:type="dxa"/>
            <w:vAlign w:val="bottom"/>
            <w:tcBorders>
              <w:top w:val="single" w:sz="8" w:color="EBECEC"/>
            </w:tcBorders>
            <w:shd w:val="clear" w:color="auto" w:fill="EBECEC"/>
          </w:tcPr>
          <w:p>
            <w:pPr>
              <w:spacing w:after="0"/>
              <w:rPr>
                <w:sz w:val="17"/>
                <w:szCs w:val="17"/>
                <w:color w:val="auto"/>
              </w:rPr>
            </w:pPr>
          </w:p>
        </w:tc>
        <w:tc>
          <w:tcPr>
            <w:tcW w:w="1140" w:type="dxa"/>
            <w:vAlign w:val="bottom"/>
            <w:tcBorders>
              <w:top w:val="single" w:sz="8" w:color="231F20"/>
            </w:tcBorders>
            <w:shd w:val="clear" w:color="auto" w:fill="EBECEC"/>
          </w:tcPr>
          <w:p>
            <w:pPr>
              <w:jc w:val="right"/>
              <w:spacing w:after="0" w:line="205" w:lineRule="exact"/>
              <w:rPr>
                <w:sz w:val="20"/>
                <w:szCs w:val="20"/>
                <w:color w:val="auto"/>
              </w:rPr>
            </w:pPr>
            <w:r>
              <w:rPr>
                <w:rFonts w:ascii="Times New Roman" w:cs="Times New Roman" w:eastAsia="Times New Roman" w:hAnsi="Times New Roman"/>
                <w:sz w:val="20"/>
                <w:szCs w:val="20"/>
                <w:color w:val="231F20"/>
              </w:rPr>
              <w:t>3.56%</w:t>
            </w:r>
          </w:p>
        </w:tc>
        <w:tc>
          <w:tcPr>
            <w:tcW w:w="1240" w:type="dxa"/>
            <w:vAlign w:val="bottom"/>
            <w:tcBorders>
              <w:top w:val="single" w:sz="8" w:color="231F20"/>
            </w:tcBorders>
            <w:shd w:val="clear" w:color="auto" w:fill="EBECEC"/>
          </w:tcPr>
          <w:p>
            <w:pPr>
              <w:ind w:left="20"/>
              <w:spacing w:after="0" w:line="205" w:lineRule="exact"/>
              <w:rPr>
                <w:sz w:val="20"/>
                <w:szCs w:val="20"/>
                <w:color w:val="auto"/>
              </w:rPr>
            </w:pPr>
            <w:r>
              <w:rPr>
                <w:rFonts w:ascii="Times New Roman" w:cs="Times New Roman" w:eastAsia="Times New Roman" w:hAnsi="Times New Roman"/>
                <w:sz w:val="20"/>
                <w:szCs w:val="20"/>
                <w:color w:val="231F20"/>
              </w:rPr>
              <w:t>- 4.64%</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Expected volatility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83.11%</w:t>
            </w: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- 85.76%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84.40%</w:t>
            </w: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- 86.31%</w:t>
            </w:r>
          </w:p>
        </w:tc>
      </w:tr>
      <w:tr>
        <w:trPr>
          <w:trHeight w:val="230"/>
        </w:trPr>
        <w:tc>
          <w:tcPr>
            <w:tcW w:w="47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Expected term (in years)</w:t>
            </w:r>
          </w:p>
        </w:tc>
        <w:tc>
          <w:tcPr>
            <w:tcW w:w="11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5.50</w:t>
            </w:r>
          </w:p>
        </w:tc>
        <w:tc>
          <w:tcPr>
            <w:tcW w:w="1280" w:type="dxa"/>
            <w:vAlign w:val="bottom"/>
            <w:shd w:val="clear" w:color="auto" w:fill="EBECEC"/>
          </w:tcPr>
          <w:p>
            <w:pPr>
              <w:ind w:left="20"/>
              <w:spacing w:after="0"/>
              <w:rPr>
                <w:sz w:val="20"/>
                <w:szCs w:val="20"/>
                <w:color w:val="auto"/>
              </w:rPr>
            </w:pPr>
            <w:r>
              <w:rPr>
                <w:rFonts w:ascii="Times New Roman" w:cs="Times New Roman" w:eastAsia="Times New Roman" w:hAnsi="Times New Roman"/>
                <w:sz w:val="20"/>
                <w:szCs w:val="20"/>
                <w:color w:val="231F20"/>
              </w:rPr>
              <w:t>- 6.08</w:t>
            </w:r>
          </w:p>
        </w:tc>
        <w:tc>
          <w:tcPr>
            <w:tcW w:w="132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5.50</w:t>
            </w:r>
          </w:p>
        </w:tc>
        <w:tc>
          <w:tcPr>
            <w:tcW w:w="1240" w:type="dxa"/>
            <w:vAlign w:val="bottom"/>
            <w:shd w:val="clear" w:color="auto" w:fill="EBECEC"/>
          </w:tcPr>
          <w:p>
            <w:pPr>
              <w:ind w:left="20"/>
              <w:spacing w:after="0"/>
              <w:rPr>
                <w:sz w:val="20"/>
                <w:szCs w:val="20"/>
                <w:color w:val="auto"/>
              </w:rPr>
            </w:pPr>
            <w:r>
              <w:rPr>
                <w:rFonts w:ascii="Times New Roman" w:cs="Times New Roman" w:eastAsia="Times New Roman" w:hAnsi="Times New Roman"/>
                <w:sz w:val="20"/>
                <w:szCs w:val="20"/>
                <w:color w:val="231F20"/>
              </w:rPr>
              <w:t>- 6.08</w:t>
            </w:r>
          </w:p>
        </w:tc>
      </w:tr>
      <w:tr>
        <w:trPr>
          <w:trHeight w:val="266"/>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Expected dividend yield</w:t>
            </w:r>
          </w:p>
        </w:tc>
        <w:tc>
          <w:tcPr>
            <w:tcW w:w="2460" w:type="dxa"/>
            <w:vAlign w:val="bottom"/>
            <w:gridSpan w:val="2"/>
          </w:tcPr>
          <w:p>
            <w:pPr>
              <w:jc w:val="right"/>
              <w:ind w:right="983"/>
              <w:spacing w:after="0"/>
              <w:rPr>
                <w:sz w:val="20"/>
                <w:szCs w:val="20"/>
                <w:color w:val="auto"/>
              </w:rPr>
            </w:pPr>
            <w:r>
              <w:rPr>
                <w:rFonts w:ascii="Times New Roman" w:cs="Times New Roman" w:eastAsia="Times New Roman" w:hAnsi="Times New Roman"/>
                <w:sz w:val="20"/>
                <w:szCs w:val="20"/>
                <w:color w:val="231F20"/>
              </w:rPr>
              <w:t>0%</w:t>
            </w:r>
          </w:p>
        </w:tc>
        <w:tc>
          <w:tcPr>
            <w:tcW w:w="2560" w:type="dxa"/>
            <w:vAlign w:val="bottom"/>
            <w:gridSpan w:val="3"/>
          </w:tcPr>
          <w:p>
            <w:pPr>
              <w:jc w:val="right"/>
              <w:ind w:right="960"/>
              <w:spacing w:after="0"/>
              <w:rPr>
                <w:sz w:val="20"/>
                <w:szCs w:val="20"/>
                <w:color w:val="auto"/>
              </w:rPr>
            </w:pPr>
            <w:r>
              <w:rPr>
                <w:rFonts w:ascii="Times New Roman" w:cs="Times New Roman" w:eastAsia="Times New Roman" w:hAnsi="Times New Roman"/>
                <w:sz w:val="20"/>
                <w:szCs w:val="20"/>
                <w:color w:val="231F20"/>
              </w:rPr>
              <w:t>0%</w:t>
            </w:r>
          </w:p>
        </w:tc>
      </w:tr>
    </w:tbl>
    <w:p>
      <w:pPr>
        <w:spacing w:after="0" w:line="214"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231F20"/>
        </w:rPr>
        <w:t>The weighted-average grant-date fair value of options granted was $6.22 and $6.93 for the years ended December 31, 2025 and 2024, respectively.</w:t>
      </w:r>
    </w:p>
    <w:p>
      <w:pPr>
        <w:spacing w:after="0" w:line="169" w:lineRule="exact"/>
        <w:rPr>
          <w:sz w:val="20"/>
          <w:szCs w:val="20"/>
          <w:color w:val="auto"/>
        </w:rPr>
      </w:pPr>
    </w:p>
    <w:p>
      <w:pPr>
        <w:jc w:val="both"/>
        <w:ind w:right="320" w:firstLine="720"/>
        <w:spacing w:after="0" w:line="252" w:lineRule="auto"/>
        <w:rPr>
          <w:sz w:val="20"/>
          <w:szCs w:val="20"/>
          <w:color w:val="auto"/>
        </w:rPr>
      </w:pPr>
      <w:r>
        <w:rPr>
          <w:rFonts w:ascii="Times New Roman" w:cs="Times New Roman" w:eastAsia="Times New Roman" w:hAnsi="Times New Roman"/>
          <w:sz w:val="20"/>
          <w:szCs w:val="20"/>
          <w:color w:val="231F20"/>
        </w:rPr>
        <w:t>The Company recognized stock-based compensation expense related to the vesting of stock options of $21.0 million and $16.7 million for the years ended December 31, 2025 and 2024, respectively. Total unrecognized compensation expense related to outstanding unvested stock-option awards as of December 31, 2025, was $29.8 million, which is expected to be recognized over a weighted-average remaining service period of 2.5 years.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Restricted Stock Units</w:t>
      </w:r>
    </w:p>
    <w:p>
      <w:pPr>
        <w:spacing w:after="0" w:line="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summarizes the restricted stock unit activity for the year ended December 31, 2025:</w:t>
      </w:r>
    </w:p>
    <w:p>
      <w:pPr>
        <w:spacing w:after="0" w:line="290"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center"/>
              <w:ind w:right="229"/>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60" w:type="dxa"/>
            <w:vAlign w:val="bottom"/>
          </w:tcPr>
          <w:p>
            <w:pPr>
              <w:spacing w:after="0"/>
              <w:rPr>
                <w:sz w:val="16"/>
                <w:szCs w:val="16"/>
                <w:color w:val="auto"/>
              </w:rPr>
            </w:pPr>
          </w:p>
        </w:tc>
      </w:tr>
      <w:tr>
        <w:trPr>
          <w:trHeight w:val="184"/>
        </w:trPr>
        <w:tc>
          <w:tcPr>
            <w:tcW w:w="56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center"/>
              <w:ind w:right="229"/>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60" w:type="dxa"/>
            <w:vAlign w:val="bottom"/>
          </w:tcPr>
          <w:p>
            <w:pPr>
              <w:spacing w:after="0"/>
              <w:rPr>
                <w:sz w:val="16"/>
                <w:szCs w:val="16"/>
                <w:color w:val="auto"/>
              </w:rPr>
            </w:pPr>
          </w:p>
        </w:tc>
      </w:tr>
      <w:tr>
        <w:trPr>
          <w:trHeight w:val="184"/>
        </w:trPr>
        <w:tc>
          <w:tcPr>
            <w:tcW w:w="56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center"/>
              <w:ind w:right="229"/>
              <w:spacing w:after="0"/>
              <w:rPr>
                <w:sz w:val="20"/>
                <w:szCs w:val="20"/>
                <w:color w:val="auto"/>
              </w:rPr>
            </w:pPr>
            <w:r>
              <w:rPr>
                <w:rFonts w:ascii="Times New Roman" w:cs="Times New Roman" w:eastAsia="Times New Roman" w:hAnsi="Times New Roman"/>
                <w:sz w:val="16"/>
                <w:szCs w:val="16"/>
                <w:b w:val="1"/>
                <w:bCs w:val="1"/>
                <w:color w:val="231F20"/>
              </w:rPr>
              <w:t>Grant-Date</w:t>
            </w:r>
          </w:p>
        </w:tc>
        <w:tc>
          <w:tcPr>
            <w:tcW w:w="6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2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Number of Shares</w:t>
            </w:r>
          </w:p>
        </w:tc>
        <w:tc>
          <w:tcPr>
            <w:tcW w:w="320" w:type="dxa"/>
            <w:vAlign w:val="bottom"/>
          </w:tcPr>
          <w:p>
            <w:pPr>
              <w:spacing w:after="0"/>
              <w:rPr>
                <w:sz w:val="17"/>
                <w:szCs w:val="17"/>
                <w:color w:val="auto"/>
              </w:rPr>
            </w:pPr>
          </w:p>
        </w:tc>
        <w:tc>
          <w:tcPr>
            <w:tcW w:w="1560" w:type="dxa"/>
            <w:vAlign w:val="bottom"/>
          </w:tcPr>
          <w:p>
            <w:pPr>
              <w:jc w:val="center"/>
              <w:ind w:right="229"/>
              <w:spacing w:after="0"/>
              <w:rPr>
                <w:sz w:val="20"/>
                <w:szCs w:val="20"/>
                <w:color w:val="auto"/>
              </w:rPr>
            </w:pPr>
            <w:r>
              <w:rPr>
                <w:rFonts w:ascii="Times New Roman" w:cs="Times New Roman" w:eastAsia="Times New Roman" w:hAnsi="Times New Roman"/>
                <w:sz w:val="16"/>
                <w:szCs w:val="16"/>
                <w:b w:val="1"/>
                <w:bCs w:val="1"/>
                <w:color w:val="231F20"/>
                <w:w w:val="98"/>
              </w:rPr>
              <w:t>Fair Value</w:t>
            </w:r>
          </w:p>
        </w:tc>
        <w:tc>
          <w:tcPr>
            <w:tcW w:w="60" w:type="dxa"/>
            <w:vAlign w:val="bottom"/>
          </w:tcPr>
          <w:p>
            <w:pPr>
              <w:spacing w:after="0"/>
              <w:rPr>
                <w:sz w:val="17"/>
                <w:szCs w:val="17"/>
                <w:color w:val="auto"/>
              </w:rPr>
            </w:pPr>
          </w:p>
        </w:tc>
      </w:tr>
      <w:tr>
        <w:trPr>
          <w:trHeight w:val="225"/>
        </w:trPr>
        <w:tc>
          <w:tcPr>
            <w:tcW w:w="5620" w:type="dxa"/>
            <w:vAlign w:val="bottom"/>
            <w:tcBorders>
              <w:top w:val="single" w:sz="8" w:color="EBECEC"/>
            </w:tcBorders>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Outstanding at December 31, 2024</w:t>
            </w:r>
          </w:p>
        </w:tc>
        <w:tc>
          <w:tcPr>
            <w:tcW w:w="188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462,507</w:t>
            </w:r>
          </w:p>
        </w:tc>
        <w:tc>
          <w:tcPr>
            <w:tcW w:w="280" w:type="dxa"/>
            <w:vAlign w:val="bottom"/>
            <w:tcBorders>
              <w:top w:val="single" w:sz="8" w:color="EBECEC"/>
            </w:tcBorders>
            <w:shd w:val="clear" w:color="auto" w:fill="EBECEC"/>
          </w:tcPr>
          <w:p>
            <w:pPr>
              <w:spacing w:after="0"/>
              <w:rPr>
                <w:sz w:val="19"/>
                <w:szCs w:val="19"/>
                <w:color w:val="auto"/>
              </w:rPr>
            </w:pPr>
          </w:p>
        </w:tc>
        <w:tc>
          <w:tcPr>
            <w:tcW w:w="320" w:type="dxa"/>
            <w:vAlign w:val="bottom"/>
            <w:tcBorders>
              <w:top w:val="single" w:sz="8" w:color="231F20"/>
            </w:tcBorders>
            <w:shd w:val="clear" w:color="auto" w:fill="EBECEC"/>
          </w:tcPr>
          <w:p>
            <w:pPr>
              <w:jc w:val="right"/>
              <w:ind w:right="1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56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8.46</w:t>
            </w:r>
          </w:p>
        </w:tc>
        <w:tc>
          <w:tcPr>
            <w:tcW w:w="60" w:type="dxa"/>
            <w:vAlign w:val="bottom"/>
            <w:tcBorders>
              <w:top w:val="single" w:sz="8" w:color="EBECEC"/>
            </w:tcBorders>
            <w:shd w:val="clear" w:color="auto" w:fill="EBECE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589,684</w:t>
            </w:r>
          </w:p>
        </w:tc>
        <w:tc>
          <w:tcPr>
            <w:tcW w:w="28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8.59</w:t>
            </w:r>
          </w:p>
        </w:tc>
        <w:tc>
          <w:tcPr>
            <w:tcW w:w="60" w:type="dxa"/>
            <w:vAlign w:val="bottom"/>
          </w:tcPr>
          <w:p>
            <w:pPr>
              <w:spacing w:after="0"/>
              <w:rPr>
                <w:sz w:val="20"/>
                <w:szCs w:val="20"/>
                <w:color w:val="auto"/>
              </w:rPr>
            </w:pPr>
          </w:p>
        </w:tc>
      </w:tr>
      <w:tr>
        <w:trPr>
          <w:trHeight w:val="230"/>
        </w:trPr>
        <w:tc>
          <w:tcPr>
            <w:tcW w:w="56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Vested</w:t>
            </w:r>
          </w:p>
        </w:tc>
        <w:tc>
          <w:tcPr>
            <w:tcW w:w="2160" w:type="dxa"/>
            <w:vAlign w:val="bottom"/>
            <w:gridSpan w:val="2"/>
            <w:shd w:val="clear" w:color="auto" w:fill="EBECEC"/>
          </w:tcPr>
          <w:p>
            <w:pPr>
              <w:jc w:val="right"/>
              <w:ind w:right="220"/>
              <w:spacing w:after="0"/>
              <w:rPr>
                <w:sz w:val="20"/>
                <w:szCs w:val="20"/>
                <w:color w:val="auto"/>
              </w:rPr>
            </w:pPr>
            <w:r>
              <w:rPr>
                <w:rFonts w:ascii="Times New Roman" w:cs="Times New Roman" w:eastAsia="Times New Roman" w:hAnsi="Times New Roman"/>
                <w:sz w:val="20"/>
                <w:szCs w:val="20"/>
                <w:color w:val="231F20"/>
              </w:rPr>
              <w:t>(395,252)</w:t>
            </w:r>
          </w:p>
        </w:tc>
        <w:tc>
          <w:tcPr>
            <w:tcW w:w="320" w:type="dxa"/>
            <w:vAlign w:val="bottom"/>
            <w:shd w:val="clear" w:color="auto" w:fill="EBECEC"/>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5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7.96</w:t>
            </w:r>
          </w:p>
        </w:tc>
        <w:tc>
          <w:tcPr>
            <w:tcW w:w="60" w:type="dxa"/>
            <w:vAlign w:val="bottom"/>
            <w:shd w:val="clear" w:color="auto" w:fill="EBECEC"/>
          </w:tcPr>
          <w:p>
            <w:pPr>
              <w:spacing w:after="0"/>
              <w:rPr>
                <w:sz w:val="20"/>
                <w:szCs w:val="20"/>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Forfeited</w:t>
            </w:r>
          </w:p>
        </w:tc>
        <w:tc>
          <w:tcPr>
            <w:tcW w:w="21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(74,406)</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8.26</w:t>
            </w:r>
          </w:p>
        </w:tc>
        <w:tc>
          <w:tcPr>
            <w:tcW w:w="60" w:type="dxa"/>
            <w:vAlign w:val="bottom"/>
          </w:tcPr>
          <w:p>
            <w:pPr>
              <w:spacing w:after="0"/>
              <w:rPr>
                <w:sz w:val="19"/>
                <w:szCs w:val="19"/>
                <w:color w:val="auto"/>
              </w:rPr>
            </w:pPr>
          </w:p>
        </w:tc>
      </w:tr>
      <w:tr>
        <w:trPr>
          <w:trHeight w:val="225"/>
        </w:trPr>
        <w:tc>
          <w:tcPr>
            <w:tcW w:w="5620" w:type="dxa"/>
            <w:vAlign w:val="bottom"/>
            <w:tcBorders>
              <w:top w:val="single" w:sz="8" w:color="EBECEC"/>
              <w:bottom w:val="single" w:sz="8" w:color="EBECEC"/>
            </w:tcBorders>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Outstanding at December 31, 2025</w:t>
            </w:r>
          </w:p>
        </w:tc>
        <w:tc>
          <w:tcPr>
            <w:tcW w:w="1880" w:type="dxa"/>
            <w:vAlign w:val="bottom"/>
            <w:tcBorders>
              <w:top w:val="single" w:sz="8" w:color="231F20"/>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582,533</w:t>
            </w:r>
          </w:p>
        </w:tc>
        <w:tc>
          <w:tcPr>
            <w:tcW w:w="280" w:type="dxa"/>
            <w:vAlign w:val="bottom"/>
            <w:tcBorders>
              <w:top w:val="single" w:sz="8" w:color="EBECEC"/>
              <w:bottom w:val="single" w:sz="8" w:color="EBECEC"/>
            </w:tcBorders>
            <w:shd w:val="clear" w:color="auto" w:fill="EBECEC"/>
          </w:tcPr>
          <w:p>
            <w:pPr>
              <w:spacing w:after="0"/>
              <w:rPr>
                <w:sz w:val="19"/>
                <w:szCs w:val="19"/>
                <w:color w:val="auto"/>
              </w:rPr>
            </w:pPr>
          </w:p>
        </w:tc>
        <w:tc>
          <w:tcPr>
            <w:tcW w:w="320" w:type="dxa"/>
            <w:vAlign w:val="bottom"/>
            <w:tcBorders>
              <w:top w:val="single" w:sz="8" w:color="EBECEC"/>
              <w:bottom w:val="single" w:sz="8" w:color="EBECEC"/>
            </w:tcBorders>
            <w:shd w:val="clear" w:color="auto" w:fill="EBECEC"/>
          </w:tcPr>
          <w:p>
            <w:pPr>
              <w:jc w:val="right"/>
              <w:ind w:right="1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560" w:type="dxa"/>
            <w:vAlign w:val="bottom"/>
            <w:tcBorders>
              <w:top w:val="single" w:sz="8" w:color="EBECEC"/>
              <w:bottom w:val="single" w:sz="8" w:color="EBECEC"/>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8.96</w:t>
            </w:r>
          </w:p>
        </w:tc>
        <w:tc>
          <w:tcPr>
            <w:tcW w:w="60" w:type="dxa"/>
            <w:vAlign w:val="bottom"/>
            <w:tcBorders>
              <w:top w:val="single" w:sz="8" w:color="EBECEC"/>
              <w:bottom w:val="single" w:sz="8" w:color="EBECEC"/>
            </w:tcBorders>
            <w:shd w:val="clear" w:color="auto" w:fill="EBECEC"/>
          </w:tcPr>
          <w:p>
            <w:pPr>
              <w:spacing w:after="0"/>
              <w:rPr>
                <w:sz w:val="19"/>
                <w:szCs w:val="19"/>
                <w:color w:val="auto"/>
              </w:rPr>
            </w:pPr>
          </w:p>
        </w:tc>
      </w:tr>
    </w:tbl>
    <w:p>
      <w:pPr>
        <w:spacing w:after="0" w:line="221"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231F20"/>
        </w:rPr>
        <w:t>The Company recognized stock-based compensation expense related to the vesting of restricted stock units of $3.3 million and $2.6 million for the years ended December 31, 2025 and 2024, respectively. Total unrecognized compensation expense related to restricted stock units as of December 31, 2025, was $4.8 million, which is expected to be recognized over a weighted-average remaining service period of 1.9 years.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Employee Stock Purchase Plan</w:t>
      </w:r>
    </w:p>
    <w:p>
      <w:pPr>
        <w:spacing w:after="0" w:line="12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As of December 31, 2025, there were 1,157,706 shares available for future issuance under the 2020 Employee Stock Purchase Plan (ESPP). The number of shares of common stock available for issuance under the ESPP will automatically increase on the first day of each fiscal year in an amount equal to the lessor of (1) 500,000 shares, (2) 1% of the outstanding shares of the Company’s common stock on the last day of the immediately preceding fiscal year, or (3) such other amount as determined by the Company’s Board of Directors. The Company recognized stock-based compensation expense related to the ESPP of $0.7 million and $0.9 million for the years ended December 31, 2025 and 2024, respectively.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Pre-funded Warrants</w:t>
      </w:r>
    </w:p>
    <w:p>
      <w:pPr>
        <w:spacing w:after="0" w:line="12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In May 2025, the Company completed a private placement in which it sold 14,130,313 shares of common stock together with pre-funded warrants to purchase 5,100,532 shares of common stock with an exercise price of $0.0001 per share of common stock. Each pre-funded warrant was immediately exercisable and will remain exercisable until exercised in full. The Company performed an assessment upon issuance of the pre-funded warrants to determine proper classification in the financial statements based on the specific terms of the pre-funded warrants. The Company determined the pre-funded warrants met all the criteria for equity classification and recorded them in additional paid-in capital. There were 4,463,636 pre-funded warrants that remained outstanding and unexercised as of December 31, 2025.</w:t>
      </w:r>
    </w:p>
    <w:p>
      <w:pPr>
        <w:spacing w:after="0" w:line="316" w:lineRule="exact"/>
        <w:rPr>
          <w:sz w:val="20"/>
          <w:szCs w:val="20"/>
          <w:color w:val="auto"/>
        </w:rPr>
      </w:pPr>
    </w:p>
    <w:p>
      <w:pPr>
        <w:ind w:left="300" w:hanging="300"/>
        <w:spacing w:after="0"/>
        <w:tabs>
          <w:tab w:leader="none" w:pos="300" w:val="left"/>
        </w:tabs>
        <w:numPr>
          <w:ilvl w:val="0"/>
          <w:numId w:val="7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u w:val="single" w:color="auto"/>
          <w:color w:val="231F20"/>
        </w:rPr>
        <w:t>Income Tax</w:t>
      </w:r>
    </w:p>
    <w:p>
      <w:pPr>
        <w:spacing w:after="0" w:line="124"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231F20"/>
        </w:rPr>
        <w:t>Recently, legislation commonly known as the One Big Beautiful Bill Act (OBBBA) was signed into law in July 2025, which enacts significant changes to U.S tax and related laws, including but not limited to current deduction of domestic research expenses, increasing the limit of the deduction of interest expense to thirty percent of EBITDA and one hundred percent bonus depreciation on</w:t>
      </w:r>
    </w:p>
    <w:p>
      <w:pPr>
        <w:sectPr>
          <w:pgSz w:w="11880" w:h="15480" w:orient="portrait"/>
          <w:cols w:equalWidth="0" w:num="1">
            <w:col w:w="10760"/>
          </w:cols>
          <w:pgMar w:left="540" w:top="97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123</w:t>
      </w:r>
    </w:p>
    <w:p>
      <w:pPr>
        <w:sectPr>
          <w:pgSz w:w="11880" w:h="15480" w:orient="portrait"/>
          <w:cols w:equalWidth="0" w:num="1">
            <w:col w:w="10760"/>
          </w:cols>
          <w:pgMar w:left="540" w:top="979" w:right="580" w:bottom="0" w:gutter="0" w:footer="0" w:header="0"/>
          <w:type w:val="continuous"/>
        </w:sectPr>
      </w:pPr>
    </w:p>
    <w:bookmarkStart w:id="129" w:name="page130"/>
    <w:bookmarkEnd w:id="129"/>
    <w:p>
      <w:pPr>
        <w:spacing w:after="0" w:line="277" w:lineRule="auto"/>
        <w:rPr>
          <w:sz w:val="20"/>
          <w:szCs w:val="20"/>
          <w:color w:val="auto"/>
        </w:rPr>
      </w:pPr>
      <w:r>
        <w:rPr>
          <w:rFonts w:ascii="Times New Roman" w:cs="Times New Roman" w:eastAsia="Times New Roman" w:hAnsi="Times New Roman"/>
          <w:sz w:val="20"/>
          <w:szCs w:val="20"/>
          <w:color w:val="231F20"/>
        </w:rPr>
        <w:t>eligible property acquired after January 19, 2025. There were no changes to the Company’s tax expense or effective income tax rate given the Company’s valuation allowance position.</w:t>
      </w:r>
    </w:p>
    <w:p>
      <w:pPr>
        <w:spacing w:after="0" w:line="129"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231F20"/>
        </w:rPr>
        <w:t xml:space="preserve">In accordance with the recently and prospectively adopted ASU 2023-09, </w:t>
      </w:r>
      <w:r>
        <w:rPr>
          <w:rFonts w:ascii="Times New Roman" w:cs="Times New Roman" w:eastAsia="Times New Roman" w:hAnsi="Times New Roman"/>
          <w:sz w:val="20"/>
          <w:szCs w:val="20"/>
          <w:i w:val="1"/>
          <w:iCs w:val="1"/>
          <w:color w:val="231F20"/>
        </w:rPr>
        <w:t>Improvements to Income Tax Disclosures</w:t>
      </w:r>
      <w:r>
        <w:rPr>
          <w:rFonts w:ascii="Times New Roman" w:cs="Times New Roman" w:eastAsia="Times New Roman" w:hAnsi="Times New Roman"/>
          <w:sz w:val="20"/>
          <w:szCs w:val="20"/>
          <w:color w:val="231F20"/>
        </w:rPr>
        <w:t>, significant components of the Company’s provision for income taxes and income taxes computed using the U.S. federal statutory corporate tax rate for the year ended December 31, 2025 were as follows (in thousands, except percentages):</w:t>
      </w:r>
    </w:p>
    <w:p>
      <w:pPr>
        <w:spacing w:after="0" w:line="161" w:lineRule="exact"/>
        <w:rPr>
          <w:sz w:val="20"/>
          <w:szCs w:val="20"/>
          <w:color w:val="auto"/>
        </w:rPr>
      </w:pPr>
    </w:p>
    <w:tbl>
      <w:tblPr>
        <w:tblLayout w:type="fixed"/>
        <w:tblInd w:w="100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62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480" w:type="dxa"/>
            <w:vAlign w:val="bottom"/>
            <w:tcBorders>
              <w:bottom w:val="single" w:sz="8" w:color="231F20"/>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740" w:type="dxa"/>
            <w:vAlign w:val="bottom"/>
            <w:tcBorders>
              <w:bottom w:val="single" w:sz="8" w:color="EBECEC"/>
            </w:tcBorders>
          </w:tcPr>
          <w:p>
            <w:pPr>
              <w:spacing w:after="0"/>
              <w:rPr>
                <w:sz w:val="18"/>
                <w:szCs w:val="18"/>
                <w:color w:val="auto"/>
              </w:rPr>
            </w:pPr>
          </w:p>
        </w:tc>
        <w:tc>
          <w:tcPr>
            <w:tcW w:w="3080" w:type="dxa"/>
            <w:vAlign w:val="bottom"/>
            <w:tcBorders>
              <w:bottom w:val="single" w:sz="8" w:color="EBECEC"/>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340" w:type="dxa"/>
            <w:vAlign w:val="bottom"/>
            <w:tcBorders>
              <w:bottom w:val="single" w:sz="8" w:color="231F20"/>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231F20"/>
              </w:rPr>
              <w:t>Amount</w:t>
            </w:r>
          </w:p>
        </w:tc>
        <w:tc>
          <w:tcPr>
            <w:tcW w:w="280" w:type="dxa"/>
            <w:vAlign w:val="bottom"/>
            <w:tcBorders>
              <w:bottom w:val="single" w:sz="8" w:color="EBECEC"/>
            </w:tcBorders>
          </w:tcPr>
          <w:p>
            <w:pPr>
              <w:spacing w:after="0"/>
              <w:rPr>
                <w:sz w:val="18"/>
                <w:szCs w:val="18"/>
                <w:color w:val="auto"/>
              </w:rPr>
            </w:pPr>
          </w:p>
        </w:tc>
        <w:tc>
          <w:tcPr>
            <w:tcW w:w="1480" w:type="dxa"/>
            <w:vAlign w:val="bottom"/>
            <w:tcBorders>
              <w:bottom w:val="single" w:sz="8" w:color="231F20"/>
            </w:tcBorders>
          </w:tcPr>
          <w:p>
            <w:pPr>
              <w:ind w:left="300"/>
              <w:spacing w:after="0"/>
              <w:rPr>
                <w:sz w:val="20"/>
                <w:szCs w:val="20"/>
                <w:color w:val="auto"/>
              </w:rPr>
            </w:pPr>
            <w:r>
              <w:rPr>
                <w:rFonts w:ascii="Times New Roman" w:cs="Times New Roman" w:eastAsia="Times New Roman" w:hAnsi="Times New Roman"/>
                <w:sz w:val="18"/>
                <w:szCs w:val="18"/>
                <w:b w:val="1"/>
                <w:bCs w:val="1"/>
                <w:color w:val="231F20"/>
              </w:rPr>
              <w:t>Percentage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4820" w:type="dxa"/>
            <w:vAlign w:val="bottom"/>
            <w:gridSpan w:val="2"/>
            <w:shd w:val="clear" w:color="auto" w:fill="EBECEC"/>
          </w:tcPr>
          <w:p>
            <w:pPr>
              <w:spacing w:after="0"/>
              <w:rPr>
                <w:sz w:val="20"/>
                <w:szCs w:val="20"/>
                <w:color w:val="auto"/>
              </w:rPr>
            </w:pPr>
            <w:r>
              <w:rPr>
                <w:rFonts w:ascii="Times New Roman" w:cs="Times New Roman" w:eastAsia="Times New Roman" w:hAnsi="Times New Roman"/>
                <w:sz w:val="20"/>
                <w:szCs w:val="20"/>
                <w:color w:val="231F20"/>
              </w:rPr>
              <w:t>Statutory rate</w:t>
            </w:r>
          </w:p>
        </w:tc>
        <w:tc>
          <w:tcPr>
            <w:tcW w:w="300" w:type="dxa"/>
            <w:vAlign w:val="bottom"/>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3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(27,188)</w:t>
            </w:r>
          </w:p>
        </w:tc>
        <w:tc>
          <w:tcPr>
            <w:tcW w:w="280" w:type="dxa"/>
            <w:vAlign w:val="bottom"/>
            <w:shd w:val="clear" w:color="auto" w:fill="EBECEC"/>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21.00%</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4820" w:type="dxa"/>
            <w:vAlign w:val="bottom"/>
            <w:gridSpan w:val="2"/>
          </w:tcPr>
          <w:p>
            <w:pPr>
              <w:spacing w:after="0" w:line="243" w:lineRule="exact"/>
              <w:rPr>
                <w:sz w:val="20"/>
                <w:szCs w:val="20"/>
                <w:color w:val="auto"/>
              </w:rPr>
            </w:pPr>
            <w:r>
              <w:rPr>
                <w:rFonts w:ascii="Times New Roman" w:cs="Times New Roman" w:eastAsia="Times New Roman" w:hAnsi="Times New Roman"/>
                <w:sz w:val="20"/>
                <w:szCs w:val="20"/>
                <w:color w:val="231F20"/>
              </w:rPr>
              <w:t xml:space="preserve">State taxes, net of federal benefit </w:t>
            </w:r>
            <w:r>
              <w:rPr>
                <w:rFonts w:ascii="Times New Roman" w:cs="Times New Roman" w:eastAsia="Times New Roman" w:hAnsi="Times New Roman"/>
                <w:sz w:val="26"/>
                <w:szCs w:val="26"/>
                <w:color w:val="231F20"/>
                <w:vertAlign w:val="superscript"/>
              </w:rPr>
              <w:t>(1)</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(186)</w:t>
            </w:r>
          </w:p>
        </w:tc>
        <w:tc>
          <w:tcPr>
            <w:tcW w:w="280" w:type="dxa"/>
            <w:vAlign w:val="bottom"/>
          </w:tcPr>
          <w:p>
            <w:pPr>
              <w:spacing w:after="0"/>
              <w:rPr>
                <w:sz w:val="21"/>
                <w:szCs w:val="21"/>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0.14%</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4820" w:type="dxa"/>
            <w:vAlign w:val="bottom"/>
            <w:gridSpan w:val="2"/>
            <w:shd w:val="clear" w:color="auto" w:fill="EBECEC"/>
          </w:tcPr>
          <w:p>
            <w:pPr>
              <w:spacing w:after="0"/>
              <w:rPr>
                <w:sz w:val="20"/>
                <w:szCs w:val="20"/>
                <w:color w:val="auto"/>
              </w:rPr>
            </w:pPr>
            <w:r>
              <w:rPr>
                <w:rFonts w:ascii="Times New Roman" w:cs="Times New Roman" w:eastAsia="Times New Roman" w:hAnsi="Times New Roman"/>
                <w:sz w:val="20"/>
                <w:szCs w:val="20"/>
                <w:color w:val="231F20"/>
              </w:rPr>
              <w:t>Tax credits</w:t>
            </w:r>
          </w:p>
        </w:tc>
        <w:tc>
          <w:tcPr>
            <w:tcW w:w="300" w:type="dxa"/>
            <w:vAlign w:val="bottom"/>
            <w:shd w:val="clear" w:color="auto" w:fill="EBECEC"/>
          </w:tcPr>
          <w:p>
            <w:pPr>
              <w:spacing w:after="0"/>
              <w:rPr>
                <w:sz w:val="21"/>
                <w:szCs w:val="21"/>
                <w:color w:val="auto"/>
              </w:rPr>
            </w:pPr>
          </w:p>
        </w:tc>
        <w:tc>
          <w:tcPr>
            <w:tcW w:w="1340" w:type="dxa"/>
            <w:vAlign w:val="bottom"/>
            <w:shd w:val="clear" w:color="auto" w:fill="EBECEC"/>
          </w:tcPr>
          <w:p>
            <w:pPr>
              <w:spacing w:after="0"/>
              <w:rPr>
                <w:sz w:val="21"/>
                <w:szCs w:val="21"/>
                <w:color w:val="auto"/>
              </w:rPr>
            </w:pPr>
          </w:p>
        </w:tc>
        <w:tc>
          <w:tcPr>
            <w:tcW w:w="280" w:type="dxa"/>
            <w:vAlign w:val="bottom"/>
            <w:shd w:val="clear" w:color="auto" w:fill="EBECEC"/>
          </w:tcPr>
          <w:p>
            <w:pPr>
              <w:spacing w:after="0"/>
              <w:rPr>
                <w:sz w:val="21"/>
                <w:szCs w:val="21"/>
                <w:color w:val="auto"/>
              </w:rPr>
            </w:pPr>
          </w:p>
        </w:tc>
        <w:tc>
          <w:tcPr>
            <w:tcW w:w="1480" w:type="dxa"/>
            <w:vAlign w:val="bottom"/>
            <w:shd w:val="clear" w:color="auto" w:fill="EBECEC"/>
          </w:tcPr>
          <w:p>
            <w:pPr>
              <w:spacing w:after="0"/>
              <w:rPr>
                <w:sz w:val="21"/>
                <w:szCs w:val="21"/>
                <w:color w:val="auto"/>
              </w:rPr>
            </w:pPr>
          </w:p>
        </w:tc>
        <w:tc>
          <w:tcPr>
            <w:tcW w:w="30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48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231F20"/>
              </w:rPr>
              <w:t>Federal research and development credit</w:t>
            </w:r>
          </w:p>
        </w:tc>
        <w:tc>
          <w:tcPr>
            <w:tcW w:w="30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(5,196)</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4.01%</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4820" w:type="dxa"/>
            <w:vAlign w:val="bottom"/>
            <w:gridSpan w:val="2"/>
            <w:shd w:val="clear" w:color="auto" w:fill="EBECEC"/>
          </w:tcPr>
          <w:p>
            <w:pPr>
              <w:spacing w:after="0"/>
              <w:rPr>
                <w:sz w:val="20"/>
                <w:szCs w:val="20"/>
                <w:color w:val="auto"/>
              </w:rPr>
            </w:pPr>
            <w:r>
              <w:rPr>
                <w:rFonts w:ascii="Times New Roman" w:cs="Times New Roman" w:eastAsia="Times New Roman" w:hAnsi="Times New Roman"/>
                <w:sz w:val="20"/>
                <w:szCs w:val="20"/>
                <w:color w:val="231F20"/>
              </w:rPr>
              <w:t>Changes in valuation allowance</w:t>
            </w:r>
          </w:p>
        </w:tc>
        <w:tc>
          <w:tcPr>
            <w:tcW w:w="300" w:type="dxa"/>
            <w:vAlign w:val="bottom"/>
            <w:shd w:val="clear" w:color="auto" w:fill="EBECEC"/>
          </w:tcPr>
          <w:p>
            <w:pPr>
              <w:spacing w:after="0"/>
              <w:rPr>
                <w:sz w:val="21"/>
                <w:szCs w:val="21"/>
                <w:color w:val="auto"/>
              </w:rPr>
            </w:pPr>
          </w:p>
        </w:tc>
        <w:tc>
          <w:tcPr>
            <w:tcW w:w="13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30,433</w:t>
            </w:r>
          </w:p>
        </w:tc>
        <w:tc>
          <w:tcPr>
            <w:tcW w:w="280" w:type="dxa"/>
            <w:vAlign w:val="bottom"/>
            <w:shd w:val="clear" w:color="auto" w:fill="EBECEC"/>
          </w:tcPr>
          <w:p>
            <w:pPr>
              <w:spacing w:after="0"/>
              <w:rPr>
                <w:sz w:val="21"/>
                <w:szCs w:val="21"/>
                <w:color w:val="auto"/>
              </w:rPr>
            </w:pPr>
          </w:p>
        </w:tc>
        <w:tc>
          <w:tcPr>
            <w:tcW w:w="1780" w:type="dxa"/>
            <w:vAlign w:val="bottom"/>
            <w:gridSpan w:val="2"/>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rPr>
              <w:t>(23.50)%</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Nontaxable or nondeductible items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1,189</w:t>
            </w:r>
          </w:p>
        </w:tc>
        <w:tc>
          <w:tcPr>
            <w:tcW w:w="280" w:type="dxa"/>
            <w:vAlign w:val="bottom"/>
          </w:tcPr>
          <w:p>
            <w:pPr>
              <w:spacing w:after="0"/>
              <w:rPr>
                <w:sz w:val="21"/>
                <w:szCs w:val="21"/>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(0.92)%</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4820" w:type="dxa"/>
            <w:vAlign w:val="bottom"/>
            <w:gridSpan w:val="2"/>
            <w:shd w:val="clear" w:color="auto" w:fill="EBECEC"/>
          </w:tcPr>
          <w:p>
            <w:pPr>
              <w:spacing w:after="0"/>
              <w:rPr>
                <w:sz w:val="20"/>
                <w:szCs w:val="20"/>
                <w:color w:val="auto"/>
              </w:rPr>
            </w:pPr>
            <w:r>
              <w:rPr>
                <w:rFonts w:ascii="Times New Roman" w:cs="Times New Roman" w:eastAsia="Times New Roman" w:hAnsi="Times New Roman"/>
                <w:sz w:val="20"/>
                <w:szCs w:val="20"/>
                <w:color w:val="231F20"/>
              </w:rPr>
              <w:t>Other adjustments</w:t>
            </w:r>
          </w:p>
        </w:tc>
        <w:tc>
          <w:tcPr>
            <w:tcW w:w="300" w:type="dxa"/>
            <w:vAlign w:val="bottom"/>
            <w:shd w:val="clear" w:color="auto" w:fill="EBECEC"/>
          </w:tcPr>
          <w:p>
            <w:pPr>
              <w:spacing w:after="0"/>
              <w:rPr>
                <w:sz w:val="21"/>
                <w:szCs w:val="21"/>
                <w:color w:val="auto"/>
              </w:rPr>
            </w:pPr>
          </w:p>
        </w:tc>
        <w:tc>
          <w:tcPr>
            <w:tcW w:w="1340" w:type="dxa"/>
            <w:vAlign w:val="bottom"/>
            <w:shd w:val="clear" w:color="auto" w:fill="EBECEC"/>
          </w:tcPr>
          <w:p>
            <w:pPr>
              <w:spacing w:after="0"/>
              <w:rPr>
                <w:sz w:val="21"/>
                <w:szCs w:val="21"/>
                <w:color w:val="auto"/>
              </w:rPr>
            </w:pPr>
          </w:p>
        </w:tc>
        <w:tc>
          <w:tcPr>
            <w:tcW w:w="280" w:type="dxa"/>
            <w:vAlign w:val="bottom"/>
            <w:shd w:val="clear" w:color="auto" w:fill="EBECEC"/>
          </w:tcPr>
          <w:p>
            <w:pPr>
              <w:spacing w:after="0"/>
              <w:rPr>
                <w:sz w:val="21"/>
                <w:szCs w:val="21"/>
                <w:color w:val="auto"/>
              </w:rPr>
            </w:pPr>
          </w:p>
        </w:tc>
        <w:tc>
          <w:tcPr>
            <w:tcW w:w="1480" w:type="dxa"/>
            <w:vAlign w:val="bottom"/>
            <w:shd w:val="clear" w:color="auto" w:fill="EBECEC"/>
          </w:tcPr>
          <w:p>
            <w:pPr>
              <w:spacing w:after="0"/>
              <w:rPr>
                <w:sz w:val="21"/>
                <w:szCs w:val="21"/>
                <w:color w:val="auto"/>
              </w:rPr>
            </w:pPr>
          </w:p>
        </w:tc>
        <w:tc>
          <w:tcPr>
            <w:tcW w:w="30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48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231F20"/>
              </w:rPr>
              <w:t>Other</w:t>
            </w:r>
          </w:p>
        </w:tc>
        <w:tc>
          <w:tcPr>
            <w:tcW w:w="30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(17)</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0.01%</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4820" w:type="dxa"/>
            <w:vAlign w:val="bottom"/>
            <w:gridSpan w:val="2"/>
            <w:shd w:val="clear" w:color="auto" w:fill="EBECEC"/>
          </w:tcPr>
          <w:p>
            <w:pPr>
              <w:spacing w:after="0"/>
              <w:rPr>
                <w:sz w:val="20"/>
                <w:szCs w:val="20"/>
                <w:color w:val="auto"/>
              </w:rPr>
            </w:pPr>
            <w:r>
              <w:rPr>
                <w:rFonts w:ascii="Times New Roman" w:cs="Times New Roman" w:eastAsia="Times New Roman" w:hAnsi="Times New Roman"/>
                <w:sz w:val="20"/>
                <w:szCs w:val="20"/>
                <w:color w:val="231F20"/>
              </w:rPr>
              <w:t>Change in unrecognized tax benefits</w:t>
            </w:r>
          </w:p>
        </w:tc>
        <w:tc>
          <w:tcPr>
            <w:tcW w:w="300" w:type="dxa"/>
            <w:vAlign w:val="bottom"/>
            <w:shd w:val="clear" w:color="auto" w:fill="EBECEC"/>
          </w:tcPr>
          <w:p>
            <w:pPr>
              <w:spacing w:after="0"/>
              <w:rPr>
                <w:sz w:val="21"/>
                <w:szCs w:val="21"/>
                <w:color w:val="auto"/>
              </w:rPr>
            </w:pPr>
          </w:p>
        </w:tc>
        <w:tc>
          <w:tcPr>
            <w:tcW w:w="13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965</w:t>
            </w:r>
          </w:p>
        </w:tc>
        <w:tc>
          <w:tcPr>
            <w:tcW w:w="280" w:type="dxa"/>
            <w:vAlign w:val="bottom"/>
            <w:shd w:val="clear" w:color="auto" w:fill="EBECEC"/>
          </w:tcPr>
          <w:p>
            <w:pPr>
              <w:spacing w:after="0"/>
              <w:rPr>
                <w:sz w:val="21"/>
                <w:szCs w:val="21"/>
                <w:color w:val="auto"/>
              </w:rPr>
            </w:pPr>
          </w:p>
        </w:tc>
        <w:tc>
          <w:tcPr>
            <w:tcW w:w="1780" w:type="dxa"/>
            <w:vAlign w:val="bottom"/>
            <w:gridSpan w:val="2"/>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rPr>
              <w:t>(0.74)%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820" w:type="dxa"/>
            <w:vAlign w:val="bottom"/>
            <w:tcBorders>
              <w:top w:val="single" w:sz="8" w:color="EBECEC"/>
            </w:tcBorders>
            <w:gridSpan w:val="2"/>
            <w:vMerge w:val="restart"/>
          </w:tcPr>
          <w:p>
            <w:pPr>
              <w:spacing w:after="0"/>
              <w:rPr>
                <w:sz w:val="20"/>
                <w:szCs w:val="20"/>
                <w:color w:val="auto"/>
              </w:rPr>
            </w:pPr>
            <w:r>
              <w:rPr>
                <w:rFonts w:ascii="Times New Roman" w:cs="Times New Roman" w:eastAsia="Times New Roman" w:hAnsi="Times New Roman"/>
                <w:sz w:val="20"/>
                <w:szCs w:val="20"/>
                <w:color w:val="231F20"/>
              </w:rPr>
              <w:t>Provisions for income taxes</w:t>
            </w:r>
          </w:p>
        </w:tc>
        <w:tc>
          <w:tcPr>
            <w:tcW w:w="300" w:type="dxa"/>
            <w:vAlign w:val="bottom"/>
            <w:tcBorders>
              <w:top w:val="single" w:sz="8" w:color="231F20"/>
            </w:tcBorders>
            <w:shd w:val="clear" w:color="auto" w:fill="231F20"/>
          </w:tcPr>
          <w:p>
            <w:pPr>
              <w:spacing w:after="0" w:line="20" w:lineRule="exact"/>
              <w:rPr>
                <w:sz w:val="1"/>
                <w:szCs w:val="1"/>
                <w:color w:val="auto"/>
              </w:rPr>
            </w:pPr>
          </w:p>
        </w:tc>
        <w:tc>
          <w:tcPr>
            <w:tcW w:w="1340" w:type="dxa"/>
            <w:vAlign w:val="bottom"/>
            <w:tcBorders>
              <w:top w:val="single" w:sz="8" w:color="231F20"/>
            </w:tcBorders>
            <w:shd w:val="clear" w:color="auto" w:fill="231F20"/>
          </w:tcPr>
          <w:p>
            <w:pPr>
              <w:spacing w:after="0" w:line="20" w:lineRule="exact"/>
              <w:rPr>
                <w:sz w:val="1"/>
                <w:szCs w:val="1"/>
                <w:color w:val="auto"/>
              </w:rPr>
            </w:pPr>
          </w:p>
        </w:tc>
        <w:tc>
          <w:tcPr>
            <w:tcW w:w="280" w:type="dxa"/>
            <w:vAlign w:val="bottom"/>
            <w:tcBorders>
              <w:top w:val="single" w:sz="8" w:color="EBECEC"/>
            </w:tcBorders>
          </w:tcPr>
          <w:p>
            <w:pPr>
              <w:spacing w:after="0" w:line="20" w:lineRule="exact"/>
              <w:rPr>
                <w:sz w:val="1"/>
                <w:szCs w:val="1"/>
                <w:color w:val="auto"/>
              </w:rPr>
            </w:pPr>
          </w:p>
        </w:tc>
        <w:tc>
          <w:tcPr>
            <w:tcW w:w="1480" w:type="dxa"/>
            <w:vAlign w:val="bottom"/>
            <w:tcBorders>
              <w:top w:val="single" w:sz="8" w:color="231F20"/>
            </w:tcBorders>
            <w:shd w:val="clear" w:color="auto" w:fill="231F20"/>
          </w:tcPr>
          <w:p>
            <w:pPr>
              <w:spacing w:after="0" w:line="20" w:lineRule="exact"/>
              <w:rPr>
                <w:sz w:val="1"/>
                <w:szCs w:val="1"/>
                <w:color w:val="auto"/>
              </w:rPr>
            </w:pPr>
          </w:p>
        </w:tc>
        <w:tc>
          <w:tcPr>
            <w:tcW w:w="300" w:type="dxa"/>
            <w:vAlign w:val="bottom"/>
            <w:tcBorders>
              <w:top w:val="single" w:sz="8" w:color="EBECE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40" w:type="dxa"/>
            <w:vAlign w:val="bottom"/>
          </w:tcPr>
          <w:p>
            <w:pPr>
              <w:spacing w:after="0"/>
              <w:rPr>
                <w:sz w:val="22"/>
                <w:szCs w:val="22"/>
                <w:color w:val="auto"/>
              </w:rPr>
            </w:pPr>
          </w:p>
        </w:tc>
        <w:tc>
          <w:tcPr>
            <w:tcW w:w="4820" w:type="dxa"/>
            <w:vAlign w:val="bottom"/>
            <w:gridSpan w:val="2"/>
            <w:vMerge w:val="continue"/>
          </w:tcPr>
          <w:p>
            <w:pPr>
              <w:spacing w:after="0"/>
              <w:rPr>
                <w:sz w:val="22"/>
                <w:szCs w:val="22"/>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spacing w:after="0"/>
              <w:rPr>
                <w:sz w:val="22"/>
                <w:szCs w:val="22"/>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34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40" w:type="dxa"/>
            <w:vAlign w:val="bottom"/>
            <w:tcBorders>
              <w:bottom w:val="single" w:sz="8" w:color="231F20"/>
            </w:tcBorders>
          </w:tcPr>
          <w:p>
            <w:pPr>
              <w:spacing w:after="0"/>
              <w:rPr>
                <w:sz w:val="6"/>
                <w:szCs w:val="6"/>
                <w:color w:val="auto"/>
              </w:rPr>
            </w:pPr>
          </w:p>
        </w:tc>
        <w:tc>
          <w:tcPr>
            <w:tcW w:w="1740" w:type="dxa"/>
            <w:vAlign w:val="bottom"/>
            <w:tcBorders>
              <w:bottom w:val="single" w:sz="8" w:color="231F20"/>
            </w:tcBorders>
          </w:tcPr>
          <w:p>
            <w:pPr>
              <w:spacing w:after="0"/>
              <w:rPr>
                <w:sz w:val="6"/>
                <w:szCs w:val="6"/>
                <w:color w:val="auto"/>
              </w:rPr>
            </w:pPr>
          </w:p>
        </w:tc>
        <w:tc>
          <w:tcPr>
            <w:tcW w:w="3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4999355</wp:posOffset>
                </wp:positionH>
                <wp:positionV relativeFrom="paragraph">
                  <wp:posOffset>-1674495</wp:posOffset>
                </wp:positionV>
                <wp:extent cx="949960" cy="15494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960" cy="154940"/>
                        </a:xfrm>
                        <a:prstGeom prst="rect">
                          <a:avLst/>
                        </a:prstGeom>
                        <a:solidFill>
                          <a:srgbClr val="EBECEC"/>
                        </a:solidFill>
                      </wps:spPr>
                      <wps:bodyPr/>
                    </wps:wsp>
                  </a:graphicData>
                </a:graphic>
              </wp:anchor>
            </w:drawing>
          </mc:Choice>
          <mc:Fallback>
            <w:pict>
              <v:rect id="Shape 40" o:spid="_x0000_s1065" style="position:absolute;margin-left:393.65pt;margin-top:-131.8499pt;width:74.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ECEC" stroked="f"/>
            </w:pict>
          </mc:Fallback>
        </mc:AlternateContent>
        <mc:AlternateContent>
          <mc:Choice Requires="wps">
            <w:drawing>
              <wp:anchor simplePos="0" relativeHeight="251657728" behindDoc="1" locked="0" layoutInCell="0" allowOverlap="1">
                <wp:simplePos x="0" y="0"/>
                <wp:positionH relativeFrom="column">
                  <wp:posOffset>5949315</wp:posOffset>
                </wp:positionH>
                <wp:positionV relativeFrom="paragraph">
                  <wp:posOffset>-1684020</wp:posOffset>
                </wp:positionV>
                <wp:extent cx="188595" cy="16446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595" cy="164465"/>
                        </a:xfrm>
                        <a:prstGeom prst="rect">
                          <a:avLst/>
                        </a:prstGeom>
                        <a:solidFill>
                          <a:srgbClr val="EBECEC"/>
                        </a:solidFill>
                      </wps:spPr>
                      <wps:bodyPr/>
                    </wps:wsp>
                  </a:graphicData>
                </a:graphic>
              </wp:anchor>
            </w:drawing>
          </mc:Choice>
          <mc:Fallback>
            <w:pict>
              <v:rect id="Shape 41" o:spid="_x0000_s1066" style="position:absolute;margin-left:468.45pt;margin-top:-132.5999pt;width:14.8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ECEC" stroked="f"/>
            </w:pict>
          </mc:Fallback>
        </mc:AlternateConten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231F20"/>
        </w:rPr>
        <w:t>(1) State taxes in California for 2025 made up the majority (greater than 50%) of the tax effect in this category.</w:t>
      </w:r>
    </w:p>
    <w:p>
      <w:pPr>
        <w:spacing w:after="0" w:line="239" w:lineRule="exact"/>
        <w:rPr>
          <w:sz w:val="20"/>
          <w:szCs w:val="20"/>
          <w:color w:val="auto"/>
        </w:rPr>
      </w:pPr>
    </w:p>
    <w:p>
      <w:pPr>
        <w:ind w:right="200" w:firstLine="720"/>
        <w:spacing w:after="0" w:line="277" w:lineRule="auto"/>
        <w:rPr>
          <w:sz w:val="20"/>
          <w:szCs w:val="20"/>
          <w:color w:val="auto"/>
        </w:rPr>
      </w:pPr>
      <w:r>
        <w:rPr>
          <w:rFonts w:ascii="Times New Roman" w:cs="Times New Roman" w:eastAsia="Times New Roman" w:hAnsi="Times New Roman"/>
          <w:sz w:val="20"/>
          <w:szCs w:val="20"/>
          <w:color w:val="231F20"/>
        </w:rPr>
        <w:t>Significant components of the Company’s provision for income taxes and income taxes computed using the U.S. federal statutory corporate tax rate for the year ended December 31, 2024 were as follows (in thousands):</w:t>
      </w:r>
    </w:p>
    <w:p>
      <w:pPr>
        <w:spacing w:after="0" w:line="372" w:lineRule="exact"/>
        <w:rPr>
          <w:sz w:val="20"/>
          <w:szCs w:val="20"/>
          <w:color w:val="auto"/>
        </w:rPr>
      </w:pPr>
    </w:p>
    <w:tbl>
      <w:tblPr>
        <w:tblLayout w:type="fixed"/>
        <w:tblInd w:w="1900" w:type="dxa"/>
        <w:tblCellMar>
          <w:top w:w="0" w:type="dxa"/>
          <w:left w:w="0" w:type="dxa"/>
          <w:bottom w:w="0" w:type="dxa"/>
          <w:right w:w="0" w:type="dxa"/>
        </w:tblCellMar>
      </w:tblPr>
      <w:tr>
        <w:trPr>
          <w:trHeight w:val="227"/>
        </w:trPr>
        <w:tc>
          <w:tcPr>
            <w:tcW w:w="3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tcPr>
          <w:p>
            <w:pPr>
              <w:jc w:val="right"/>
              <w:ind w:right="60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100" w:type="dxa"/>
            <w:vAlign w:val="bottom"/>
          </w:tcPr>
          <w:p>
            <w:pPr>
              <w:spacing w:after="0"/>
              <w:rPr>
                <w:sz w:val="19"/>
                <w:szCs w:val="19"/>
                <w:color w:val="auto"/>
              </w:rPr>
            </w:pPr>
          </w:p>
        </w:tc>
      </w:tr>
      <w:tr>
        <w:trPr>
          <w:trHeight w:val="216"/>
        </w:trPr>
        <w:tc>
          <w:tcPr>
            <w:tcW w:w="3920" w:type="dxa"/>
            <w:vAlign w:val="bottom"/>
            <w:tcBorders>
              <w:bottom w:val="single" w:sz="8" w:color="EBECEC"/>
            </w:tcBorders>
          </w:tcPr>
          <w:p>
            <w:pPr>
              <w:spacing w:after="0"/>
              <w:rPr>
                <w:sz w:val="18"/>
                <w:szCs w:val="18"/>
                <w:color w:val="auto"/>
              </w:rPr>
            </w:pPr>
          </w:p>
        </w:tc>
        <w:tc>
          <w:tcPr>
            <w:tcW w:w="1260" w:type="dxa"/>
            <w:vAlign w:val="bottom"/>
            <w:tcBorders>
              <w:bottom w:val="single" w:sz="8" w:color="EBECEC"/>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400" w:type="dxa"/>
            <w:vAlign w:val="bottom"/>
            <w:tcBorders>
              <w:bottom w:val="single" w:sz="8" w:color="231F20"/>
            </w:tcBorders>
          </w:tcPr>
          <w:p>
            <w:pPr>
              <w:jc w:val="right"/>
              <w:ind w:right="462"/>
              <w:spacing w:after="0"/>
              <w:rPr>
                <w:sz w:val="20"/>
                <w:szCs w:val="20"/>
                <w:color w:val="auto"/>
              </w:rPr>
            </w:pPr>
            <w:r>
              <w:rPr>
                <w:rFonts w:ascii="Times New Roman" w:cs="Times New Roman" w:eastAsia="Times New Roman" w:hAnsi="Times New Roman"/>
                <w:sz w:val="18"/>
                <w:szCs w:val="18"/>
                <w:b w:val="1"/>
                <w:bCs w:val="1"/>
                <w:color w:val="231F20"/>
              </w:rPr>
              <w:t>Amount</w:t>
            </w:r>
          </w:p>
        </w:tc>
        <w:tc>
          <w:tcPr>
            <w:tcW w:w="100" w:type="dxa"/>
            <w:vAlign w:val="bottom"/>
            <w:tcBorders>
              <w:bottom w:val="single" w:sz="8" w:color="EBECEC"/>
            </w:tcBorders>
          </w:tcPr>
          <w:p>
            <w:pPr>
              <w:spacing w:after="0"/>
              <w:rPr>
                <w:sz w:val="18"/>
                <w:szCs w:val="18"/>
                <w:color w:val="auto"/>
              </w:rPr>
            </w:pPr>
          </w:p>
        </w:tc>
      </w:tr>
      <w:tr>
        <w:trPr>
          <w:trHeight w:val="239"/>
        </w:trPr>
        <w:tc>
          <w:tcPr>
            <w:tcW w:w="39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Statutory rate</w:t>
            </w:r>
          </w:p>
        </w:tc>
        <w:tc>
          <w:tcPr>
            <w:tcW w:w="1260" w:type="dxa"/>
            <w:vAlign w:val="bottom"/>
            <w:shd w:val="clear" w:color="auto" w:fill="EBECEC"/>
          </w:tcPr>
          <w:p>
            <w:pPr>
              <w:spacing w:after="0"/>
              <w:rPr>
                <w:sz w:val="20"/>
                <w:szCs w:val="20"/>
                <w:color w:val="auto"/>
              </w:rPr>
            </w:pPr>
          </w:p>
        </w:tc>
        <w:tc>
          <w:tcPr>
            <w:tcW w:w="340" w:type="dxa"/>
            <w:vAlign w:val="bottom"/>
            <w:shd w:val="clear" w:color="auto" w:fill="EBECEC"/>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4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(26,849)</w:t>
            </w:r>
          </w:p>
        </w:tc>
        <w:tc>
          <w:tcPr>
            <w:tcW w:w="100" w:type="dxa"/>
            <w:vAlign w:val="bottom"/>
            <w:shd w:val="clear" w:color="auto" w:fill="EBECEC"/>
          </w:tcPr>
          <w:p>
            <w:pPr>
              <w:spacing w:after="0"/>
              <w:rPr>
                <w:sz w:val="20"/>
                <w:szCs w:val="20"/>
                <w:color w:val="auto"/>
              </w:rPr>
            </w:pP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231F20"/>
              </w:rPr>
              <w:t>State tax</w:t>
            </w: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(8,691)</w:t>
            </w:r>
          </w:p>
        </w:tc>
        <w:tc>
          <w:tcPr>
            <w:tcW w:w="100" w:type="dxa"/>
            <w:vAlign w:val="bottom"/>
          </w:tcPr>
          <w:p>
            <w:pPr>
              <w:spacing w:after="0"/>
              <w:rPr>
                <w:sz w:val="21"/>
                <w:szCs w:val="21"/>
                <w:color w:val="auto"/>
              </w:rPr>
            </w:pPr>
          </w:p>
        </w:tc>
      </w:tr>
      <w:tr>
        <w:trPr>
          <w:trHeight w:val="244"/>
        </w:trPr>
        <w:tc>
          <w:tcPr>
            <w:tcW w:w="39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Other permanent items</w:t>
            </w:r>
          </w:p>
        </w:tc>
        <w:tc>
          <w:tcPr>
            <w:tcW w:w="1260" w:type="dxa"/>
            <w:vAlign w:val="bottom"/>
            <w:shd w:val="clear" w:color="auto" w:fill="EBECEC"/>
          </w:tcPr>
          <w:p>
            <w:pPr>
              <w:spacing w:after="0"/>
              <w:rPr>
                <w:sz w:val="21"/>
                <w:szCs w:val="21"/>
                <w:color w:val="auto"/>
              </w:rPr>
            </w:pPr>
          </w:p>
        </w:tc>
        <w:tc>
          <w:tcPr>
            <w:tcW w:w="340" w:type="dxa"/>
            <w:vAlign w:val="bottom"/>
            <w:shd w:val="clear" w:color="auto" w:fill="EBECEC"/>
          </w:tcPr>
          <w:p>
            <w:pPr>
              <w:spacing w:after="0"/>
              <w:rPr>
                <w:sz w:val="21"/>
                <w:szCs w:val="21"/>
                <w:color w:val="auto"/>
              </w:rPr>
            </w:pPr>
          </w:p>
        </w:tc>
        <w:tc>
          <w:tcPr>
            <w:tcW w:w="14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132</w:t>
            </w:r>
          </w:p>
        </w:tc>
        <w:tc>
          <w:tcPr>
            <w:tcW w:w="100" w:type="dxa"/>
            <w:vAlign w:val="bottom"/>
            <w:shd w:val="clear" w:color="auto" w:fill="EBECEC"/>
          </w:tcPr>
          <w:p>
            <w:pPr>
              <w:spacing w:after="0"/>
              <w:rPr>
                <w:sz w:val="21"/>
                <w:szCs w:val="21"/>
                <w:color w:val="auto"/>
              </w:rPr>
            </w:pP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231F20"/>
              </w:rPr>
              <w:t>Research and development credit</w:t>
            </w: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(4,989)</w:t>
            </w:r>
          </w:p>
        </w:tc>
      </w:tr>
      <w:tr>
        <w:trPr>
          <w:trHeight w:val="283"/>
        </w:trPr>
        <w:tc>
          <w:tcPr>
            <w:tcW w:w="39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Change in valuation allowance</w:t>
            </w:r>
          </w:p>
        </w:tc>
        <w:tc>
          <w:tcPr>
            <w:tcW w:w="1260" w:type="dxa"/>
            <w:vAlign w:val="bottom"/>
            <w:shd w:val="clear" w:color="auto" w:fill="EBECEC"/>
          </w:tcPr>
          <w:p>
            <w:pPr>
              <w:spacing w:after="0"/>
              <w:rPr>
                <w:sz w:val="24"/>
                <w:szCs w:val="24"/>
                <w:color w:val="auto"/>
              </w:rPr>
            </w:pPr>
          </w:p>
        </w:tc>
        <w:tc>
          <w:tcPr>
            <w:tcW w:w="340" w:type="dxa"/>
            <w:vAlign w:val="bottom"/>
            <w:shd w:val="clear" w:color="auto" w:fill="EBECEC"/>
          </w:tcPr>
          <w:p>
            <w:pPr>
              <w:spacing w:after="0"/>
              <w:rPr>
                <w:sz w:val="24"/>
                <w:szCs w:val="24"/>
                <w:color w:val="auto"/>
              </w:rPr>
            </w:pPr>
          </w:p>
        </w:tc>
        <w:tc>
          <w:tcPr>
            <w:tcW w:w="14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39,631</w:t>
            </w:r>
          </w:p>
        </w:tc>
        <w:tc>
          <w:tcPr>
            <w:tcW w:w="100" w:type="dxa"/>
            <w:vAlign w:val="bottom"/>
            <w:shd w:val="clear" w:color="auto" w:fill="EBECEC"/>
          </w:tcPr>
          <w:p>
            <w:pPr>
              <w:spacing w:after="0"/>
              <w:rPr>
                <w:sz w:val="24"/>
                <w:szCs w:val="24"/>
                <w:color w:val="auto"/>
              </w:rPr>
            </w:pPr>
          </w:p>
        </w:tc>
      </w:tr>
      <w:tr>
        <w:trPr>
          <w:trHeight w:val="283"/>
        </w:trPr>
        <w:tc>
          <w:tcPr>
            <w:tcW w:w="392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Stock-based compensation</w:t>
            </w:r>
          </w:p>
        </w:tc>
        <w:tc>
          <w:tcPr>
            <w:tcW w:w="1260" w:type="dxa"/>
            <w:vAlign w:val="bottom"/>
            <w:tcBorders>
              <w:bottom w:val="single" w:sz="8" w:color="EBECEC"/>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766</w:t>
            </w:r>
          </w:p>
        </w:tc>
        <w:tc>
          <w:tcPr>
            <w:tcW w:w="100" w:type="dxa"/>
            <w:vAlign w:val="bottom"/>
            <w:tcBorders>
              <w:bottom w:val="single" w:sz="8" w:color="EBECEC"/>
            </w:tcBorders>
          </w:tcPr>
          <w:p>
            <w:pPr>
              <w:spacing w:after="0"/>
              <w:rPr>
                <w:sz w:val="24"/>
                <w:szCs w:val="24"/>
                <w:color w:val="auto"/>
              </w:rPr>
            </w:pPr>
          </w:p>
        </w:tc>
      </w:tr>
      <w:tr>
        <w:trPr>
          <w:trHeight w:val="298"/>
        </w:trPr>
        <w:tc>
          <w:tcPr>
            <w:tcW w:w="392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Provisions for income taxes</w:t>
            </w:r>
          </w:p>
        </w:tc>
        <w:tc>
          <w:tcPr>
            <w:tcW w:w="1260" w:type="dxa"/>
            <w:vAlign w:val="bottom"/>
            <w:tcBorders>
              <w:bottom w:val="single" w:sz="8" w:color="EBECEC"/>
            </w:tcBorders>
            <w:shd w:val="clear" w:color="auto" w:fill="EBECEC"/>
          </w:tcPr>
          <w:p>
            <w:pPr>
              <w:spacing w:after="0"/>
              <w:rPr>
                <w:sz w:val="24"/>
                <w:szCs w:val="24"/>
                <w:color w:val="auto"/>
              </w:rPr>
            </w:pPr>
          </w:p>
        </w:tc>
        <w:tc>
          <w:tcPr>
            <w:tcW w:w="340" w:type="dxa"/>
            <w:vAlign w:val="bottom"/>
            <w:tcBorders>
              <w:bottom w:val="single" w:sz="8" w:color="231F20"/>
            </w:tcBorders>
            <w:shd w:val="clear" w:color="auto" w:fill="EBECEC"/>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4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BECEC"/>
            </w:tcBorders>
            <w:shd w:val="clear" w:color="auto" w:fill="EBECEC"/>
          </w:tcPr>
          <w:p>
            <w:pPr>
              <w:spacing w:after="0"/>
              <w:rPr>
                <w:sz w:val="24"/>
                <w:szCs w:val="24"/>
                <w:color w:val="auto"/>
              </w:rPr>
            </w:pPr>
          </w:p>
        </w:tc>
      </w:tr>
      <w:tr>
        <w:trPr>
          <w:trHeight w:val="20"/>
        </w:trPr>
        <w:tc>
          <w:tcPr>
            <w:tcW w:w="3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560"/>
          </w:cols>
          <w:pgMar w:left="540" w:top="750"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231F20"/>
        </w:rPr>
        <w:t>124</w:t>
      </w:r>
    </w:p>
    <w:p>
      <w:pPr>
        <w:sectPr>
          <w:pgSz w:w="11880" w:h="15480" w:orient="portrait"/>
          <w:cols w:equalWidth="0" w:num="1">
            <w:col w:w="10560"/>
          </w:cols>
          <w:pgMar w:left="540" w:top="750" w:right="780" w:bottom="0" w:gutter="0" w:footer="0" w:header="0"/>
          <w:type w:val="continuous"/>
        </w:sectPr>
      </w:pPr>
    </w:p>
    <w:bookmarkStart w:id="130" w:name="page131"/>
    <w:bookmarkEnd w:id="130"/>
    <w:p>
      <w:pPr>
        <w:ind w:left="720"/>
        <w:spacing w:after="0"/>
        <w:rPr>
          <w:sz w:val="20"/>
          <w:szCs w:val="20"/>
          <w:color w:val="auto"/>
        </w:rPr>
      </w:pPr>
      <w:r>
        <w:rPr>
          <w:rFonts w:ascii="Times New Roman" w:cs="Times New Roman" w:eastAsia="Times New Roman" w:hAnsi="Times New Roman"/>
          <w:sz w:val="20"/>
          <w:szCs w:val="20"/>
          <w:color w:val="231F20"/>
        </w:rPr>
        <w:t>Significant components of the Company’s deferred taxes were as follows (in thousands):</w:t>
      </w:r>
    </w:p>
    <w:p>
      <w:pPr>
        <w:spacing w:after="0" w:line="213" w:lineRule="exact"/>
        <w:rPr>
          <w:sz w:val="20"/>
          <w:szCs w:val="20"/>
          <w:color w:val="auto"/>
        </w:rPr>
      </w:pPr>
    </w:p>
    <w:tbl>
      <w:tblPr>
        <w:tblLayout w:type="fixed"/>
        <w:tblInd w:w="1080" w:type="dxa"/>
        <w:tblCellMar>
          <w:top w:w="0" w:type="dxa"/>
          <w:left w:w="0" w:type="dxa"/>
          <w:bottom w:w="0" w:type="dxa"/>
          <w:right w:w="0" w:type="dxa"/>
        </w:tblCellMar>
      </w:tblPr>
      <w:tr>
        <w:trPr>
          <w:trHeight w:val="252"/>
        </w:trPr>
        <w:tc>
          <w:tcPr>
            <w:tcW w:w="4600" w:type="dxa"/>
            <w:vAlign w:val="bottom"/>
          </w:tcPr>
          <w:p>
            <w:pPr>
              <w:spacing w:after="0"/>
              <w:rPr>
                <w:sz w:val="21"/>
                <w:szCs w:val="21"/>
                <w:color w:val="auto"/>
              </w:rPr>
            </w:pPr>
          </w:p>
        </w:tc>
        <w:tc>
          <w:tcPr>
            <w:tcW w:w="1120" w:type="dxa"/>
            <w:vAlign w:val="bottom"/>
            <w:tcBorders>
              <w:bottom w:val="single" w:sz="8" w:color="231F20"/>
            </w:tcBorders>
          </w:tcPr>
          <w:p>
            <w:pPr>
              <w:spacing w:after="0"/>
              <w:rPr>
                <w:sz w:val="21"/>
                <w:szCs w:val="21"/>
                <w:color w:val="auto"/>
              </w:rPr>
            </w:pPr>
          </w:p>
        </w:tc>
        <w:tc>
          <w:tcPr>
            <w:tcW w:w="166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231F20"/>
              </w:rPr>
              <w:t>As of December 31,</w:t>
            </w:r>
          </w:p>
        </w:tc>
        <w:tc>
          <w:tcPr>
            <w:tcW w:w="118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r>
      <w:tr>
        <w:trPr>
          <w:trHeight w:val="221"/>
        </w:trPr>
        <w:tc>
          <w:tcPr>
            <w:tcW w:w="4600" w:type="dxa"/>
            <w:vAlign w:val="bottom"/>
            <w:tcBorders>
              <w:bottom w:val="single" w:sz="8" w:color="EBECEC"/>
            </w:tcBorders>
          </w:tcPr>
          <w:p>
            <w:pPr>
              <w:spacing w:after="0"/>
              <w:rPr>
                <w:sz w:val="19"/>
                <w:szCs w:val="19"/>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740" w:type="dxa"/>
            <w:vAlign w:val="bottom"/>
            <w:tcBorders>
              <w:bottom w:val="single" w:sz="8" w:color="231F20"/>
            </w:tcBorders>
          </w:tcPr>
          <w:p>
            <w:pPr>
              <w:spacing w:after="0"/>
              <w:rPr>
                <w:sz w:val="19"/>
                <w:szCs w:val="19"/>
                <w:color w:val="auto"/>
              </w:rPr>
            </w:pPr>
          </w:p>
        </w:tc>
        <w:tc>
          <w:tcPr>
            <w:tcW w:w="80" w:type="dxa"/>
            <w:vAlign w:val="bottom"/>
            <w:tcBorders>
              <w:bottom w:val="single" w:sz="8" w:color="EBECEC"/>
            </w:tcBorders>
          </w:tcPr>
          <w:p>
            <w:pPr>
              <w:spacing w:after="0"/>
              <w:rPr>
                <w:sz w:val="19"/>
                <w:szCs w:val="19"/>
                <w:color w:val="auto"/>
              </w:rPr>
            </w:pPr>
          </w:p>
        </w:tc>
        <w:tc>
          <w:tcPr>
            <w:tcW w:w="180" w:type="dxa"/>
            <w:vAlign w:val="bottom"/>
            <w:tcBorders>
              <w:bottom w:val="single" w:sz="8" w:color="EBECEC"/>
            </w:tcBorders>
          </w:tcPr>
          <w:p>
            <w:pPr>
              <w:spacing w:after="0"/>
              <w:rPr>
                <w:sz w:val="19"/>
                <w:szCs w:val="19"/>
                <w:color w:val="auto"/>
              </w:rPr>
            </w:pPr>
          </w:p>
        </w:tc>
        <w:tc>
          <w:tcPr>
            <w:tcW w:w="660" w:type="dxa"/>
            <w:vAlign w:val="bottom"/>
            <w:tcBorders>
              <w:bottom w:val="single" w:sz="8" w:color="231F20"/>
            </w:tcBorders>
          </w:tcPr>
          <w:p>
            <w:pPr>
              <w:spacing w:after="0"/>
              <w:rPr>
                <w:sz w:val="19"/>
                <w:szCs w:val="19"/>
                <w:color w:val="auto"/>
              </w:rPr>
            </w:pPr>
          </w:p>
        </w:tc>
        <w:tc>
          <w:tcPr>
            <w:tcW w:w="1180" w:type="dxa"/>
            <w:vAlign w:val="bottom"/>
            <w:tcBorders>
              <w:bottom w:val="single" w:sz="8" w:color="231F20"/>
            </w:tcBorders>
          </w:tcPr>
          <w:p>
            <w:pPr>
              <w:jc w:val="right"/>
              <w:ind w:right="66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Borders>
              <w:bottom w:val="single" w:sz="8" w:color="EBECEC"/>
            </w:tcBorders>
          </w:tcPr>
          <w:p>
            <w:pPr>
              <w:spacing w:after="0"/>
              <w:rPr>
                <w:sz w:val="19"/>
                <w:szCs w:val="19"/>
                <w:color w:val="auto"/>
              </w:rPr>
            </w:pPr>
          </w:p>
        </w:tc>
      </w:tr>
      <w:tr>
        <w:trPr>
          <w:trHeight w:val="239"/>
        </w:trPr>
        <w:tc>
          <w:tcPr>
            <w:tcW w:w="4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Deferred tax assets:</w:t>
            </w:r>
          </w:p>
        </w:tc>
        <w:tc>
          <w:tcPr>
            <w:tcW w:w="1120" w:type="dxa"/>
            <w:vAlign w:val="bottom"/>
            <w:shd w:val="clear" w:color="auto" w:fill="EBECEC"/>
          </w:tcPr>
          <w:p>
            <w:pPr>
              <w:spacing w:after="0"/>
              <w:rPr>
                <w:sz w:val="20"/>
                <w:szCs w:val="20"/>
                <w:color w:val="auto"/>
              </w:rPr>
            </w:pPr>
          </w:p>
        </w:tc>
        <w:tc>
          <w:tcPr>
            <w:tcW w:w="74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c>
          <w:tcPr>
            <w:tcW w:w="180" w:type="dxa"/>
            <w:vAlign w:val="bottom"/>
            <w:shd w:val="clear" w:color="auto" w:fill="EBECEC"/>
          </w:tcPr>
          <w:p>
            <w:pPr>
              <w:spacing w:after="0"/>
              <w:rPr>
                <w:sz w:val="20"/>
                <w:szCs w:val="20"/>
                <w:color w:val="auto"/>
              </w:rPr>
            </w:pPr>
          </w:p>
        </w:tc>
        <w:tc>
          <w:tcPr>
            <w:tcW w:w="660" w:type="dxa"/>
            <w:vAlign w:val="bottom"/>
            <w:shd w:val="clear" w:color="auto" w:fill="EBECEC"/>
          </w:tcPr>
          <w:p>
            <w:pPr>
              <w:spacing w:after="0"/>
              <w:rPr>
                <w:sz w:val="20"/>
                <w:szCs w:val="20"/>
                <w:color w:val="auto"/>
              </w:rPr>
            </w:pPr>
          </w:p>
        </w:tc>
        <w:tc>
          <w:tcPr>
            <w:tcW w:w="118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r>
      <w:tr>
        <w:trPr>
          <w:trHeight w:val="244"/>
        </w:trPr>
        <w:tc>
          <w:tcPr>
            <w:tcW w:w="46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Net operating loss carryforwards</w:t>
            </w:r>
          </w:p>
        </w:tc>
        <w:tc>
          <w:tcPr>
            <w:tcW w:w="1120" w:type="dxa"/>
            <w:vAlign w:val="bottom"/>
          </w:tcPr>
          <w:p>
            <w:pPr>
              <w:jc w:val="right"/>
              <w:ind w:right="923"/>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129,331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90,687</w:t>
            </w:r>
          </w:p>
        </w:tc>
        <w:tc>
          <w:tcPr>
            <w:tcW w:w="80" w:type="dxa"/>
            <w:vAlign w:val="bottom"/>
          </w:tcPr>
          <w:p>
            <w:pPr>
              <w:spacing w:after="0"/>
              <w:rPr>
                <w:sz w:val="21"/>
                <w:szCs w:val="21"/>
                <w:color w:val="auto"/>
              </w:rPr>
            </w:pPr>
          </w:p>
        </w:tc>
      </w:tr>
      <w:tr>
        <w:trPr>
          <w:trHeight w:val="244"/>
        </w:trPr>
        <w:tc>
          <w:tcPr>
            <w:tcW w:w="4600" w:type="dxa"/>
            <w:vAlign w:val="bottom"/>
            <w:shd w:val="clear" w:color="auto" w:fill="EBECEC"/>
          </w:tcPr>
          <w:p>
            <w:pPr>
              <w:ind w:left="100"/>
              <w:spacing w:after="0"/>
              <w:rPr>
                <w:sz w:val="20"/>
                <w:szCs w:val="20"/>
                <w:color w:val="auto"/>
              </w:rPr>
            </w:pPr>
            <w:r>
              <w:rPr>
                <w:rFonts w:ascii="Times New Roman" w:cs="Times New Roman" w:eastAsia="Times New Roman" w:hAnsi="Times New Roman"/>
                <w:sz w:val="20"/>
                <w:szCs w:val="20"/>
                <w:color w:val="231F20"/>
              </w:rPr>
              <w:t>Research and development credits</w:t>
            </w:r>
          </w:p>
        </w:tc>
        <w:tc>
          <w:tcPr>
            <w:tcW w:w="1120" w:type="dxa"/>
            <w:vAlign w:val="bottom"/>
            <w:shd w:val="clear" w:color="auto" w:fill="EBECEC"/>
          </w:tcPr>
          <w:p>
            <w:pPr>
              <w:spacing w:after="0"/>
              <w:rPr>
                <w:sz w:val="21"/>
                <w:szCs w:val="21"/>
                <w:color w:val="auto"/>
              </w:rPr>
            </w:pPr>
          </w:p>
        </w:tc>
        <w:tc>
          <w:tcPr>
            <w:tcW w:w="7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24,630</w:t>
            </w:r>
          </w:p>
        </w:tc>
        <w:tc>
          <w:tcPr>
            <w:tcW w:w="8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660" w:type="dxa"/>
            <w:vAlign w:val="bottom"/>
            <w:shd w:val="clear" w:color="auto" w:fill="EBECEC"/>
          </w:tcPr>
          <w:p>
            <w:pPr>
              <w:spacing w:after="0"/>
              <w:rPr>
                <w:sz w:val="21"/>
                <w:szCs w:val="21"/>
                <w:color w:val="auto"/>
              </w:rPr>
            </w:pPr>
          </w:p>
        </w:tc>
        <w:tc>
          <w:tcPr>
            <w:tcW w:w="11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19,058</w:t>
            </w:r>
          </w:p>
        </w:tc>
        <w:tc>
          <w:tcPr>
            <w:tcW w:w="80" w:type="dxa"/>
            <w:vAlign w:val="bottom"/>
            <w:shd w:val="clear" w:color="auto" w:fill="EBECEC"/>
          </w:tcPr>
          <w:p>
            <w:pPr>
              <w:spacing w:after="0"/>
              <w:rPr>
                <w:sz w:val="21"/>
                <w:szCs w:val="21"/>
                <w:color w:val="auto"/>
              </w:rPr>
            </w:pPr>
          </w:p>
        </w:tc>
      </w:tr>
      <w:tr>
        <w:trPr>
          <w:trHeight w:val="244"/>
        </w:trPr>
        <w:tc>
          <w:tcPr>
            <w:tcW w:w="46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1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14,424</w:t>
            </w:r>
          </w:p>
        </w:tc>
        <w:tc>
          <w:tcPr>
            <w:tcW w:w="80" w:type="dxa"/>
            <w:vAlign w:val="bottom"/>
          </w:tcPr>
          <w:p>
            <w:pPr>
              <w:spacing w:after="0"/>
              <w:rPr>
                <w:sz w:val="21"/>
                <w:szCs w:val="21"/>
                <w:color w:val="auto"/>
              </w:rPr>
            </w:pPr>
          </w:p>
        </w:tc>
      </w:tr>
      <w:tr>
        <w:trPr>
          <w:trHeight w:val="283"/>
        </w:trPr>
        <w:tc>
          <w:tcPr>
            <w:tcW w:w="4600" w:type="dxa"/>
            <w:vAlign w:val="bottom"/>
            <w:shd w:val="clear" w:color="auto" w:fill="EBECEC"/>
          </w:tcPr>
          <w:p>
            <w:pPr>
              <w:ind w:left="100"/>
              <w:spacing w:after="0"/>
              <w:rPr>
                <w:sz w:val="20"/>
                <w:szCs w:val="20"/>
                <w:color w:val="auto"/>
              </w:rPr>
            </w:pPr>
            <w:r>
              <w:rPr>
                <w:rFonts w:ascii="Times New Roman" w:cs="Times New Roman" w:eastAsia="Times New Roman" w:hAnsi="Times New Roman"/>
                <w:sz w:val="20"/>
                <w:szCs w:val="20"/>
                <w:color w:val="231F20"/>
              </w:rPr>
              <w:t>Accruals and other</w:t>
            </w:r>
          </w:p>
        </w:tc>
        <w:tc>
          <w:tcPr>
            <w:tcW w:w="1120" w:type="dxa"/>
            <w:vAlign w:val="bottom"/>
            <w:shd w:val="clear" w:color="auto" w:fill="EBECEC"/>
          </w:tcPr>
          <w:p>
            <w:pPr>
              <w:spacing w:after="0"/>
              <w:rPr>
                <w:sz w:val="24"/>
                <w:szCs w:val="24"/>
                <w:color w:val="auto"/>
              </w:rPr>
            </w:pPr>
          </w:p>
        </w:tc>
        <w:tc>
          <w:tcPr>
            <w:tcW w:w="7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2,130</w:t>
            </w:r>
          </w:p>
        </w:tc>
        <w:tc>
          <w:tcPr>
            <w:tcW w:w="80" w:type="dxa"/>
            <w:vAlign w:val="bottom"/>
            <w:shd w:val="clear" w:color="auto" w:fill="EBECEC"/>
          </w:tcPr>
          <w:p>
            <w:pPr>
              <w:spacing w:after="0"/>
              <w:rPr>
                <w:sz w:val="24"/>
                <w:szCs w:val="24"/>
                <w:color w:val="auto"/>
              </w:rPr>
            </w:pPr>
          </w:p>
        </w:tc>
        <w:tc>
          <w:tcPr>
            <w:tcW w:w="180" w:type="dxa"/>
            <w:vAlign w:val="bottom"/>
            <w:shd w:val="clear" w:color="auto" w:fill="EBECEC"/>
          </w:tcPr>
          <w:p>
            <w:pPr>
              <w:spacing w:after="0"/>
              <w:rPr>
                <w:sz w:val="24"/>
                <w:szCs w:val="24"/>
                <w:color w:val="auto"/>
              </w:rPr>
            </w:pPr>
          </w:p>
        </w:tc>
        <w:tc>
          <w:tcPr>
            <w:tcW w:w="660" w:type="dxa"/>
            <w:vAlign w:val="bottom"/>
            <w:shd w:val="clear" w:color="auto" w:fill="EBECEC"/>
          </w:tcPr>
          <w:p>
            <w:pPr>
              <w:spacing w:after="0"/>
              <w:rPr>
                <w:sz w:val="24"/>
                <w:szCs w:val="24"/>
                <w:color w:val="auto"/>
              </w:rPr>
            </w:pPr>
          </w:p>
        </w:tc>
        <w:tc>
          <w:tcPr>
            <w:tcW w:w="11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2,003</w:t>
            </w:r>
          </w:p>
        </w:tc>
        <w:tc>
          <w:tcPr>
            <w:tcW w:w="80" w:type="dxa"/>
            <w:vAlign w:val="bottom"/>
            <w:shd w:val="clear" w:color="auto" w:fill="EBECEC"/>
          </w:tcPr>
          <w:p>
            <w:pPr>
              <w:spacing w:after="0"/>
              <w:rPr>
                <w:sz w:val="24"/>
                <w:szCs w:val="24"/>
                <w:color w:val="auto"/>
              </w:rPr>
            </w:pPr>
          </w:p>
        </w:tc>
      </w:tr>
      <w:tr>
        <w:trPr>
          <w:trHeight w:val="281"/>
        </w:trPr>
        <w:tc>
          <w:tcPr>
            <w:tcW w:w="46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Intangible assets</w:t>
            </w:r>
          </w:p>
        </w:tc>
        <w:tc>
          <w:tcPr>
            <w:tcW w:w="1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5,592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6,152</w:t>
            </w:r>
          </w:p>
        </w:tc>
        <w:tc>
          <w:tcPr>
            <w:tcW w:w="80" w:type="dxa"/>
            <w:vAlign w:val="bottom"/>
          </w:tcPr>
          <w:p>
            <w:pPr>
              <w:spacing w:after="0"/>
              <w:rPr>
                <w:sz w:val="24"/>
                <w:szCs w:val="24"/>
                <w:color w:val="auto"/>
              </w:rPr>
            </w:pPr>
          </w:p>
        </w:tc>
      </w:tr>
      <w:tr>
        <w:trPr>
          <w:trHeight w:val="284"/>
        </w:trPr>
        <w:tc>
          <w:tcPr>
            <w:tcW w:w="4600" w:type="dxa"/>
            <w:vAlign w:val="bottom"/>
            <w:shd w:val="clear" w:color="auto" w:fill="EBECEC"/>
          </w:tcPr>
          <w:p>
            <w:pPr>
              <w:ind w:left="100"/>
              <w:spacing w:after="0"/>
              <w:rPr>
                <w:sz w:val="20"/>
                <w:szCs w:val="20"/>
                <w:color w:val="auto"/>
              </w:rPr>
            </w:pPr>
            <w:r>
              <w:rPr>
                <w:rFonts w:ascii="Times New Roman" w:cs="Times New Roman" w:eastAsia="Times New Roman" w:hAnsi="Times New Roman"/>
                <w:sz w:val="20"/>
                <w:szCs w:val="20"/>
                <w:color w:val="231F20"/>
              </w:rPr>
              <w:t>Capitalized research expense</w:t>
            </w:r>
          </w:p>
        </w:tc>
        <w:tc>
          <w:tcPr>
            <w:tcW w:w="1120" w:type="dxa"/>
            <w:vAlign w:val="bottom"/>
            <w:shd w:val="clear" w:color="auto" w:fill="EBECEC"/>
          </w:tcPr>
          <w:p>
            <w:pPr>
              <w:spacing w:after="0"/>
              <w:rPr>
                <w:sz w:val="24"/>
                <w:szCs w:val="24"/>
                <w:color w:val="auto"/>
              </w:rPr>
            </w:pPr>
          </w:p>
        </w:tc>
        <w:tc>
          <w:tcPr>
            <w:tcW w:w="7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32,427</w:t>
            </w:r>
          </w:p>
        </w:tc>
        <w:tc>
          <w:tcPr>
            <w:tcW w:w="80" w:type="dxa"/>
            <w:vAlign w:val="bottom"/>
            <w:shd w:val="clear" w:color="auto" w:fill="EBECEC"/>
          </w:tcPr>
          <w:p>
            <w:pPr>
              <w:spacing w:after="0"/>
              <w:rPr>
                <w:sz w:val="24"/>
                <w:szCs w:val="24"/>
                <w:color w:val="auto"/>
              </w:rPr>
            </w:pPr>
          </w:p>
        </w:tc>
        <w:tc>
          <w:tcPr>
            <w:tcW w:w="180" w:type="dxa"/>
            <w:vAlign w:val="bottom"/>
            <w:shd w:val="clear" w:color="auto" w:fill="EBECEC"/>
          </w:tcPr>
          <w:p>
            <w:pPr>
              <w:spacing w:after="0"/>
              <w:rPr>
                <w:sz w:val="24"/>
                <w:szCs w:val="24"/>
                <w:color w:val="auto"/>
              </w:rPr>
            </w:pPr>
          </w:p>
        </w:tc>
        <w:tc>
          <w:tcPr>
            <w:tcW w:w="660" w:type="dxa"/>
            <w:vAlign w:val="bottom"/>
            <w:shd w:val="clear" w:color="auto" w:fill="EBECEC"/>
          </w:tcPr>
          <w:p>
            <w:pPr>
              <w:spacing w:after="0"/>
              <w:rPr>
                <w:sz w:val="24"/>
                <w:szCs w:val="24"/>
                <w:color w:val="auto"/>
              </w:rPr>
            </w:pPr>
          </w:p>
        </w:tc>
        <w:tc>
          <w:tcPr>
            <w:tcW w:w="11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40,206</w:t>
            </w:r>
          </w:p>
        </w:tc>
        <w:tc>
          <w:tcPr>
            <w:tcW w:w="80" w:type="dxa"/>
            <w:vAlign w:val="bottom"/>
            <w:shd w:val="clear" w:color="auto" w:fill="EBECEC"/>
          </w:tcPr>
          <w:p>
            <w:pPr>
              <w:spacing w:after="0"/>
              <w:rPr>
                <w:sz w:val="24"/>
                <w:szCs w:val="24"/>
                <w:color w:val="auto"/>
              </w:rPr>
            </w:pPr>
          </w:p>
        </w:tc>
      </w:tr>
      <w:tr>
        <w:trPr>
          <w:trHeight w:val="281"/>
        </w:trPr>
        <w:tc>
          <w:tcPr>
            <w:tcW w:w="4600" w:type="dxa"/>
            <w:vAlign w:val="bottom"/>
            <w:tcBorders>
              <w:bottom w:val="single" w:sz="8" w:color="EBECEC"/>
            </w:tcBorders>
          </w:tcPr>
          <w:p>
            <w:pPr>
              <w:ind w:left="100"/>
              <w:spacing w:after="0"/>
              <w:rPr>
                <w:sz w:val="20"/>
                <w:szCs w:val="20"/>
                <w:color w:val="auto"/>
              </w:rPr>
            </w:pPr>
            <w:r>
              <w:rPr>
                <w:rFonts w:ascii="Times New Roman" w:cs="Times New Roman" w:eastAsia="Times New Roman" w:hAnsi="Times New Roman"/>
                <w:sz w:val="20"/>
                <w:szCs w:val="20"/>
                <w:color w:val="231F20"/>
              </w:rPr>
              <w:t>Lease liability</w:t>
            </w:r>
          </w:p>
        </w:tc>
        <w:tc>
          <w:tcPr>
            <w:tcW w:w="112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2,082</w:t>
            </w:r>
          </w:p>
        </w:tc>
        <w:tc>
          <w:tcPr>
            <w:tcW w:w="80" w:type="dxa"/>
            <w:vAlign w:val="bottom"/>
            <w:tcBorders>
              <w:bottom w:val="single" w:sz="8" w:color="EBECEC"/>
            </w:tcBorders>
          </w:tcPr>
          <w:p>
            <w:pPr>
              <w:spacing w:after="0"/>
              <w:rPr>
                <w:sz w:val="24"/>
                <w:szCs w:val="24"/>
                <w:color w:val="auto"/>
              </w:rPr>
            </w:pPr>
          </w:p>
        </w:tc>
        <w:tc>
          <w:tcPr>
            <w:tcW w:w="180" w:type="dxa"/>
            <w:vAlign w:val="bottom"/>
            <w:tcBorders>
              <w:bottom w:val="single" w:sz="8" w:color="EBECEC"/>
            </w:tcBorders>
          </w:tcPr>
          <w:p>
            <w:pPr>
              <w:spacing w:after="0"/>
              <w:rPr>
                <w:sz w:val="24"/>
                <w:szCs w:val="24"/>
                <w:color w:val="auto"/>
              </w:rPr>
            </w:pPr>
          </w:p>
        </w:tc>
        <w:tc>
          <w:tcPr>
            <w:tcW w:w="6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2,619</w:t>
            </w:r>
          </w:p>
        </w:tc>
        <w:tc>
          <w:tcPr>
            <w:tcW w:w="80" w:type="dxa"/>
            <w:vAlign w:val="bottom"/>
            <w:tcBorders>
              <w:bottom w:val="single" w:sz="8" w:color="EBECEC"/>
            </w:tcBorders>
          </w:tcPr>
          <w:p>
            <w:pPr>
              <w:spacing w:after="0"/>
              <w:rPr>
                <w:sz w:val="24"/>
                <w:szCs w:val="24"/>
                <w:color w:val="auto"/>
              </w:rPr>
            </w:pPr>
          </w:p>
        </w:tc>
      </w:tr>
      <w:tr>
        <w:trPr>
          <w:trHeight w:val="279"/>
        </w:trPr>
        <w:tc>
          <w:tcPr>
            <w:tcW w:w="46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Gross deferred tax assets</w:t>
            </w:r>
          </w:p>
        </w:tc>
        <w:tc>
          <w:tcPr>
            <w:tcW w:w="1120" w:type="dxa"/>
            <w:vAlign w:val="bottom"/>
            <w:shd w:val="clear" w:color="auto" w:fill="EBECEC"/>
          </w:tcPr>
          <w:p>
            <w:pPr>
              <w:spacing w:after="0"/>
              <w:rPr>
                <w:sz w:val="24"/>
                <w:szCs w:val="24"/>
                <w:color w:val="auto"/>
              </w:rPr>
            </w:pPr>
          </w:p>
        </w:tc>
        <w:tc>
          <w:tcPr>
            <w:tcW w:w="7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214,715</w:t>
            </w:r>
          </w:p>
        </w:tc>
        <w:tc>
          <w:tcPr>
            <w:tcW w:w="80" w:type="dxa"/>
            <w:vAlign w:val="bottom"/>
            <w:shd w:val="clear" w:color="auto" w:fill="EBECEC"/>
          </w:tcPr>
          <w:p>
            <w:pPr>
              <w:spacing w:after="0"/>
              <w:rPr>
                <w:sz w:val="24"/>
                <w:szCs w:val="24"/>
                <w:color w:val="auto"/>
              </w:rPr>
            </w:pPr>
          </w:p>
        </w:tc>
        <w:tc>
          <w:tcPr>
            <w:tcW w:w="180" w:type="dxa"/>
            <w:vAlign w:val="bottom"/>
            <w:shd w:val="clear" w:color="auto" w:fill="EBECEC"/>
          </w:tcPr>
          <w:p>
            <w:pPr>
              <w:spacing w:after="0"/>
              <w:rPr>
                <w:sz w:val="24"/>
                <w:szCs w:val="24"/>
                <w:color w:val="auto"/>
              </w:rPr>
            </w:pPr>
          </w:p>
        </w:tc>
        <w:tc>
          <w:tcPr>
            <w:tcW w:w="660" w:type="dxa"/>
            <w:vAlign w:val="bottom"/>
            <w:shd w:val="clear" w:color="auto" w:fill="EBECEC"/>
          </w:tcPr>
          <w:p>
            <w:pPr>
              <w:spacing w:after="0"/>
              <w:rPr>
                <w:sz w:val="24"/>
                <w:szCs w:val="24"/>
                <w:color w:val="auto"/>
              </w:rPr>
            </w:pPr>
          </w:p>
        </w:tc>
        <w:tc>
          <w:tcPr>
            <w:tcW w:w="11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175,149</w:t>
            </w:r>
          </w:p>
        </w:tc>
        <w:tc>
          <w:tcPr>
            <w:tcW w:w="80" w:type="dxa"/>
            <w:vAlign w:val="bottom"/>
            <w:shd w:val="clear" w:color="auto" w:fill="EBECEC"/>
          </w:tcPr>
          <w:p>
            <w:pPr>
              <w:spacing w:after="0"/>
              <w:rPr>
                <w:sz w:val="24"/>
                <w:szCs w:val="24"/>
                <w:color w:val="auto"/>
              </w:rPr>
            </w:pPr>
          </w:p>
        </w:tc>
      </w:tr>
      <w:tr>
        <w:trPr>
          <w:trHeight w:val="283"/>
        </w:trPr>
        <w:tc>
          <w:tcPr>
            <w:tcW w:w="4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Less valuation allowance</w:t>
            </w:r>
          </w:p>
        </w:tc>
        <w:tc>
          <w:tcPr>
            <w:tcW w:w="1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w w:val="99"/>
              </w:rPr>
              <w:t>(212,603)</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(172,562)</w:t>
            </w:r>
          </w:p>
        </w:tc>
      </w:tr>
      <w:tr>
        <w:trPr>
          <w:trHeight w:val="278"/>
        </w:trPr>
        <w:tc>
          <w:tcPr>
            <w:tcW w:w="4600" w:type="dxa"/>
            <w:vAlign w:val="bottom"/>
            <w:tcBorders>
              <w:top w:val="single" w:sz="8" w:color="EBECEC"/>
            </w:tcBorders>
            <w:shd w:val="clear" w:color="auto" w:fill="EBECEC"/>
          </w:tcPr>
          <w:p>
            <w:pPr>
              <w:ind w:left="300"/>
              <w:spacing w:after="0"/>
              <w:rPr>
                <w:sz w:val="20"/>
                <w:szCs w:val="20"/>
                <w:color w:val="auto"/>
              </w:rPr>
            </w:pPr>
            <w:r>
              <w:rPr>
                <w:rFonts w:ascii="Times New Roman" w:cs="Times New Roman" w:eastAsia="Times New Roman" w:hAnsi="Times New Roman"/>
                <w:sz w:val="20"/>
                <w:szCs w:val="20"/>
                <w:color w:val="231F20"/>
              </w:rPr>
              <w:t>Total deferred tax assets</w:t>
            </w:r>
          </w:p>
        </w:tc>
        <w:tc>
          <w:tcPr>
            <w:tcW w:w="1120" w:type="dxa"/>
            <w:vAlign w:val="bottom"/>
            <w:tcBorders>
              <w:top w:val="single" w:sz="8" w:color="231F20"/>
              <w:bottom w:val="single" w:sz="8" w:color="231F20"/>
            </w:tcBorders>
            <w:shd w:val="clear" w:color="auto" w:fill="EBECEC"/>
          </w:tcPr>
          <w:p>
            <w:pPr>
              <w:spacing w:after="0"/>
              <w:rPr>
                <w:sz w:val="24"/>
                <w:szCs w:val="24"/>
                <w:color w:val="auto"/>
              </w:rPr>
            </w:pPr>
          </w:p>
        </w:tc>
        <w:tc>
          <w:tcPr>
            <w:tcW w:w="74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2,112</w:t>
            </w:r>
          </w:p>
        </w:tc>
        <w:tc>
          <w:tcPr>
            <w:tcW w:w="80" w:type="dxa"/>
            <w:vAlign w:val="bottom"/>
            <w:tcBorders>
              <w:top w:val="single" w:sz="8" w:color="EBECEC"/>
            </w:tcBorders>
            <w:shd w:val="clear" w:color="auto" w:fill="EBECEC"/>
          </w:tcPr>
          <w:p>
            <w:pPr>
              <w:spacing w:after="0"/>
              <w:rPr>
                <w:sz w:val="24"/>
                <w:szCs w:val="24"/>
                <w:color w:val="auto"/>
              </w:rPr>
            </w:pPr>
          </w:p>
        </w:tc>
        <w:tc>
          <w:tcPr>
            <w:tcW w:w="180" w:type="dxa"/>
            <w:vAlign w:val="bottom"/>
            <w:tcBorders>
              <w:top w:val="single" w:sz="8" w:color="EBECEC"/>
            </w:tcBorders>
            <w:shd w:val="clear" w:color="auto" w:fill="EBECEC"/>
          </w:tcPr>
          <w:p>
            <w:pPr>
              <w:spacing w:after="0"/>
              <w:rPr>
                <w:sz w:val="24"/>
                <w:szCs w:val="24"/>
                <w:color w:val="auto"/>
              </w:rPr>
            </w:pPr>
          </w:p>
        </w:tc>
        <w:tc>
          <w:tcPr>
            <w:tcW w:w="660" w:type="dxa"/>
            <w:vAlign w:val="bottom"/>
            <w:tcBorders>
              <w:top w:val="single" w:sz="8" w:color="231F20"/>
              <w:bottom w:val="single" w:sz="8" w:color="231F20"/>
            </w:tcBorders>
            <w:shd w:val="clear" w:color="auto" w:fill="EBECEC"/>
          </w:tcPr>
          <w:p>
            <w:pPr>
              <w:spacing w:after="0"/>
              <w:rPr>
                <w:sz w:val="24"/>
                <w:szCs w:val="24"/>
                <w:color w:val="auto"/>
              </w:rPr>
            </w:pPr>
          </w:p>
        </w:tc>
        <w:tc>
          <w:tcPr>
            <w:tcW w:w="118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2,587</w:t>
            </w:r>
          </w:p>
        </w:tc>
        <w:tc>
          <w:tcPr>
            <w:tcW w:w="80" w:type="dxa"/>
            <w:vAlign w:val="bottom"/>
            <w:tcBorders>
              <w:top w:val="single" w:sz="8" w:color="EBECEC"/>
            </w:tcBorders>
            <w:shd w:val="clear" w:color="auto" w:fill="EBECEC"/>
          </w:tcPr>
          <w:p>
            <w:pPr>
              <w:spacing w:after="0"/>
              <w:rPr>
                <w:sz w:val="24"/>
                <w:szCs w:val="24"/>
                <w:color w:val="auto"/>
              </w:rPr>
            </w:pPr>
          </w:p>
        </w:tc>
      </w:tr>
      <w:tr>
        <w:trPr>
          <w:trHeight w:val="559"/>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4"/>
        </w:trPr>
        <w:tc>
          <w:tcPr>
            <w:tcW w:w="4600" w:type="dxa"/>
            <w:vAlign w:val="bottom"/>
            <w:shd w:val="clear" w:color="auto" w:fill="EBECEC"/>
          </w:tcPr>
          <w:p>
            <w:pPr>
              <w:ind w:left="100"/>
              <w:spacing w:after="0"/>
              <w:rPr>
                <w:sz w:val="20"/>
                <w:szCs w:val="20"/>
                <w:color w:val="auto"/>
              </w:rPr>
            </w:pPr>
            <w:r>
              <w:rPr>
                <w:rFonts w:ascii="Times New Roman" w:cs="Times New Roman" w:eastAsia="Times New Roman" w:hAnsi="Times New Roman"/>
                <w:sz w:val="20"/>
                <w:szCs w:val="20"/>
                <w:color w:val="231F20"/>
              </w:rPr>
              <w:t>Property and equipment</w:t>
            </w:r>
          </w:p>
        </w:tc>
        <w:tc>
          <w:tcPr>
            <w:tcW w:w="1120" w:type="dxa"/>
            <w:vAlign w:val="bottom"/>
            <w:shd w:val="clear" w:color="auto" w:fill="EBECEC"/>
          </w:tcPr>
          <w:p>
            <w:pPr>
              <w:spacing w:after="0"/>
              <w:rPr>
                <w:sz w:val="24"/>
                <w:szCs w:val="24"/>
                <w:color w:val="auto"/>
              </w:rPr>
            </w:pPr>
          </w:p>
        </w:tc>
        <w:tc>
          <w:tcPr>
            <w:tcW w:w="82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rPr>
              <w:t>(29)</w:t>
            </w:r>
          </w:p>
        </w:tc>
        <w:tc>
          <w:tcPr>
            <w:tcW w:w="180" w:type="dxa"/>
            <w:vAlign w:val="bottom"/>
            <w:shd w:val="clear" w:color="auto" w:fill="EBECEC"/>
          </w:tcPr>
          <w:p>
            <w:pPr>
              <w:spacing w:after="0"/>
              <w:rPr>
                <w:sz w:val="24"/>
                <w:szCs w:val="24"/>
                <w:color w:val="auto"/>
              </w:rPr>
            </w:pPr>
          </w:p>
        </w:tc>
        <w:tc>
          <w:tcPr>
            <w:tcW w:w="660" w:type="dxa"/>
            <w:vAlign w:val="bottom"/>
            <w:shd w:val="clear" w:color="auto" w:fill="EBECEC"/>
          </w:tcPr>
          <w:p>
            <w:pPr>
              <w:spacing w:after="0"/>
              <w:rPr>
                <w:sz w:val="24"/>
                <w:szCs w:val="24"/>
                <w:color w:val="auto"/>
              </w:rPr>
            </w:pPr>
          </w:p>
        </w:tc>
        <w:tc>
          <w:tcPr>
            <w:tcW w:w="126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rPr>
              <w:t>(136)</w:t>
            </w:r>
          </w:p>
        </w:tc>
      </w:tr>
      <w:tr>
        <w:trPr>
          <w:trHeight w:val="281"/>
        </w:trPr>
        <w:tc>
          <w:tcPr>
            <w:tcW w:w="46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Right-of-use assets</w:t>
            </w:r>
          </w:p>
        </w:tc>
        <w:tc>
          <w:tcPr>
            <w:tcW w:w="1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(1,863)</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(2,345)</w:t>
            </w:r>
          </w:p>
        </w:tc>
      </w:tr>
      <w:tr>
        <w:trPr>
          <w:trHeight w:val="283"/>
        </w:trPr>
        <w:tc>
          <w:tcPr>
            <w:tcW w:w="4600" w:type="dxa"/>
            <w:vAlign w:val="bottom"/>
            <w:shd w:val="clear" w:color="auto" w:fill="EBECEC"/>
          </w:tcPr>
          <w:p>
            <w:pPr>
              <w:ind w:left="100"/>
              <w:spacing w:after="0"/>
              <w:rPr>
                <w:sz w:val="20"/>
                <w:szCs w:val="20"/>
                <w:color w:val="auto"/>
              </w:rPr>
            </w:pPr>
            <w:r>
              <w:rPr>
                <w:rFonts w:ascii="Times New Roman" w:cs="Times New Roman" w:eastAsia="Times New Roman" w:hAnsi="Times New Roman"/>
                <w:sz w:val="20"/>
                <w:szCs w:val="20"/>
                <w:color w:val="231F20"/>
              </w:rPr>
              <w:t>Other</w:t>
            </w:r>
          </w:p>
        </w:tc>
        <w:tc>
          <w:tcPr>
            <w:tcW w:w="1120" w:type="dxa"/>
            <w:vAlign w:val="bottom"/>
            <w:shd w:val="clear" w:color="auto" w:fill="EBECEC"/>
          </w:tcPr>
          <w:p>
            <w:pPr>
              <w:spacing w:after="0"/>
              <w:rPr>
                <w:sz w:val="24"/>
                <w:szCs w:val="24"/>
                <w:color w:val="auto"/>
              </w:rPr>
            </w:pPr>
          </w:p>
        </w:tc>
        <w:tc>
          <w:tcPr>
            <w:tcW w:w="82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rPr>
              <w:t>(220)</w:t>
            </w:r>
          </w:p>
        </w:tc>
        <w:tc>
          <w:tcPr>
            <w:tcW w:w="180" w:type="dxa"/>
            <w:vAlign w:val="bottom"/>
            <w:shd w:val="clear" w:color="auto" w:fill="EBECEC"/>
          </w:tcPr>
          <w:p>
            <w:pPr>
              <w:spacing w:after="0"/>
              <w:rPr>
                <w:sz w:val="24"/>
                <w:szCs w:val="24"/>
                <w:color w:val="auto"/>
              </w:rPr>
            </w:pPr>
          </w:p>
        </w:tc>
        <w:tc>
          <w:tcPr>
            <w:tcW w:w="660" w:type="dxa"/>
            <w:vAlign w:val="bottom"/>
            <w:shd w:val="clear" w:color="auto" w:fill="EBECEC"/>
          </w:tcPr>
          <w:p>
            <w:pPr>
              <w:spacing w:after="0"/>
              <w:rPr>
                <w:sz w:val="24"/>
                <w:szCs w:val="24"/>
                <w:color w:val="auto"/>
              </w:rPr>
            </w:pPr>
          </w:p>
        </w:tc>
        <w:tc>
          <w:tcPr>
            <w:tcW w:w="126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rPr>
              <w:t>(106)</w:t>
            </w:r>
          </w:p>
        </w:tc>
      </w:tr>
      <w:tr>
        <w:trPr>
          <w:trHeight w:val="20"/>
        </w:trPr>
        <w:tc>
          <w:tcPr>
            <w:tcW w:w="4600" w:type="dxa"/>
            <w:vAlign w:val="bottom"/>
            <w:shd w:val="clear" w:color="auto" w:fill="EBECEC"/>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80" w:type="dxa"/>
            <w:vAlign w:val="bottom"/>
            <w:shd w:val="clear" w:color="auto" w:fill="EBECEC"/>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1180" w:type="dxa"/>
            <w:vAlign w:val="bottom"/>
            <w:shd w:val="clear" w:color="auto" w:fill="231F20"/>
          </w:tcPr>
          <w:p>
            <w:pPr>
              <w:spacing w:after="0" w:line="20" w:lineRule="exact"/>
              <w:rPr>
                <w:sz w:val="1"/>
                <w:szCs w:val="1"/>
                <w:color w:val="auto"/>
              </w:rPr>
            </w:pPr>
          </w:p>
        </w:tc>
        <w:tc>
          <w:tcPr>
            <w:tcW w:w="80" w:type="dxa"/>
            <w:vAlign w:val="bottom"/>
            <w:shd w:val="clear" w:color="auto" w:fill="EBECEC"/>
          </w:tcPr>
          <w:p>
            <w:pPr>
              <w:spacing w:after="0" w:line="20" w:lineRule="exact"/>
              <w:rPr>
                <w:sz w:val="1"/>
                <w:szCs w:val="1"/>
                <w:color w:val="auto"/>
              </w:rPr>
            </w:pPr>
          </w:p>
        </w:tc>
      </w:tr>
      <w:tr>
        <w:trPr>
          <w:trHeight w:val="278"/>
        </w:trPr>
        <w:tc>
          <w:tcPr>
            <w:tcW w:w="460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Total deferred tax liabilities</w:t>
            </w:r>
          </w:p>
        </w:tc>
        <w:tc>
          <w:tcPr>
            <w:tcW w:w="1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(2,112)</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(2,587)</w:t>
            </w:r>
          </w:p>
        </w:tc>
      </w:tr>
      <w:tr>
        <w:trPr>
          <w:trHeight w:val="279"/>
        </w:trPr>
        <w:tc>
          <w:tcPr>
            <w:tcW w:w="4600" w:type="dxa"/>
            <w:vAlign w:val="bottom"/>
            <w:tcBorders>
              <w:top w:val="single" w:sz="8" w:color="EBECEC"/>
            </w:tcBorders>
            <w:shd w:val="clear" w:color="auto" w:fill="EBECEC"/>
          </w:tcPr>
          <w:p>
            <w:pPr>
              <w:ind w:left="100"/>
              <w:spacing w:after="0"/>
              <w:rPr>
                <w:sz w:val="20"/>
                <w:szCs w:val="20"/>
                <w:color w:val="auto"/>
              </w:rPr>
            </w:pPr>
            <w:r>
              <w:rPr>
                <w:rFonts w:ascii="Times New Roman" w:cs="Times New Roman" w:eastAsia="Times New Roman" w:hAnsi="Times New Roman"/>
                <w:sz w:val="20"/>
                <w:szCs w:val="20"/>
                <w:color w:val="231F20"/>
              </w:rPr>
              <w:t>Deferred income taxes, net</w:t>
            </w:r>
          </w:p>
        </w:tc>
        <w:tc>
          <w:tcPr>
            <w:tcW w:w="1120" w:type="dxa"/>
            <w:vAlign w:val="bottom"/>
            <w:tcBorders>
              <w:top w:val="single" w:sz="8" w:color="231F20"/>
              <w:bottom w:val="single" w:sz="8" w:color="231F20"/>
            </w:tcBorders>
            <w:shd w:val="clear" w:color="auto" w:fill="EBECEC"/>
          </w:tcPr>
          <w:p>
            <w:pPr>
              <w:jc w:val="right"/>
              <w:ind w:right="923"/>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top w:val="single" w:sz="8" w:color="EBECEC"/>
            </w:tcBorders>
            <w:shd w:val="clear" w:color="auto" w:fill="EBECEC"/>
          </w:tcPr>
          <w:p>
            <w:pPr>
              <w:spacing w:after="0"/>
              <w:rPr>
                <w:sz w:val="24"/>
                <w:szCs w:val="24"/>
                <w:color w:val="auto"/>
              </w:rPr>
            </w:pPr>
          </w:p>
        </w:tc>
        <w:tc>
          <w:tcPr>
            <w:tcW w:w="180" w:type="dxa"/>
            <w:vAlign w:val="bottom"/>
            <w:tcBorders>
              <w:top w:val="single" w:sz="8" w:color="EBECEC"/>
            </w:tcBorders>
            <w:shd w:val="clear" w:color="auto" w:fill="EBECEC"/>
          </w:tcPr>
          <w:p>
            <w:pPr>
              <w:spacing w:after="0"/>
              <w:rPr>
                <w:sz w:val="24"/>
                <w:szCs w:val="24"/>
                <w:color w:val="auto"/>
              </w:rPr>
            </w:pPr>
          </w:p>
        </w:tc>
        <w:tc>
          <w:tcPr>
            <w:tcW w:w="660" w:type="dxa"/>
            <w:vAlign w:val="bottom"/>
            <w:tcBorders>
              <w:top w:val="single" w:sz="8" w:color="231F20"/>
              <w:bottom w:val="single" w:sz="8" w:color="231F20"/>
            </w:tcBorders>
            <w:shd w:val="clear" w:color="auto" w:fill="EBECEC"/>
          </w:tcPr>
          <w:p>
            <w:pPr>
              <w:jc w:val="right"/>
              <w:ind w:right="46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top w:val="single" w:sz="8" w:color="EBECEC"/>
            </w:tcBorders>
            <w:shd w:val="clear" w:color="auto" w:fill="EBECEC"/>
          </w:tcPr>
          <w:p>
            <w:pPr>
              <w:spacing w:after="0"/>
              <w:rPr>
                <w:sz w:val="24"/>
                <w:szCs w:val="24"/>
                <w:color w:val="auto"/>
              </w:rPr>
            </w:pPr>
          </w:p>
        </w:tc>
      </w:tr>
      <w:tr>
        <w:trPr>
          <w:trHeight w:val="20"/>
        </w:trPr>
        <w:tc>
          <w:tcPr>
            <w:tcW w:w="4600" w:type="dxa"/>
            <w:vAlign w:val="bottom"/>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0" w:lineRule="exact"/>
        <w:rPr>
          <w:sz w:val="20"/>
          <w:szCs w:val="20"/>
          <w:color w:val="auto"/>
        </w:rPr>
      </w:pPr>
    </w:p>
    <w:p>
      <w:pPr>
        <w:ind w:right="120" w:firstLine="720"/>
        <w:spacing w:after="0" w:line="305" w:lineRule="auto"/>
        <w:rPr>
          <w:sz w:val="20"/>
          <w:szCs w:val="20"/>
          <w:color w:val="auto"/>
        </w:rPr>
      </w:pPr>
      <w:r>
        <w:rPr>
          <w:rFonts w:ascii="Times New Roman" w:cs="Times New Roman" w:eastAsia="Times New Roman" w:hAnsi="Times New Roman"/>
          <w:sz w:val="19"/>
          <w:szCs w:val="19"/>
          <w:color w:val="231F20"/>
        </w:rPr>
        <w:t>A valuation allowance of $212.6 million at December 31, 2025, has been recognized to offset the net deferred tax assets as realization of such assets is uncertain. The valuation allowance increased by $40.0 million during the year ended December 31, 2025.</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As of December 31, 2025, the Company had available net operating loss (NOL) carryforwards of $424.3 million.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$424.3 million of NOL carryforwards, $41.6 million begin to expire in 2034 and $382.7 million do not expire. The Company also has</w:t>
      </w:r>
    </w:p>
    <w:p>
      <w:pPr>
        <w:spacing w:after="0"/>
        <w:rPr>
          <w:sz w:val="20"/>
          <w:szCs w:val="20"/>
          <w:color w:val="auto"/>
        </w:rPr>
      </w:pPr>
      <w:r>
        <w:rPr>
          <w:rFonts w:ascii="Times New Roman" w:cs="Times New Roman" w:eastAsia="Times New Roman" w:hAnsi="Times New Roman"/>
          <w:sz w:val="20"/>
          <w:szCs w:val="20"/>
          <w:color w:val="231F20"/>
        </w:rPr>
        <w:t>available California NOL carryforwards of approximately $573.9 million as of December 31, 2025, which begin to expire in 2034. In</w:t>
      </w:r>
    </w:p>
    <w:p>
      <w:pPr>
        <w:spacing w:after="0"/>
        <w:rPr>
          <w:sz w:val="20"/>
          <w:szCs w:val="20"/>
          <w:color w:val="auto"/>
        </w:rPr>
      </w:pPr>
      <w:r>
        <w:rPr>
          <w:rFonts w:ascii="Times New Roman" w:cs="Times New Roman" w:eastAsia="Times New Roman" w:hAnsi="Times New Roman"/>
          <w:sz w:val="20"/>
          <w:szCs w:val="20"/>
          <w:color w:val="231F20"/>
        </w:rPr>
        <w:t>addition, the Company has federal and California research and development (R&amp;D) credit carryforwards totaling $21.7 million and</w:t>
      </w:r>
    </w:p>
    <w:p>
      <w:pPr>
        <w:spacing w:after="0"/>
        <w:rPr>
          <w:sz w:val="20"/>
          <w:szCs w:val="20"/>
          <w:color w:val="auto"/>
        </w:rPr>
      </w:pPr>
      <w:r>
        <w:rPr>
          <w:rFonts w:ascii="Times New Roman" w:cs="Times New Roman" w:eastAsia="Times New Roman" w:hAnsi="Times New Roman"/>
          <w:sz w:val="20"/>
          <w:szCs w:val="20"/>
          <w:color w:val="231F20"/>
        </w:rPr>
        <w:t>$9.4 million, respectively. The federal credits begin to expire in 2034 unless previously utilized, while the state credits do not expire.</w:t>
      </w:r>
    </w:p>
    <w:p>
      <w:pPr>
        <w:spacing w:after="0" w:line="212"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231F20"/>
        </w:rPr>
        <w:t>Pursuant to Sections 382 and 383 of the Internal Revenue Code (IRC), annual use of the Company’s NOL and credit carryforwards may be limited in the event a cumulative change in ownership of more than 50% occurs within a three-year period. Since the Company’s formation, the Company has raised capital through the issuance of capital stock, which on its own or combined with the purchasing stockholders’ subsequent disposition of those shares, may have resulted in such an ownership change, or could result in an ownership change.</w:t>
      </w:r>
    </w:p>
    <w:p>
      <w:pPr>
        <w:spacing w:after="0" w:line="197"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231F20"/>
        </w:rPr>
        <w:t>Upon the occurrence of an ownership change under Section 382 as outlined above, utilization of the Company’s NOL and research and development credit carryforwards are subject to an annual limitation, which is determined by first multiplying the value of the Company’s stock at the time of the ownership change by the applicable long-term tax-exempt rate, which could be subject to additional adjustments, as required. Any limitation may result in expiration of a portion of the NOL or R&amp;D credit carryforwards before utilization. The Company is currently in the process of conducting a Section 382 study to determine if such an ownership change has occurred.</w:t>
      </w:r>
    </w:p>
    <w:p>
      <w:pPr>
        <w:spacing w:after="0" w:line="200"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The Company recognizes liabilities for uncertain tax positions based in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that it has appropriate support for the positions taken on its tax returns, the Company regularly assesses the potential outcome of examinations by tax authorities in determining the adequacy of its provision for income taxes.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125</w:t>
      </w:r>
    </w:p>
    <w:p>
      <w:pPr>
        <w:sectPr>
          <w:pgSz w:w="11880" w:h="15480" w:orient="portrait"/>
          <w:cols w:equalWidth="0" w:num="1">
            <w:col w:w="10800"/>
          </w:cols>
          <w:pgMar w:left="540" w:top="750" w:right="540" w:bottom="0" w:gutter="0" w:footer="0" w:header="0"/>
          <w:type w:val="continuous"/>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20"/>
          <w:szCs w:val="20"/>
          <w:color w:val="231F20"/>
        </w:rPr>
        <w:t>The following table summarizes the activity related to the Company's gross unrecognized tax benefits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200" w:type="dxa"/>
            <w:vAlign w:val="bottom"/>
          </w:tcPr>
          <w:p>
            <w:pPr>
              <w:spacing w:after="0"/>
              <w:rPr>
                <w:sz w:val="21"/>
                <w:szCs w:val="21"/>
                <w:color w:val="auto"/>
              </w:rPr>
            </w:pPr>
          </w:p>
        </w:tc>
        <w:tc>
          <w:tcPr>
            <w:tcW w:w="3860" w:type="dxa"/>
            <w:vAlign w:val="bottom"/>
            <w:tcBorders>
              <w:bottom w:val="single" w:sz="8" w:color="231F20"/>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231F20"/>
              </w:rPr>
              <w:t>For the Year Ended December 31,</w:t>
            </w:r>
          </w:p>
        </w:tc>
        <w:tc>
          <w:tcPr>
            <w:tcW w:w="68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r>
      <w:tr>
        <w:trPr>
          <w:trHeight w:val="221"/>
        </w:trPr>
        <w:tc>
          <w:tcPr>
            <w:tcW w:w="6200" w:type="dxa"/>
            <w:vAlign w:val="bottom"/>
          </w:tcPr>
          <w:p>
            <w:pPr>
              <w:spacing w:after="0"/>
              <w:rPr>
                <w:sz w:val="19"/>
                <w:szCs w:val="19"/>
                <w:color w:val="auto"/>
              </w:rPr>
            </w:pPr>
          </w:p>
        </w:tc>
        <w:tc>
          <w:tcPr>
            <w:tcW w:w="1420" w:type="dxa"/>
            <w:vAlign w:val="bottom"/>
          </w:tcPr>
          <w:p>
            <w:pPr>
              <w:jc w:val="right"/>
              <w:ind w:right="105"/>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8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8"/>
        </w:trPr>
        <w:tc>
          <w:tcPr>
            <w:tcW w:w="6200" w:type="dxa"/>
            <w:vAlign w:val="bottom"/>
            <w:tcBorders>
              <w:top w:val="single" w:sz="8" w:color="EBECEC"/>
            </w:tcBorders>
            <w:shd w:val="clear" w:color="auto" w:fill="EBECEC"/>
          </w:tcPr>
          <w:p>
            <w:pPr>
              <w:ind w:left="100"/>
              <w:spacing w:after="0"/>
              <w:rPr>
                <w:sz w:val="20"/>
                <w:szCs w:val="20"/>
                <w:color w:val="auto"/>
              </w:rPr>
            </w:pPr>
            <w:r>
              <w:rPr>
                <w:rFonts w:ascii="Times New Roman" w:cs="Times New Roman" w:eastAsia="Times New Roman" w:hAnsi="Times New Roman"/>
                <w:sz w:val="20"/>
                <w:szCs w:val="20"/>
                <w:color w:val="231F20"/>
              </w:rPr>
              <w:t>Beginning balance</w:t>
            </w:r>
          </w:p>
        </w:tc>
        <w:tc>
          <w:tcPr>
            <w:tcW w:w="1420" w:type="dxa"/>
            <w:vAlign w:val="bottom"/>
            <w:tcBorders>
              <w:top w:val="single" w:sz="8" w:color="231F20"/>
            </w:tcBorders>
            <w:shd w:val="clear" w:color="auto" w:fill="EBECEC"/>
          </w:tcPr>
          <w:p>
            <w:pPr>
              <w:jc w:val="right"/>
              <w:ind w:right="1225"/>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3,737</w:t>
            </w:r>
          </w:p>
        </w:tc>
        <w:tc>
          <w:tcPr>
            <w:tcW w:w="340" w:type="dxa"/>
            <w:vAlign w:val="bottom"/>
            <w:tcBorders>
              <w:top w:val="single" w:sz="8" w:color="EBECEC"/>
            </w:tcBorders>
            <w:shd w:val="clear" w:color="auto" w:fill="EBECEC"/>
          </w:tcPr>
          <w:p>
            <w:pPr>
              <w:spacing w:after="0"/>
              <w:rPr>
                <w:sz w:val="24"/>
                <w:szCs w:val="24"/>
                <w:color w:val="auto"/>
              </w:rPr>
            </w:pPr>
          </w:p>
        </w:tc>
        <w:tc>
          <w:tcPr>
            <w:tcW w:w="1420" w:type="dxa"/>
            <w:vAlign w:val="bottom"/>
            <w:tcBorders>
              <w:top w:val="single" w:sz="8" w:color="231F20"/>
            </w:tcBorders>
            <w:shd w:val="clear" w:color="auto" w:fill="EBECEC"/>
          </w:tcPr>
          <w:p>
            <w:pPr>
              <w:jc w:val="right"/>
              <w:ind w:right="1220"/>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2,811</w:t>
            </w:r>
          </w:p>
        </w:tc>
        <w:tc>
          <w:tcPr>
            <w:tcW w:w="60" w:type="dxa"/>
            <w:vAlign w:val="bottom"/>
            <w:tcBorders>
              <w:top w:val="single" w:sz="8" w:color="EBECEC"/>
            </w:tcBorders>
            <w:shd w:val="clear" w:color="auto" w:fill="EBECEC"/>
          </w:tcPr>
          <w:p>
            <w:pPr>
              <w:spacing w:after="0"/>
              <w:rPr>
                <w:sz w:val="24"/>
                <w:szCs w:val="24"/>
                <w:color w:val="auto"/>
              </w:rPr>
            </w:pPr>
          </w:p>
        </w:tc>
      </w:tr>
      <w:tr>
        <w:trPr>
          <w:trHeight w:val="281"/>
        </w:trPr>
        <w:tc>
          <w:tcPr>
            <w:tcW w:w="6200" w:type="dxa"/>
            <w:vAlign w:val="bottom"/>
            <w:tcBorders>
              <w:bottom w:val="single" w:sz="8" w:color="EBECEC"/>
            </w:tcBorders>
          </w:tcPr>
          <w:p>
            <w:pPr>
              <w:ind w:left="100"/>
              <w:spacing w:after="0"/>
              <w:rPr>
                <w:sz w:val="20"/>
                <w:szCs w:val="20"/>
                <w:color w:val="auto"/>
              </w:rPr>
            </w:pPr>
            <w:r>
              <w:rPr>
                <w:rFonts w:ascii="Times New Roman" w:cs="Times New Roman" w:eastAsia="Times New Roman" w:hAnsi="Times New Roman"/>
                <w:sz w:val="20"/>
                <w:szCs w:val="20"/>
                <w:color w:val="231F20"/>
              </w:rPr>
              <w:t>Increases related to current year tax positions</w:t>
            </w:r>
          </w:p>
        </w:tc>
        <w:tc>
          <w:tcPr>
            <w:tcW w:w="142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1,037</w:t>
            </w:r>
          </w:p>
        </w:tc>
        <w:tc>
          <w:tcPr>
            <w:tcW w:w="340" w:type="dxa"/>
            <w:vAlign w:val="bottom"/>
            <w:tcBorders>
              <w:bottom w:val="single" w:sz="8" w:color="EBECEC"/>
            </w:tcBorders>
          </w:tcPr>
          <w:p>
            <w:pPr>
              <w:spacing w:after="0"/>
              <w:rPr>
                <w:sz w:val="24"/>
                <w:szCs w:val="24"/>
                <w:color w:val="auto"/>
              </w:rPr>
            </w:pPr>
          </w:p>
        </w:tc>
        <w:tc>
          <w:tcPr>
            <w:tcW w:w="142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926</w:t>
            </w:r>
          </w:p>
        </w:tc>
        <w:tc>
          <w:tcPr>
            <w:tcW w:w="60" w:type="dxa"/>
            <w:vAlign w:val="bottom"/>
            <w:tcBorders>
              <w:bottom w:val="single" w:sz="8" w:color="EBECEC"/>
            </w:tcBorders>
          </w:tcPr>
          <w:p>
            <w:pPr>
              <w:spacing w:after="0"/>
              <w:rPr>
                <w:sz w:val="24"/>
                <w:szCs w:val="24"/>
                <w:color w:val="auto"/>
              </w:rPr>
            </w:pPr>
          </w:p>
        </w:tc>
      </w:tr>
      <w:tr>
        <w:trPr>
          <w:trHeight w:val="279"/>
        </w:trPr>
        <w:tc>
          <w:tcPr>
            <w:tcW w:w="6200" w:type="dxa"/>
            <w:vAlign w:val="bottom"/>
            <w:shd w:val="clear" w:color="auto" w:fill="EBECEC"/>
          </w:tcPr>
          <w:p>
            <w:pPr>
              <w:ind w:left="100"/>
              <w:spacing w:after="0"/>
              <w:rPr>
                <w:sz w:val="20"/>
                <w:szCs w:val="20"/>
                <w:color w:val="auto"/>
              </w:rPr>
            </w:pPr>
            <w:r>
              <w:rPr>
                <w:rFonts w:ascii="Times New Roman" w:cs="Times New Roman" w:eastAsia="Times New Roman" w:hAnsi="Times New Roman"/>
                <w:sz w:val="20"/>
                <w:szCs w:val="20"/>
                <w:color w:val="231F20"/>
              </w:rPr>
              <w:t>Ending balance</w:t>
            </w:r>
          </w:p>
        </w:tc>
        <w:tc>
          <w:tcPr>
            <w:tcW w:w="1420" w:type="dxa"/>
            <w:vAlign w:val="bottom"/>
            <w:tcBorders>
              <w:bottom w:val="single" w:sz="8" w:color="231F20"/>
            </w:tcBorders>
            <w:shd w:val="clear" w:color="auto" w:fill="EBECEC"/>
          </w:tcPr>
          <w:p>
            <w:pPr>
              <w:jc w:val="right"/>
              <w:ind w:right="1225"/>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4,774</w:t>
            </w:r>
          </w:p>
        </w:tc>
        <w:tc>
          <w:tcPr>
            <w:tcW w:w="340" w:type="dxa"/>
            <w:vAlign w:val="bottom"/>
            <w:shd w:val="clear" w:color="auto" w:fill="EBECEC"/>
          </w:tcPr>
          <w:p>
            <w:pPr>
              <w:spacing w:after="0"/>
              <w:rPr>
                <w:sz w:val="24"/>
                <w:szCs w:val="24"/>
                <w:color w:val="auto"/>
              </w:rPr>
            </w:pPr>
          </w:p>
        </w:tc>
        <w:tc>
          <w:tcPr>
            <w:tcW w:w="1420" w:type="dxa"/>
            <w:vAlign w:val="bottom"/>
            <w:tcBorders>
              <w:bottom w:val="single" w:sz="8" w:color="231F20"/>
            </w:tcBorders>
            <w:shd w:val="clear" w:color="auto" w:fill="EBECEC"/>
          </w:tcPr>
          <w:p>
            <w:pPr>
              <w:jc w:val="right"/>
              <w:ind w:right="1220"/>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3,737</w:t>
            </w:r>
          </w:p>
        </w:tc>
        <w:tc>
          <w:tcPr>
            <w:tcW w:w="60" w:type="dxa"/>
            <w:vAlign w:val="bottom"/>
            <w:shd w:val="clear" w:color="auto" w:fill="EBECEC"/>
          </w:tcPr>
          <w:p>
            <w:pPr>
              <w:spacing w:after="0"/>
              <w:rPr>
                <w:sz w:val="24"/>
                <w:szCs w:val="24"/>
                <w:color w:val="auto"/>
              </w:rPr>
            </w:pPr>
          </w:p>
        </w:tc>
      </w:tr>
      <w:tr>
        <w:trPr>
          <w:trHeight w:val="20"/>
        </w:trPr>
        <w:tc>
          <w:tcPr>
            <w:tcW w:w="6200" w:type="dxa"/>
            <w:vAlign w:val="bottom"/>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231F20"/>
        </w:rPr>
        <w:t>As of December 31, 2025, the Company had gross unrecognized tax benefits of $ 4.8 million, none of which would affect the effective tax rate if recognized. The Company’s policy is to recognize the interest expense and/or penalties related to income tax matters as a component of income tax expense. The Company had no accrual for interest or penalties on its balance sheets at December 31, 2025 and has not recognized interest and/or penalties in its statement of operations for the year ended December 31, 2025.</w:t>
      </w:r>
    </w:p>
    <w:p>
      <w:pPr>
        <w:spacing w:after="0" w:line="197"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color w:val="231F20"/>
        </w:rPr>
        <w:t>The Company is subject to taxation in the United States and California. The Company is not currently under examination by any taxing authorities. Due to the carryover of tax attributes, the statute of limitations is currently open for tax years since inception.</w:t>
      </w:r>
    </w:p>
    <w:p>
      <w:pPr>
        <w:spacing w:after="0" w:line="285" w:lineRule="exact"/>
        <w:rPr>
          <w:sz w:val="20"/>
          <w:szCs w:val="20"/>
          <w:color w:val="auto"/>
        </w:rPr>
      </w:pPr>
    </w:p>
    <w:p>
      <w:pPr>
        <w:ind w:left="300" w:hanging="300"/>
        <w:spacing w:after="0"/>
        <w:tabs>
          <w:tab w:leader="none" w:pos="300" w:val="left"/>
        </w:tabs>
        <w:numPr>
          <w:ilvl w:val="0"/>
          <w:numId w:val="7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u w:val="single" w:color="auto"/>
          <w:color w:val="231F20"/>
        </w:rPr>
        <w:t>Employee Benefit Plan</w:t>
      </w:r>
    </w:p>
    <w:p>
      <w:pPr>
        <w:spacing w:after="0" w:line="124"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The Company has a defined-contribution 401(k) plan for employees. Employees are eligible to participate in the plan beginning on the first day of the month following date of hire. Under the terms of the plan, employees may make voluntary contributions as a percentage of compensation. The Company matches employee contributions as permitted by the plan and may make an additional discretionary match as determined by the Company's board of directors. The Company's cost related to the 401(k) plan was $0.9 million and $0.8 million for the years ended December 31, 2025 and 2024, respectively.</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126</w:t>
      </w:r>
    </w:p>
    <w:p>
      <w:pPr>
        <w:sectPr>
          <w:pgSz w:w="11880" w:h="15480" w:orient="portrait"/>
          <w:cols w:equalWidth="0" w:num="1">
            <w:col w:w="10800"/>
          </w:cols>
          <w:pgMar w:left="540" w:top="750" w:right="540"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b w:val="1"/>
          <w:bCs w:val="1"/>
          <w:color w:val="231F20"/>
        </w:rPr>
        <w:t>Item 9. Changes in and Disagreements with Accountants on Accounting and Financial Disclosure.</w:t>
      </w:r>
    </w:p>
    <w:p>
      <w:pPr>
        <w:spacing w:after="0" w:line="1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9A. Controls and Procedures.</w:t>
      </w:r>
    </w:p>
    <w:p>
      <w:pPr>
        <w:spacing w:after="0" w:line="1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535355"/>
        </w:rPr>
        <w:t>Evaluation of Disclosure Controls and Procedures</w:t>
      </w:r>
    </w:p>
    <w:p>
      <w:pPr>
        <w:spacing w:after="0" w:line="12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We maintain disclosure controls and procedures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December 31, 2025,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were effective at a reasonable assurance level as of December 31, 2025.</w:t>
      </w:r>
    </w:p>
    <w:p>
      <w:pPr>
        <w:spacing w:after="0" w:line="3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535355"/>
        </w:rPr>
        <w:t>Management’s Report on Internal Control Over Financial Reporting</w:t>
      </w:r>
    </w:p>
    <w:p>
      <w:pPr>
        <w:spacing w:after="0" w:line="120"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spacing w:after="0" w:line="80" w:lineRule="exact"/>
        <w:rPr>
          <w:sz w:val="20"/>
          <w:szCs w:val="20"/>
          <w:color w:val="auto"/>
        </w:rPr>
      </w:pPr>
    </w:p>
    <w:p>
      <w:pPr>
        <w:ind w:right="20" w:firstLine="720"/>
        <w:spacing w:after="0" w:line="277" w:lineRule="auto"/>
        <w:rPr>
          <w:sz w:val="20"/>
          <w:szCs w:val="20"/>
          <w:color w:val="auto"/>
        </w:rPr>
      </w:pPr>
      <w:r>
        <w:rPr>
          <w:rFonts w:ascii="Times New Roman" w:cs="Times New Roman" w:eastAsia="Times New Roman" w:hAnsi="Times New Roman"/>
          <w:sz w:val="20"/>
          <w:szCs w:val="20"/>
          <w:color w:val="231F20"/>
        </w:rPr>
        <w:t>This Annual Report on Form 10-K does not include an attestation report of our independent registered public accounting firm on our internal control over financial reporting due to an exemption for “non-accelerated filers.”</w:t>
      </w:r>
    </w:p>
    <w:p>
      <w:pPr>
        <w:spacing w:after="0" w:line="3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535355"/>
        </w:rPr>
        <w:t>Changes in Internal Control over Financial Reporting</w:t>
      </w:r>
    </w:p>
    <w:p>
      <w:pPr>
        <w:spacing w:after="0" w:line="129"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231F20"/>
        </w:rPr>
        <w:t>There were no changes in our internal control over financial reporting identified in connection with the evaluation required by Rules 13a-15(d) and 15d-15(d) of the Exchange Act that occurred during the quarter ended December 31, 2025 that have materially affected, or are reasonably likely to materially affect, our internal control over financial reporting.</w:t>
      </w:r>
    </w:p>
    <w:p>
      <w:pPr>
        <w:spacing w:after="0" w:line="3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535355"/>
        </w:rPr>
        <w:t>Inherent Limitations on Effectiveness of Controls</w:t>
      </w:r>
    </w:p>
    <w:p>
      <w:pPr>
        <w:spacing w:after="0" w:line="12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9B. Other Information.</w:t>
      </w:r>
    </w:p>
    <w:p>
      <w:pPr>
        <w:spacing w:after="0" w:line="1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535355"/>
        </w:rPr>
        <w:t>Securities Trading Arrangements of Directors and Executive Officers</w:t>
      </w:r>
    </w:p>
    <w:p>
      <w:pPr>
        <w:spacing w:after="0" w:line="120"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231F20"/>
        </w:rPr>
        <w:t>No officers or directors, as defined in Rule 16a-1(f) of the Exchange Act, adopted and/or terminated a “Rule 10b5-1 trading arrangement” or a “non-Rule 10b5-1 trading arrangement,” each as defined in Regulation S-K Item 408, during the last fiscal quarter.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9C. Disclosure Regarding Foreign Jurisdictions That Prevent Inspections.</w:t>
      </w:r>
    </w:p>
    <w:p>
      <w:pPr>
        <w:spacing w:after="0" w:line="1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800"/>
          </w:cols>
          <w:pgMar w:left="540" w:top="74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127</w:t>
      </w:r>
    </w:p>
    <w:p>
      <w:pPr>
        <w:sectPr>
          <w:pgSz w:w="11880" w:h="15480" w:orient="portrait"/>
          <w:cols w:equalWidth="0" w:num="1">
            <w:col w:w="10800"/>
          </w:cols>
          <w:pgMar w:left="540" w:top="743" w:right="540" w:bottom="0" w:gutter="0" w:footer="0" w:header="0"/>
          <w:type w:val="continuous"/>
        </w:sectPr>
      </w:pPr>
    </w:p>
    <w:bookmarkStart w:id="133" w:name="page134"/>
    <w:bookmarkEnd w:id="133"/>
    <w:p>
      <w:pPr>
        <w:jc w:val="center"/>
        <w:ind w:right="-299"/>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10. Directors, Executive Officers and Corporate Governance.</w:t>
      </w:r>
    </w:p>
    <w:p>
      <w:pPr>
        <w:spacing w:after="0" w:line="127"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Information required by this item will be contained in our definitive proxy statement to be filed with the SEC on Schedule 14A within 120 days after December 31, 2025, and is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11. Executive Compensation.</w:t>
      </w:r>
    </w:p>
    <w:p>
      <w:pPr>
        <w:spacing w:after="0" w:line="127"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Information required by this item will be contained in our definitive proxy statement to be filed with the SEC on Schedule 14A within 120 days after December 31, 2025, and is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12. Security Ownership of Certain Beneficial Owners and Management and Related Stockholder Matters.</w:t>
      </w:r>
    </w:p>
    <w:p>
      <w:pPr>
        <w:spacing w:after="0" w:line="127"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Information required by this item will be contained in our definitive proxy statement to be filed with the SEC on Schedule 14A within 120 days after December 31, 2025, and is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13. Certain Relationships and Related Transactions, and Director Independence.</w:t>
      </w:r>
    </w:p>
    <w:p>
      <w:pPr>
        <w:spacing w:after="0" w:line="127"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Information required by this item will be contained in our definitive proxy statement to be filed with the SEC on Schedule 14A within 120 days after December 31, 2025, and is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14. Principal Accounting Fees and Services.</w:t>
      </w:r>
    </w:p>
    <w:p>
      <w:pPr>
        <w:spacing w:after="0" w:line="1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Our independent registered public accounting firm is KPMG LLP, San Diego, CA, Auditor Firm ID:185.</w:t>
      </w:r>
    </w:p>
    <w:p>
      <w:pPr>
        <w:spacing w:after="0" w:line="120"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Information required by this item will be contained in our definitive proxy statement to be filed with the SEC on Schedule 14A within 120 days after December 31, 2025, and is incorporated herein by reference.</w:t>
      </w:r>
    </w:p>
    <w:p>
      <w:pPr>
        <w:sectPr>
          <w:pgSz w:w="11880" w:h="15480" w:orient="portrait"/>
          <w:cols w:equalWidth="0" w:num="1">
            <w:col w:w="10500"/>
          </w:cols>
          <w:pgMar w:left="540" w:top="74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231F20"/>
        </w:rPr>
        <w:t>128</w:t>
      </w:r>
    </w:p>
    <w:p>
      <w:pPr>
        <w:sectPr>
          <w:pgSz w:w="11880" w:h="15480" w:orient="portrait"/>
          <w:cols w:equalWidth="0" w:num="1">
            <w:col w:w="10500"/>
          </w:cols>
          <w:pgMar w:left="540" w:top="746" w:right="840" w:bottom="0" w:gutter="0" w:footer="0" w:header="0"/>
          <w:type w:val="continuous"/>
        </w:sectPr>
      </w:pPr>
    </w:p>
    <w:bookmarkStart w:id="134" w:name="page135"/>
    <w:bookmarkEnd w:id="134"/>
    <w:p>
      <w:pPr>
        <w:ind w:left="5240"/>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15. Exhibits, Financial Statement Schedules.</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(a) The following documents are filed as part of this report:</w:t>
      </w:r>
    </w:p>
    <w:p>
      <w:pPr>
        <w:spacing w:after="0" w:line="160" w:lineRule="exact"/>
        <w:rPr>
          <w:sz w:val="20"/>
          <w:szCs w:val="20"/>
          <w:color w:val="auto"/>
        </w:rPr>
      </w:pPr>
    </w:p>
    <w:p>
      <w:pPr>
        <w:ind w:left="1260" w:hanging="540"/>
        <w:spacing w:after="0"/>
        <w:tabs>
          <w:tab w:leader="none" w:pos="1260" w:val="left"/>
        </w:tabs>
        <w:numPr>
          <w:ilvl w:val="0"/>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Financial Statements</w:t>
      </w:r>
    </w:p>
    <w:p>
      <w:pPr>
        <w:spacing w:after="0" w:line="160"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color w:val="231F20"/>
        </w:rPr>
        <w:t>The financial statements of ORIC Pharmaceuticals, Inc. are filed as part of this report on Form 10-K under Item 8. Financial Statements and Supplementary Data.</w:t>
      </w:r>
    </w:p>
    <w:p>
      <w:pPr>
        <w:spacing w:after="0" w:line="89" w:lineRule="exact"/>
        <w:rPr>
          <w:sz w:val="20"/>
          <w:szCs w:val="20"/>
          <w:color w:val="auto"/>
        </w:rPr>
      </w:pPr>
    </w:p>
    <w:p>
      <w:pPr>
        <w:ind w:left="1220" w:hanging="500"/>
        <w:spacing w:after="0"/>
        <w:tabs>
          <w:tab w:leader="none" w:pos="1220" w:val="left"/>
        </w:tabs>
        <w:numPr>
          <w:ilvl w:val="0"/>
          <w:numId w:val="7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Financial Statement Schedules</w:t>
      </w:r>
    </w:p>
    <w:p>
      <w:pPr>
        <w:spacing w:after="0" w:line="160"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All other schedules have been omitted because they are not required, not inapplicable, or the required information is included in the financial statements or notes thereto.</w:t>
      </w:r>
    </w:p>
    <w:p>
      <w:pPr>
        <w:spacing w:after="0" w:line="89" w:lineRule="exact"/>
        <w:rPr>
          <w:sz w:val="20"/>
          <w:szCs w:val="20"/>
          <w:color w:val="auto"/>
        </w:rPr>
      </w:pPr>
    </w:p>
    <w:p>
      <w:pPr>
        <w:ind w:left="1220" w:hanging="500"/>
        <w:spacing w:after="0"/>
        <w:tabs>
          <w:tab w:leader="none" w:pos="1220" w:val="left"/>
        </w:tabs>
        <w:numPr>
          <w:ilvl w:val="0"/>
          <w:numId w:val="7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Exhibits</w:t>
      </w:r>
    </w:p>
    <w:p>
      <w:pPr>
        <w:spacing w:after="0" w:line="160" w:lineRule="exact"/>
        <w:rPr>
          <w:sz w:val="20"/>
          <w:szCs w:val="20"/>
          <w:color w:val="auto"/>
        </w:rPr>
      </w:pPr>
    </w:p>
    <w:p>
      <w:pPr>
        <w:ind w:right="20" w:firstLine="720"/>
        <w:spacing w:after="0" w:line="277" w:lineRule="auto"/>
        <w:rPr>
          <w:sz w:val="20"/>
          <w:szCs w:val="20"/>
          <w:color w:val="auto"/>
        </w:rPr>
      </w:pPr>
      <w:r>
        <w:rPr>
          <w:rFonts w:ascii="Times New Roman" w:cs="Times New Roman" w:eastAsia="Times New Roman" w:hAnsi="Times New Roman"/>
          <w:sz w:val="20"/>
          <w:szCs w:val="20"/>
          <w:color w:val="231F20"/>
        </w:rPr>
        <w:t>The documents listed in the Exhibit Index are incorporated by reference or are filed with this report, in each case as indicated herein (numbered in accordance with Item 601 of Regulation S-K).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Item 16. Form 10-K Summary.</w:t>
      </w:r>
    </w:p>
    <w:p>
      <w:pPr>
        <w:spacing w:after="0" w:line="1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760"/>
          </w:cols>
          <w:pgMar w:left="540" w:top="7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129</w:t>
      </w:r>
    </w:p>
    <w:p>
      <w:pPr>
        <w:sectPr>
          <w:pgSz w:w="11880" w:h="15480" w:orient="portrait"/>
          <w:cols w:equalWidth="0" w:num="1">
            <w:col w:w="10760"/>
          </w:cols>
          <w:pgMar w:left="540" w:top="746" w:right="580" w:bottom="0"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9"/>
          <w:szCs w:val="19"/>
          <w:b w:val="1"/>
          <w:bCs w:val="1"/>
          <w:color w:val="231F20"/>
        </w:rPr>
        <w:t>Exhibit Index</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Exhibit</w:t>
            </w:r>
          </w:p>
        </w:tc>
        <w:tc>
          <w:tcPr>
            <w:tcW w:w="220" w:type="dxa"/>
            <w:vAlign w:val="bottom"/>
          </w:tcPr>
          <w:p>
            <w:pPr>
              <w:spacing w:after="0"/>
              <w:rPr>
                <w:sz w:val="16"/>
                <w:szCs w:val="16"/>
                <w:color w:val="auto"/>
              </w:rPr>
            </w:pPr>
          </w:p>
        </w:tc>
        <w:tc>
          <w:tcPr>
            <w:tcW w:w="4220" w:type="dxa"/>
            <w:vAlign w:val="bottom"/>
          </w:tcPr>
          <w:p>
            <w:pPr>
              <w:spacing w:after="0"/>
              <w:rPr>
                <w:sz w:val="16"/>
                <w:szCs w:val="16"/>
                <w:color w:val="auto"/>
              </w:rPr>
            </w:pPr>
          </w:p>
        </w:tc>
      </w:tr>
      <w:tr>
        <w:trPr>
          <w:trHeight w:val="203"/>
        </w:trPr>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220" w:type="dxa"/>
            <w:vAlign w:val="bottom"/>
          </w:tcPr>
          <w:p>
            <w:pPr>
              <w:spacing w:after="0"/>
              <w:rPr>
                <w:sz w:val="17"/>
                <w:szCs w:val="17"/>
                <w:color w:val="auto"/>
              </w:rPr>
            </w:pPr>
          </w:p>
        </w:tc>
        <w:tc>
          <w:tcPr>
            <w:tcW w:w="4220" w:type="dxa"/>
            <w:vAlign w:val="bottom"/>
            <w:tcBorders>
              <w:bottom w:val="single" w:sz="8" w:color="231F20"/>
            </w:tcBorders>
          </w:tcPr>
          <w:p>
            <w:pPr>
              <w:ind w:left="1720"/>
              <w:spacing w:after="0"/>
              <w:rPr>
                <w:sz w:val="20"/>
                <w:szCs w:val="20"/>
                <w:color w:val="auto"/>
              </w:rPr>
            </w:pPr>
            <w:r>
              <w:rPr>
                <w:rFonts w:ascii="Times New Roman" w:cs="Times New Roman" w:eastAsia="Times New Roman" w:hAnsi="Times New Roman"/>
                <w:sz w:val="16"/>
                <w:szCs w:val="16"/>
                <w:b w:val="1"/>
                <w:bCs w:val="1"/>
                <w:color w:val="231F20"/>
              </w:rPr>
              <w:t>Description</w:t>
            </w:r>
          </w:p>
        </w:tc>
      </w:tr>
      <w:tr>
        <w:trPr>
          <w:trHeight w:val="339"/>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3.1</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Amended and Restated Certificate of Incorporation</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of the Registrant</w:t>
            </w: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3.2</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Amended and Restated Bylaws of the Registrant</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Specimen Common Stock Certificate of the</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Registrant</w:t>
            </w: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4.2</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Description of the Registrant’s securities</w:t>
            </w: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4.3</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Form of Pre-Funded Warrant</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Form of Indemnification Agreement between the</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Registrant and each of its directors and executive</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officers</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10.2+</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2014 Equity Incentive Plan, as amended, and forms</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of agreement thereunder</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10.3+</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w w:val="99"/>
              </w:rPr>
              <w:t>2020 Equity Incentive Plan and forms of agreements</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thereunder</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10.4+</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2020 Employee Stock Purchase Plan and forms of</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agreements thereunder</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10.5+</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Employment Letter between the Registrant and</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Jacob M. Chacko, M.D.</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10.6+</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Employment Letter between the Registrant and</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Pratik Multani, M.D.</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10.7+</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Employment Letter between the Registrant and</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Dominic Piscitelli</w:t>
            </w: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10.8+</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Executive Incentive Compensation Plan</w:t>
            </w:r>
          </w:p>
        </w:tc>
      </w:tr>
      <w:tr>
        <w:trPr>
          <w:trHeight w:val="368"/>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10.9+</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Change in Control and Severance Policy</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10.10+</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Amended and Restated Outside Director</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Compensation Policy</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10.11</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Lease between the Registrant and Britannia Pointe</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Grand Limited Partnership, dated June 5, 2015</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10.12</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First Amendment to Lease between the Registrant</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and Britannia Pointe Grand Limited Partnership,</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dated August 12, 2021</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10.13+</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Amended and Restated 2022 Inducement Equity</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Incentive Plan, and form agreements thereunder</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10.14#</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License Agreement between the Registrant and</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Mirati Therapeutics, Inc., dated as of August 3,</w:t>
            </w:r>
          </w:p>
        </w:tc>
      </w:tr>
      <w:tr>
        <w:trPr>
          <w:trHeight w:val="266"/>
        </w:trPr>
        <w:tc>
          <w:tcPr>
            <w:tcW w:w="860" w:type="dxa"/>
            <w:vAlign w:val="bottom"/>
          </w:tcPr>
          <w:p>
            <w:pPr>
              <w:spacing w:after="0"/>
              <w:rPr>
                <w:sz w:val="23"/>
                <w:szCs w:val="23"/>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818385"/>
              </w:rPr>
              <w:t>2020.</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10.15#</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License and Collaboration Agreement between the</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Registrant and Voronoi, Inc., dated as of October</w:t>
            </w:r>
          </w:p>
        </w:tc>
      </w:tr>
      <w:tr>
        <w:trPr>
          <w:trHeight w:val="266"/>
        </w:trPr>
        <w:tc>
          <w:tcPr>
            <w:tcW w:w="860" w:type="dxa"/>
            <w:vAlign w:val="bottom"/>
          </w:tcPr>
          <w:p>
            <w:pPr>
              <w:spacing w:after="0"/>
              <w:rPr>
                <w:sz w:val="23"/>
                <w:szCs w:val="23"/>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818385"/>
              </w:rPr>
              <w:t>19, 2020.</w:t>
            </w:r>
          </w:p>
        </w:tc>
      </w:tr>
      <w:tr>
        <w:trPr>
          <w:trHeight w:val="332"/>
        </w:trPr>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10.16</w:t>
            </w:r>
          </w:p>
        </w:tc>
        <w:tc>
          <w:tcPr>
            <w:tcW w:w="2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Amendment No.1 to the License and Collaboration</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Agreement between the Registrant and Voronoi</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818385"/>
              </w:rPr>
              <w:t>Inc., effective March 20,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-7896860</wp:posOffset>
            </wp:positionV>
            <wp:extent cx="6858000" cy="7886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3">
                      <a:extLst>
                        <a:ext uri="{28A0092B-C50C-407E-A947-70E740481C1C}"/>
                      </a:extLst>
                    </a:blip>
                    <a:srcRect/>
                    <a:stretch>
                      <a:fillRect/>
                    </a:stretch>
                  </pic:blipFill>
                  <pic:spPr bwMode="auto">
                    <a:xfrm>
                      <a:off x="0" y="0"/>
                      <a:ext cx="6858000" cy="7886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44450</wp:posOffset>
                </wp:positionV>
                <wp:extent cx="335216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21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5pt" to="263.95pt,3.5pt" o:allowincell="f" strokecolor="#231F20" strokeweight="0.5pt"/>
            </w:pict>
          </mc:Fallback>
        </mc:AlternateConten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220" w:type="dxa"/>
            <w:vAlign w:val="bottom"/>
          </w:tcPr>
          <w:p>
            <w:pPr>
              <w:spacing w:after="0"/>
              <w:rPr>
                <w:sz w:val="17"/>
                <w:szCs w:val="17"/>
                <w:color w:val="auto"/>
              </w:rPr>
            </w:pPr>
          </w:p>
        </w:tc>
        <w:tc>
          <w:tcPr>
            <w:tcW w:w="1400" w:type="dxa"/>
            <w:vAlign w:val="bottom"/>
            <w:tcBorders>
              <w:bottom w:val="single" w:sz="8" w:color="231F20"/>
            </w:tcBorders>
          </w:tcPr>
          <w:p>
            <w:pPr>
              <w:ind w:left="440"/>
              <w:spacing w:after="0"/>
              <w:rPr>
                <w:sz w:val="20"/>
                <w:szCs w:val="20"/>
                <w:color w:val="auto"/>
              </w:rPr>
            </w:pPr>
            <w:r>
              <w:rPr>
                <w:rFonts w:ascii="Times New Roman" w:cs="Times New Roman" w:eastAsia="Times New Roman" w:hAnsi="Times New Roman"/>
                <w:sz w:val="16"/>
                <w:szCs w:val="16"/>
                <w:b w:val="1"/>
                <w:bCs w:val="1"/>
                <w:color w:val="231F20"/>
              </w:rPr>
              <w:t>File No.</w:t>
            </w:r>
          </w:p>
        </w:tc>
        <w:tc>
          <w:tcPr>
            <w:tcW w:w="220" w:type="dxa"/>
            <w:vAlign w:val="bottom"/>
          </w:tcPr>
          <w:p>
            <w:pPr>
              <w:spacing w:after="0"/>
              <w:rPr>
                <w:sz w:val="17"/>
                <w:szCs w:val="17"/>
                <w:color w:val="auto"/>
              </w:rPr>
            </w:pPr>
          </w:p>
        </w:tc>
        <w:tc>
          <w:tcPr>
            <w:tcW w:w="74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200" w:type="dxa"/>
            <w:vAlign w:val="bottom"/>
          </w:tcPr>
          <w:p>
            <w:pPr>
              <w:spacing w:after="0"/>
              <w:rPr>
                <w:sz w:val="17"/>
                <w:szCs w:val="17"/>
                <w:color w:val="auto"/>
              </w:rPr>
            </w:pPr>
          </w:p>
        </w:tc>
        <w:tc>
          <w:tcPr>
            <w:tcW w:w="17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Filing Date</w:t>
            </w:r>
          </w:p>
        </w:tc>
      </w:tr>
      <w:tr>
        <w:trPr>
          <w:trHeight w:val="605"/>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8-K</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rPr>
              <w:t>001-39269</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5"/>
              </w:rPr>
              <w:t>3.1</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4/28/20</w:t>
            </w:r>
          </w:p>
        </w:tc>
      </w:tr>
      <w:tr>
        <w:trPr>
          <w:trHeight w:val="36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8-K</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rPr>
              <w:t>001-39269</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5"/>
              </w:rPr>
              <w:t>3.1</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3/24/23</w:t>
            </w:r>
          </w:p>
        </w:tc>
      </w:tr>
      <w:tr>
        <w:trPr>
          <w:trHeight w:val="59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S-1/A</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w w:val="99"/>
              </w:rPr>
              <w:t>333-236792</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5"/>
              </w:rPr>
              <w:t>4.2</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4/20/20</w:t>
            </w:r>
          </w:p>
        </w:tc>
      </w:tr>
      <w:tr>
        <w:trPr>
          <w:trHeight w:val="36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10-K</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rPr>
              <w:t>001-39269</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5"/>
              </w:rPr>
              <w:t>4.3</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3/21/22</w:t>
            </w:r>
          </w:p>
        </w:tc>
      </w:tr>
      <w:tr>
        <w:trPr>
          <w:trHeight w:val="36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8-K</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rPr>
              <w:t>001-39269</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5"/>
              </w:rPr>
              <w:t>4.1</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5/28/25</w:t>
            </w:r>
          </w:p>
        </w:tc>
      </w:tr>
      <w:tr>
        <w:trPr>
          <w:trHeight w:val="82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w w:val="99"/>
              </w:rPr>
              <w:t>333-236792</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10.1</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2/28/20</w:t>
            </w:r>
          </w:p>
        </w:tc>
      </w:tr>
      <w:tr>
        <w:trPr>
          <w:trHeight w:val="59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w w:val="99"/>
              </w:rPr>
              <w:t>333-236792</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10.2</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2/28/20</w:t>
            </w:r>
          </w:p>
        </w:tc>
      </w:tr>
      <w:tr>
        <w:trPr>
          <w:trHeight w:val="59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S-1/A</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w w:val="99"/>
              </w:rPr>
              <w:t>333-236792</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10.3</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4/20/20</w:t>
            </w:r>
          </w:p>
        </w:tc>
      </w:tr>
      <w:tr>
        <w:trPr>
          <w:trHeight w:val="59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10-Q</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rPr>
              <w:t>001-39269</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10.2</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11/8/21</w:t>
            </w:r>
          </w:p>
        </w:tc>
      </w:tr>
      <w:tr>
        <w:trPr>
          <w:trHeight w:val="59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w w:val="99"/>
              </w:rPr>
              <w:t>333-236792</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10.5</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2/28/20</w:t>
            </w:r>
          </w:p>
        </w:tc>
      </w:tr>
      <w:tr>
        <w:trPr>
          <w:trHeight w:val="59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w w:val="99"/>
              </w:rPr>
              <w:t>333-236792</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10.6</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2/28/20</w:t>
            </w:r>
          </w:p>
        </w:tc>
      </w:tr>
      <w:tr>
        <w:trPr>
          <w:trHeight w:val="59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w w:val="99"/>
              </w:rPr>
              <w:t>333-236792</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10.7</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2/28/20</w:t>
            </w:r>
          </w:p>
        </w:tc>
      </w:tr>
      <w:tr>
        <w:trPr>
          <w:trHeight w:val="36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w w:val="99"/>
              </w:rPr>
              <w:t>333-236792</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10.8</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2/28/20</w:t>
            </w:r>
          </w:p>
        </w:tc>
      </w:tr>
      <w:tr>
        <w:trPr>
          <w:trHeight w:val="36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w w:val="99"/>
              </w:rPr>
              <w:t>333-236792</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10.9</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2/28/20</w:t>
            </w:r>
          </w:p>
        </w:tc>
      </w:tr>
      <w:tr>
        <w:trPr>
          <w:trHeight w:val="598"/>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Filed herewith</w:t>
            </w:r>
          </w:p>
        </w:tc>
      </w:tr>
      <w:tr>
        <w:trPr>
          <w:trHeight w:val="59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S-1</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w w:val="99"/>
              </w:rPr>
              <w:t>333-236792</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7"/>
              </w:rPr>
              <w:t>10.11</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2/28/20</w:t>
            </w:r>
          </w:p>
        </w:tc>
      </w:tr>
      <w:tr>
        <w:trPr>
          <w:trHeight w:val="82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8-K</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rPr>
              <w:t>001-39269</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10.1</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8/16/21</w:t>
            </w:r>
          </w:p>
        </w:tc>
      </w:tr>
      <w:tr>
        <w:trPr>
          <w:trHeight w:val="59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8-K</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rPr>
              <w:t>001-39269</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10.1</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3/14/25</w:t>
            </w:r>
          </w:p>
        </w:tc>
      </w:tr>
      <w:tr>
        <w:trPr>
          <w:trHeight w:val="82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10-Q</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rPr>
              <w:t>001-39269</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10.2</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7"/>
              </w:rPr>
              <w:t>5/9/22</w:t>
            </w:r>
          </w:p>
        </w:tc>
      </w:tr>
      <w:tr>
        <w:trPr>
          <w:trHeight w:val="82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10-Q</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rPr>
              <w:t>001-39269</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10.3</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7"/>
              </w:rPr>
              <w:t>5/9/22</w:t>
            </w:r>
          </w:p>
        </w:tc>
      </w:tr>
      <w:tr>
        <w:trPr>
          <w:trHeight w:val="828"/>
        </w:trPr>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10-Q</w:t>
            </w:r>
          </w:p>
        </w:tc>
        <w:tc>
          <w:tcPr>
            <w:tcW w:w="162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231F20"/>
              </w:rPr>
              <w:t>001-39269</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10.1</w:t>
            </w:r>
          </w:p>
        </w:tc>
        <w:tc>
          <w:tcPr>
            <w:tcW w:w="194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7"/>
              </w:rPr>
              <w:t>5/6/24</w:t>
            </w:r>
          </w:p>
        </w:tc>
      </w:tr>
    </w:tbl>
    <w:p>
      <w:pPr>
        <w:spacing w:after="0" w:line="200" w:lineRule="exact"/>
        <w:rPr>
          <w:sz w:val="20"/>
          <w:szCs w:val="20"/>
          <w:color w:val="auto"/>
        </w:rPr>
      </w:pPr>
    </w:p>
    <w:p>
      <w:pPr>
        <w:sectPr>
          <w:pgSz w:w="11880" w:h="15480" w:orient="portrait"/>
          <w:cols w:equalWidth="0" w:num="2">
            <w:col w:w="5300" w:space="220"/>
            <w:col w:w="5280"/>
          </w:cols>
          <w:pgMar w:left="540" w:top="746" w:right="540" w:bottom="0" w:gutter="0" w:footer="0" w:header="0"/>
          <w:type w:val="continuous"/>
        </w:sectPr>
      </w:pP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130</w:t>
      </w:r>
    </w:p>
    <w:p>
      <w:pPr>
        <w:sectPr>
          <w:pgSz w:w="11880" w:h="15480" w:orient="portrait"/>
          <w:cols w:equalWidth="0" w:num="1">
            <w:col w:w="10800"/>
          </w:cols>
          <w:pgMar w:left="540" w:top="746" w:right="540" w:bottom="0" w:gutter="0" w:footer="0" w:header="0"/>
          <w:type w:val="continuous"/>
        </w:sectPr>
      </w:pPr>
    </w:p>
    <w:bookmarkStart w:id="136" w:name="page137"/>
    <w:bookmarkEnd w:id="136"/>
    <w:tbl>
      <w:tblPr>
        <w:tblLayout w:type="fixed"/>
        <w:tblInd w:w="60" w:type="dxa"/>
        <w:tblCellMar>
          <w:top w:w="0" w:type="dxa"/>
          <w:left w:w="0" w:type="dxa"/>
          <w:bottom w:w="0" w:type="dxa"/>
          <w:right w:w="0" w:type="dxa"/>
        </w:tblCellMar>
      </w:tblPr>
      <w:tr>
        <w:trPr>
          <w:trHeight w:val="299"/>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rPr>
              <w:t>10.17</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Open Market Sales Agreement</w:t>
            </w:r>
            <w:r>
              <w:rPr>
                <w:rFonts w:ascii="Times New Roman" w:cs="Times New Roman" w:eastAsia="Times New Roman" w:hAnsi="Times New Roman"/>
                <w:sz w:val="26"/>
                <w:szCs w:val="26"/>
                <w:color w:val="818385"/>
                <w:vertAlign w:val="superscript"/>
              </w:rPr>
              <w:t>SM</w:t>
            </w:r>
            <w:r>
              <w:rPr>
                <w:rFonts w:ascii="Times New Roman" w:cs="Times New Roman" w:eastAsia="Times New Roman" w:hAnsi="Times New Roman"/>
                <w:sz w:val="20"/>
                <w:szCs w:val="20"/>
                <w:color w:val="818385"/>
              </w:rPr>
              <w:t xml:space="preserve"> by and between</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the Registrant and Jefferies LLC, dated May 6, 2021</w:t>
            </w: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rPr>
              <w:t>8-K</w:t>
            </w:r>
          </w:p>
        </w:tc>
        <w:tc>
          <w:tcPr>
            <w:tcW w:w="15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001-39269</w:t>
            </w:r>
          </w:p>
        </w:tc>
        <w:tc>
          <w:tcPr>
            <w:tcW w:w="9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5"/>
              </w:rPr>
              <w:t>1.1</w:t>
            </w:r>
          </w:p>
        </w:tc>
        <w:tc>
          <w:tcPr>
            <w:tcW w:w="176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231F20"/>
                <w:w w:val="97"/>
              </w:rPr>
              <w:t>5/6/21</w:t>
            </w:r>
          </w:p>
        </w:tc>
        <w:tc>
          <w:tcPr>
            <w:tcW w:w="0" w:type="dxa"/>
            <w:vAlign w:val="bottom"/>
          </w:tcPr>
          <w:p>
            <w:pPr>
              <w:spacing w:after="0"/>
              <w:rPr>
                <w:sz w:val="1"/>
                <w:szCs w:val="1"/>
                <w:color w:val="auto"/>
              </w:rPr>
            </w:pPr>
          </w:p>
        </w:tc>
      </w:tr>
      <w:tr>
        <w:trPr>
          <w:trHeight w:val="368"/>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rPr>
              <w:t>10.18</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Securities Purchase Agreement, dated June 24, 2023</w:t>
            </w: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rPr>
              <w:t>8-K</w:t>
            </w:r>
          </w:p>
        </w:tc>
        <w:tc>
          <w:tcPr>
            <w:tcW w:w="15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001-39269</w:t>
            </w:r>
          </w:p>
        </w:tc>
        <w:tc>
          <w:tcPr>
            <w:tcW w:w="9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10.1</w:t>
            </w:r>
          </w:p>
        </w:tc>
        <w:tc>
          <w:tcPr>
            <w:tcW w:w="176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231F20"/>
              </w:rPr>
              <w:t>6/27/23</w:t>
            </w:r>
          </w:p>
        </w:tc>
        <w:tc>
          <w:tcPr>
            <w:tcW w:w="0" w:type="dxa"/>
            <w:vAlign w:val="bottom"/>
          </w:tcPr>
          <w:p>
            <w:pPr>
              <w:spacing w:after="0"/>
              <w:rPr>
                <w:sz w:val="1"/>
                <w:szCs w:val="1"/>
                <w:color w:val="auto"/>
              </w:rPr>
            </w:pPr>
          </w:p>
        </w:tc>
      </w:tr>
      <w:tr>
        <w:trPr>
          <w:trHeight w:val="368"/>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rPr>
              <w:t>10.19</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Stock Purchase Agreement, dated January 20, 2024</w:t>
            </w: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rPr>
              <w:t>8-K</w:t>
            </w:r>
          </w:p>
        </w:tc>
        <w:tc>
          <w:tcPr>
            <w:tcW w:w="15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001-39269</w:t>
            </w:r>
          </w:p>
        </w:tc>
        <w:tc>
          <w:tcPr>
            <w:tcW w:w="9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10.1</w:t>
            </w:r>
          </w:p>
        </w:tc>
        <w:tc>
          <w:tcPr>
            <w:tcW w:w="176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231F20"/>
              </w:rPr>
              <w:t>1/22/24</w:t>
            </w:r>
          </w:p>
        </w:tc>
        <w:tc>
          <w:tcPr>
            <w:tcW w:w="0" w:type="dxa"/>
            <w:vAlign w:val="bottom"/>
          </w:tcPr>
          <w:p>
            <w:pPr>
              <w:spacing w:after="0"/>
              <w:rPr>
                <w:sz w:val="1"/>
                <w:szCs w:val="1"/>
                <w:color w:val="auto"/>
              </w:rPr>
            </w:pPr>
          </w:p>
        </w:tc>
      </w:tr>
      <w:tr>
        <w:trPr>
          <w:trHeight w:val="368"/>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rPr>
              <w:t>10.20</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Securities Purchase Agreement, dated May 23, 2025</w:t>
            </w: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rPr>
              <w:t>8-K</w:t>
            </w:r>
          </w:p>
        </w:tc>
        <w:tc>
          <w:tcPr>
            <w:tcW w:w="15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001-39269</w:t>
            </w:r>
          </w:p>
        </w:tc>
        <w:tc>
          <w:tcPr>
            <w:tcW w:w="9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10.1</w:t>
            </w:r>
          </w:p>
        </w:tc>
        <w:tc>
          <w:tcPr>
            <w:tcW w:w="176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231F20"/>
              </w:rPr>
              <w:t>5/28/25</w:t>
            </w:r>
          </w:p>
        </w:tc>
        <w:tc>
          <w:tcPr>
            <w:tcW w:w="0" w:type="dxa"/>
            <w:vAlign w:val="bottom"/>
          </w:tcPr>
          <w:p>
            <w:pPr>
              <w:spacing w:after="0"/>
              <w:rPr>
                <w:sz w:val="1"/>
                <w:szCs w:val="1"/>
                <w:color w:val="auto"/>
              </w:rPr>
            </w:pPr>
          </w:p>
        </w:tc>
      </w:tr>
      <w:tr>
        <w:trPr>
          <w:trHeight w:val="368"/>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w w:val="97"/>
              </w:rPr>
              <w:t>19.1</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Insider Trading Policy, as amended</w:t>
            </w: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w w:val="97"/>
              </w:rPr>
              <w:t>10-K</w:t>
            </w:r>
          </w:p>
        </w:tc>
        <w:tc>
          <w:tcPr>
            <w:tcW w:w="15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001-39269</w:t>
            </w:r>
          </w:p>
        </w:tc>
        <w:tc>
          <w:tcPr>
            <w:tcW w:w="9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19.1</w:t>
            </w:r>
          </w:p>
        </w:tc>
        <w:tc>
          <w:tcPr>
            <w:tcW w:w="176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231F20"/>
              </w:rPr>
              <w:t>2/18/25</w:t>
            </w:r>
          </w:p>
        </w:tc>
        <w:tc>
          <w:tcPr>
            <w:tcW w:w="0" w:type="dxa"/>
            <w:vAlign w:val="bottom"/>
          </w:tcPr>
          <w:p>
            <w:pPr>
              <w:spacing w:after="0"/>
              <w:rPr>
                <w:sz w:val="1"/>
                <w:szCs w:val="1"/>
                <w:color w:val="auto"/>
              </w:rPr>
            </w:pPr>
          </w:p>
        </w:tc>
      </w:tr>
      <w:tr>
        <w:trPr>
          <w:trHeight w:val="332"/>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w w:val="97"/>
              </w:rPr>
              <w:t>23.1</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Consent of Independent Registered Public</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Filed herewith</w:t>
            </w:r>
          </w:p>
        </w:tc>
        <w:tc>
          <w:tcPr>
            <w:tcW w:w="0" w:type="dxa"/>
            <w:vAlign w:val="bottom"/>
          </w:tcPr>
          <w:p>
            <w:pPr>
              <w:spacing w:after="0"/>
              <w:rPr>
                <w:sz w:val="1"/>
                <w:szCs w:val="1"/>
                <w:color w:val="auto"/>
              </w:rPr>
            </w:pPr>
          </w:p>
        </w:tc>
      </w:tr>
      <w:tr>
        <w:trPr>
          <w:trHeight w:val="151"/>
        </w:trPr>
        <w:tc>
          <w:tcPr>
            <w:tcW w:w="880" w:type="dxa"/>
            <w:vAlign w:val="bottom"/>
          </w:tcPr>
          <w:p>
            <w:pPr>
              <w:spacing w:after="0"/>
              <w:rPr>
                <w:sz w:val="13"/>
                <w:szCs w:val="13"/>
                <w:color w:val="auto"/>
              </w:rPr>
            </w:pPr>
          </w:p>
        </w:tc>
        <w:tc>
          <w:tcPr>
            <w:tcW w:w="45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818385"/>
              </w:rPr>
              <w:t>Accounting Firm</w:t>
            </w:r>
          </w:p>
        </w:tc>
        <w:tc>
          <w:tcPr>
            <w:tcW w:w="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2"/>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w w:val="97"/>
              </w:rPr>
              <w:t>24.1</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Power of Attorney (included on the signature page</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Filed herewith</w:t>
            </w:r>
          </w:p>
        </w:tc>
        <w:tc>
          <w:tcPr>
            <w:tcW w:w="0" w:type="dxa"/>
            <w:vAlign w:val="bottom"/>
          </w:tcPr>
          <w:p>
            <w:pPr>
              <w:spacing w:after="0"/>
              <w:rPr>
                <w:sz w:val="1"/>
                <w:szCs w:val="1"/>
                <w:color w:val="auto"/>
              </w:rPr>
            </w:pPr>
          </w:p>
        </w:tc>
      </w:tr>
      <w:tr>
        <w:trPr>
          <w:trHeight w:val="151"/>
        </w:trPr>
        <w:tc>
          <w:tcPr>
            <w:tcW w:w="880" w:type="dxa"/>
            <w:vAlign w:val="bottom"/>
          </w:tcPr>
          <w:p>
            <w:pPr>
              <w:spacing w:after="0"/>
              <w:rPr>
                <w:sz w:val="13"/>
                <w:szCs w:val="13"/>
                <w:color w:val="auto"/>
              </w:rPr>
            </w:pPr>
          </w:p>
        </w:tc>
        <w:tc>
          <w:tcPr>
            <w:tcW w:w="45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818385"/>
              </w:rPr>
              <w:t>to this Annual Report on Form 10-K)</w:t>
            </w:r>
          </w:p>
        </w:tc>
        <w:tc>
          <w:tcPr>
            <w:tcW w:w="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2"/>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w w:val="97"/>
              </w:rPr>
              <w:t>31.1</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Certification of Principal Executive Officer</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Pursuant to Rules 13a-14(a) and 15d-14(a) under the</w:t>
            </w: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Securities Exchange Act of 1934, as Adopted</w:t>
            </w: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Filed herewith</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Pursuant to Section 302 of the Sarbanes-Oxley Act</w:t>
            </w: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of 2002</w:t>
            </w: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w w:val="97"/>
              </w:rPr>
              <w:t>31.2</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Certification of Principal Financial Officer Pursuant</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to Rules 13a-14(a) and 15d-14(a) under the</w:t>
            </w: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Securities Exchange Act of 1934, as Adopted</w:t>
            </w: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Filed herewith</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Pursuant to Section 302 of the Sarbanes-Oxley Act</w:t>
            </w: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of 2002</w:t>
            </w: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rPr>
              <w:t>32.1*</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Certification of Principal Executive Officer</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Pursuant to 18 U.S.C. Section 1350, as Adopted</w:t>
            </w: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w w:val="99"/>
              </w:rPr>
              <w:t>Furnished herewith</w:t>
            </w:r>
          </w:p>
        </w:tc>
        <w:tc>
          <w:tcPr>
            <w:tcW w:w="0" w:type="dxa"/>
            <w:vAlign w:val="bottom"/>
          </w:tcPr>
          <w:p>
            <w:pPr>
              <w:spacing w:after="0"/>
              <w:rPr>
                <w:sz w:val="1"/>
                <w:szCs w:val="1"/>
                <w:color w:val="auto"/>
              </w:rPr>
            </w:pPr>
          </w:p>
        </w:tc>
      </w:tr>
      <w:tr>
        <w:trPr>
          <w:trHeight w:val="151"/>
        </w:trPr>
        <w:tc>
          <w:tcPr>
            <w:tcW w:w="880" w:type="dxa"/>
            <w:vAlign w:val="bottom"/>
          </w:tcPr>
          <w:p>
            <w:pPr>
              <w:spacing w:after="0"/>
              <w:rPr>
                <w:sz w:val="13"/>
                <w:szCs w:val="13"/>
                <w:color w:val="auto"/>
              </w:rPr>
            </w:pPr>
          </w:p>
        </w:tc>
        <w:tc>
          <w:tcPr>
            <w:tcW w:w="45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818385"/>
              </w:rPr>
              <w:t>Pursuant to Section 906 of the Sarbanes-Oxley Act</w:t>
            </w:r>
          </w:p>
        </w:tc>
        <w:tc>
          <w:tcPr>
            <w:tcW w:w="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880" w:type="dxa"/>
            <w:vAlign w:val="bottom"/>
          </w:tcPr>
          <w:p>
            <w:pPr>
              <w:spacing w:after="0"/>
              <w:rPr>
                <w:sz w:val="6"/>
                <w:szCs w:val="6"/>
                <w:color w:val="auto"/>
              </w:rPr>
            </w:pPr>
          </w:p>
        </w:tc>
        <w:tc>
          <w:tcPr>
            <w:tcW w:w="45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of 2002</w:t>
            </w: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rPr>
              <w:t>32.2*</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Certification of Principal Financial Officer Pursuant</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to 18 U.S.C. Section 1350, as Adopted Pursuant to</w:t>
            </w: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Furnished herewith</w:t>
            </w: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Section 906 of the Sarbanes-Oxley Act of 2002</w:t>
            </w: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w w:val="99"/>
              </w:rPr>
              <w:t>97.1+</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818385"/>
              </w:rPr>
              <w:t>Compensation Recovery Policy</w:t>
            </w: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w w:val="97"/>
              </w:rPr>
              <w:t>10-K</w:t>
            </w:r>
          </w:p>
        </w:tc>
        <w:tc>
          <w:tcPr>
            <w:tcW w:w="15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001-39269</w:t>
            </w:r>
          </w:p>
        </w:tc>
        <w:tc>
          <w:tcPr>
            <w:tcW w:w="9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97.1</w:t>
            </w:r>
          </w:p>
        </w:tc>
        <w:tc>
          <w:tcPr>
            <w:tcW w:w="1760" w:type="dxa"/>
            <w:vAlign w:val="bottom"/>
          </w:tcPr>
          <w:p>
            <w:pPr>
              <w:jc w:val="center"/>
              <w:ind w:left="280"/>
              <w:spacing w:after="0"/>
              <w:rPr>
                <w:sz w:val="20"/>
                <w:szCs w:val="20"/>
                <w:color w:val="auto"/>
              </w:rPr>
            </w:pPr>
            <w:r>
              <w:rPr>
                <w:rFonts w:ascii="Times New Roman" w:cs="Times New Roman" w:eastAsia="Times New Roman" w:hAnsi="Times New Roman"/>
                <w:sz w:val="20"/>
                <w:szCs w:val="20"/>
                <w:color w:val="231F20"/>
              </w:rPr>
              <w:t>3/11/24</w:t>
            </w:r>
          </w:p>
        </w:tc>
        <w:tc>
          <w:tcPr>
            <w:tcW w:w="0" w:type="dxa"/>
            <w:vAlign w:val="bottom"/>
          </w:tcPr>
          <w:p>
            <w:pPr>
              <w:spacing w:after="0"/>
              <w:rPr>
                <w:sz w:val="1"/>
                <w:szCs w:val="1"/>
                <w:color w:val="auto"/>
              </w:rPr>
            </w:pPr>
          </w:p>
        </w:tc>
      </w:tr>
      <w:tr>
        <w:trPr>
          <w:trHeight w:val="368"/>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w w:val="98"/>
              </w:rPr>
              <w:t>101.INS</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Inline XBRL Instance Document</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Furnished herewith</w:t>
            </w:r>
          </w:p>
        </w:tc>
        <w:tc>
          <w:tcPr>
            <w:tcW w:w="0" w:type="dxa"/>
            <w:vAlign w:val="bottom"/>
          </w:tcPr>
          <w:p>
            <w:pPr>
              <w:spacing w:after="0"/>
              <w:rPr>
                <w:sz w:val="1"/>
                <w:szCs w:val="1"/>
                <w:color w:val="auto"/>
              </w:rPr>
            </w:pPr>
          </w:p>
        </w:tc>
      </w:tr>
      <w:tr>
        <w:trPr>
          <w:trHeight w:val="332"/>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rPr>
              <w:t>101.SCH</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Inline XBRL Taxonomy Extension Schema with</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w w:val="99"/>
              </w:rPr>
              <w:t>Furnished herewith</w:t>
            </w:r>
          </w:p>
        </w:tc>
        <w:tc>
          <w:tcPr>
            <w:tcW w:w="0" w:type="dxa"/>
            <w:vAlign w:val="bottom"/>
          </w:tcPr>
          <w:p>
            <w:pPr>
              <w:spacing w:after="0"/>
              <w:rPr>
                <w:sz w:val="1"/>
                <w:szCs w:val="1"/>
                <w:color w:val="auto"/>
              </w:rPr>
            </w:pPr>
          </w:p>
        </w:tc>
      </w:tr>
      <w:tr>
        <w:trPr>
          <w:trHeight w:val="151"/>
        </w:trPr>
        <w:tc>
          <w:tcPr>
            <w:tcW w:w="880" w:type="dxa"/>
            <w:vAlign w:val="bottom"/>
          </w:tcPr>
          <w:p>
            <w:pPr>
              <w:spacing w:after="0"/>
              <w:rPr>
                <w:sz w:val="13"/>
                <w:szCs w:val="13"/>
                <w:color w:val="auto"/>
              </w:rPr>
            </w:pPr>
          </w:p>
        </w:tc>
        <w:tc>
          <w:tcPr>
            <w:tcW w:w="45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231F20"/>
              </w:rPr>
              <w:t>Embedded Linkbase Document</w:t>
            </w:r>
          </w:p>
        </w:tc>
        <w:tc>
          <w:tcPr>
            <w:tcW w:w="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2"/>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231F20"/>
                <w:w w:val="99"/>
              </w:rPr>
              <w:t>104</w:t>
            </w:r>
          </w:p>
        </w:tc>
        <w:tc>
          <w:tcPr>
            <w:tcW w:w="45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Cover Page Interactive Data File (embedded within</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w w:val="99"/>
              </w:rPr>
              <w:t>Furnished herewith</w:t>
            </w:r>
          </w:p>
        </w:tc>
        <w:tc>
          <w:tcPr>
            <w:tcW w:w="0" w:type="dxa"/>
            <w:vAlign w:val="bottom"/>
          </w:tcPr>
          <w:p>
            <w:pPr>
              <w:spacing w:after="0"/>
              <w:rPr>
                <w:sz w:val="1"/>
                <w:szCs w:val="1"/>
                <w:color w:val="auto"/>
              </w:rPr>
            </w:pPr>
          </w:p>
        </w:tc>
      </w:tr>
      <w:tr>
        <w:trPr>
          <w:trHeight w:val="151"/>
        </w:trPr>
        <w:tc>
          <w:tcPr>
            <w:tcW w:w="880" w:type="dxa"/>
            <w:vAlign w:val="bottom"/>
          </w:tcPr>
          <w:p>
            <w:pPr>
              <w:spacing w:after="0"/>
              <w:rPr>
                <w:sz w:val="13"/>
                <w:szCs w:val="13"/>
                <w:color w:val="auto"/>
              </w:rPr>
            </w:pPr>
          </w:p>
        </w:tc>
        <w:tc>
          <w:tcPr>
            <w:tcW w:w="45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231F20"/>
              </w:rPr>
              <w:t>the Inline XBRL document)</w:t>
            </w:r>
          </w:p>
        </w:tc>
        <w:tc>
          <w:tcPr>
            <w:tcW w:w="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342900</wp:posOffset>
            </wp:positionH>
            <wp:positionV relativeFrom="page">
              <wp:posOffset>488950</wp:posOffset>
            </wp:positionV>
            <wp:extent cx="6858000" cy="5462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4">
                      <a:extLst>
                        <a:ext uri="{28A0092B-C50C-407E-A947-70E740481C1C}"/>
                      </a:extLst>
                    </a:blip>
                    <a:srcRect/>
                    <a:stretch>
                      <a:fillRect/>
                    </a:stretch>
                  </pic:blipFill>
                  <pic:spPr bwMode="auto">
                    <a:xfrm>
                      <a:off x="0" y="0"/>
                      <a:ext cx="6858000" cy="54622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92710</wp:posOffset>
                </wp:positionV>
                <wp:extent cx="18288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3pt" to="144pt,7.3pt" o:allowincell="f" strokecolor="#231F20" strokeweight="0.5pt"/>
            </w:pict>
          </mc:Fallback>
        </mc:AlternateContent>
      </w:r>
    </w:p>
    <w:p>
      <w:pPr>
        <w:spacing w:after="0" w:line="246" w:lineRule="exact"/>
        <w:rPr>
          <w:sz w:val="20"/>
          <w:szCs w:val="20"/>
          <w:color w:val="auto"/>
        </w:rPr>
      </w:pPr>
    </w:p>
    <w:p>
      <w:pPr>
        <w:ind w:left="440" w:hanging="440"/>
        <w:spacing w:after="0"/>
        <w:tabs>
          <w:tab w:leader="none" w:pos="440" w:val="left"/>
        </w:tabs>
        <w:numPr>
          <w:ilvl w:val="0"/>
          <w:numId w:val="8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Indicates management contract or compensatory plan.</w:t>
      </w:r>
    </w:p>
    <w:p>
      <w:pPr>
        <w:spacing w:after="0" w:line="134" w:lineRule="exact"/>
        <w:rPr>
          <w:sz w:val="20"/>
          <w:szCs w:val="20"/>
          <w:color w:val="auto"/>
        </w:rPr>
      </w:pPr>
    </w:p>
    <w:p>
      <w:pPr>
        <w:ind w:left="440" w:right="280" w:hanging="440"/>
        <w:spacing w:after="0" w:line="258" w:lineRule="auto"/>
        <w:tabs>
          <w:tab w:leader="none" w:pos="440" w:val="left"/>
        </w:tabs>
        <w:numPr>
          <w:ilvl w:val="0"/>
          <w:numId w:val="8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Portions of this exhibit (indicated by asterisks) have been omitted as the registrant has determined that (1) the omitted information is not material and (2) the omitted information would likely cause competitive harm to the registrant if publicly disclosed.</w:t>
      </w:r>
    </w:p>
    <w:p>
      <w:pPr>
        <w:spacing w:after="0" w:line="82" w:lineRule="exact"/>
        <w:rPr>
          <w:sz w:val="20"/>
          <w:szCs w:val="20"/>
          <w:color w:val="auto"/>
        </w:rPr>
      </w:pPr>
    </w:p>
    <w:p>
      <w:pPr>
        <w:ind w:left="440" w:right="80" w:hanging="440"/>
        <w:spacing w:after="0" w:line="249" w:lineRule="auto"/>
        <w:tabs>
          <w:tab w:leader="none" w:pos="440"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certifications attached as Exhibits 32.1 and 32.2 that accompany this Annual Report on Form 10-K are not deemed filed with the Securities and Exchange Commission and are not to be incorporated by reference into any filing of ORIC Pharmaceuticals, Inc. under the Securities Act of 1933, as amended, or the Securities Exchange Act of 1934, as amended, whether made before or after the date of this Annual Report on Form 10-K, irrespective of any general incorporation language contained in such filing.</w:t>
      </w:r>
    </w:p>
    <w:p>
      <w:pPr>
        <w:sectPr>
          <w:pgSz w:w="11880" w:h="15480" w:orient="portrait"/>
          <w:cols w:equalWidth="0" w:num="1">
            <w:col w:w="10620"/>
          </w:cols>
          <w:pgMar w:left="540" w:top="81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231F20"/>
        </w:rPr>
        <w:t>131</w:t>
      </w:r>
    </w:p>
    <w:p>
      <w:pPr>
        <w:sectPr>
          <w:pgSz w:w="11880" w:h="15480" w:orient="portrait"/>
          <w:cols w:equalWidth="0" w:num="1">
            <w:col w:w="10620"/>
          </w:cols>
          <w:pgMar w:left="540" w:top="819" w:right="720" w:bottom="0"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44" w:lineRule="exact"/>
        <w:rPr>
          <w:sz w:val="20"/>
          <w:szCs w:val="20"/>
          <w:color w:val="auto"/>
        </w:rPr>
      </w:pPr>
    </w:p>
    <w:p>
      <w:pPr>
        <w:ind w:right="200" w:firstLine="720"/>
        <w:spacing w:after="0" w:line="281"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231F20"/>
        </w:rPr>
        <w:t>.</w:t>
      </w:r>
    </w:p>
    <w:p>
      <w:pPr>
        <w:spacing w:after="0" w:line="1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231F20"/>
        </w:rPr>
        <w:t>ORIC Pharmaceuticals, Inc.</w:t>
      </w:r>
    </w:p>
    <w:p>
      <w:pPr>
        <w:spacing w:after="0" w:line="234" w:lineRule="exact"/>
        <w:rPr>
          <w:sz w:val="20"/>
          <w:szCs w:val="20"/>
          <w:color w:val="auto"/>
        </w:rPr>
      </w:pPr>
    </w:p>
    <w:p>
      <w:pPr>
        <w:spacing w:after="0"/>
        <w:tabs>
          <w:tab w:leader="none" w:pos="5180" w:val="left"/>
          <w:tab w:leader="none" w:pos="7340" w:val="left"/>
        </w:tabs>
        <w:rPr>
          <w:sz w:val="20"/>
          <w:szCs w:val="20"/>
          <w:color w:val="auto"/>
        </w:rPr>
      </w:pPr>
      <w:r>
        <w:rPr>
          <w:rFonts w:ascii="Times New Roman" w:cs="Times New Roman" w:eastAsia="Times New Roman" w:hAnsi="Times New Roman"/>
          <w:sz w:val="20"/>
          <w:szCs w:val="20"/>
          <w:color w:val="231F20"/>
        </w:rPr>
        <w:t>Date: February 23, 2026</w:t>
      </w:r>
      <w:r>
        <w:rPr>
          <w:sz w:val="20"/>
          <w:szCs w:val="20"/>
          <w:color w:val="auto"/>
        </w:rPr>
        <w:tab/>
      </w:r>
      <w:r>
        <w:rPr>
          <w:rFonts w:ascii="Times New Roman" w:cs="Times New Roman" w:eastAsia="Times New Roman" w:hAnsi="Times New Roman"/>
          <w:sz w:val="20"/>
          <w:szCs w:val="20"/>
          <w:color w:val="231F20"/>
        </w:rPr>
        <w:t>By:</w:t>
      </w:r>
      <w:r>
        <w:rPr>
          <w:sz w:val="20"/>
          <w:szCs w:val="20"/>
          <w:color w:val="auto"/>
        </w:rPr>
        <w:tab/>
      </w:r>
      <w:r>
        <w:rPr>
          <w:rFonts w:ascii="Times New Roman" w:cs="Times New Roman" w:eastAsia="Times New Roman" w:hAnsi="Times New Roman"/>
          <w:sz w:val="20"/>
          <w:szCs w:val="20"/>
          <w:color w:val="231F20"/>
        </w:rPr>
        <w:t>/s/ Jacob M. Chacko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3522345</wp:posOffset>
                </wp:positionH>
                <wp:positionV relativeFrom="paragraph">
                  <wp:posOffset>13970</wp:posOffset>
                </wp:positionV>
                <wp:extent cx="333565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35655"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35pt,1.1pt" to="540pt,1.1pt" o:allowincell="f" strokecolor="#231F20" strokeweight="0.25pt"/>
            </w:pict>
          </mc:Fallback>
        </mc:AlternateContent>
      </w:r>
    </w:p>
    <w:p>
      <w:pPr>
        <w:spacing w:after="0" w:line="1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20"/>
          <w:szCs w:val="20"/>
          <w:b w:val="1"/>
          <w:bCs w:val="1"/>
          <w:color w:val="231F20"/>
        </w:rPr>
        <w:t>Jacob M. Chacko, M.D.</w:t>
      </w:r>
    </w:p>
    <w:p>
      <w:pPr>
        <w:spacing w:after="0" w:line="1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231F20"/>
        </w:rPr>
        <w:t>President and Chief Executive Officer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POWER OF ATTORNEY</w:t>
      </w:r>
    </w:p>
    <w:p>
      <w:pPr>
        <w:spacing w:after="0" w:line="244"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KNOW ALL PERSONS BY THESE PRESENTS, that each person whose signature appears below constitutes and appoints Jacob M. Chacko, M.D. and Dominic Piscitelli as his or her true and lawful attorneys-in-fact and agents, with full power of substitution and substitution, for him or her and in his or her name, place, and stead, in any and all capacities (including his capacity as a director and/or officer of ORIC Pharmaceuticals, Inc.) to sign any or all amendments to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236" w:lineRule="exact"/>
        <w:rPr>
          <w:sz w:val="20"/>
          <w:szCs w:val="20"/>
          <w:color w:val="auto"/>
        </w:rPr>
      </w:pPr>
    </w:p>
    <w:p>
      <w:pPr>
        <w:ind w:right="160" w:firstLine="72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Signature</w:t>
            </w:r>
          </w:p>
        </w:tc>
        <w:tc>
          <w:tcPr>
            <w:tcW w:w="120" w:type="dxa"/>
            <w:vAlign w:val="bottom"/>
          </w:tcPr>
          <w:p>
            <w:pPr>
              <w:spacing w:after="0"/>
              <w:rPr>
                <w:sz w:val="22"/>
                <w:szCs w:val="22"/>
                <w:color w:val="auto"/>
              </w:rPr>
            </w:pPr>
          </w:p>
        </w:tc>
        <w:tc>
          <w:tcPr>
            <w:tcW w:w="46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Title</w:t>
            </w:r>
          </w:p>
        </w:tc>
        <w:tc>
          <w:tcPr>
            <w:tcW w:w="100" w:type="dxa"/>
            <w:vAlign w:val="bottom"/>
          </w:tcPr>
          <w:p>
            <w:pPr>
              <w:spacing w:after="0"/>
              <w:rPr>
                <w:sz w:val="22"/>
                <w:szCs w:val="22"/>
                <w:color w:val="auto"/>
              </w:rPr>
            </w:pPr>
          </w:p>
        </w:tc>
        <w:tc>
          <w:tcPr>
            <w:tcW w:w="23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Date</w:t>
            </w:r>
          </w:p>
        </w:tc>
      </w:tr>
      <w:tr>
        <w:trPr>
          <w:trHeight w:val="353"/>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Jacob M. Chacko</w:t>
            </w:r>
          </w:p>
        </w:tc>
        <w:tc>
          <w:tcPr>
            <w:tcW w:w="12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President and Chief Executive Officer</w:t>
            </w:r>
          </w:p>
        </w:tc>
        <w:tc>
          <w:tcPr>
            <w:tcW w:w="10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23, 2026</w:t>
            </w:r>
          </w:p>
        </w:tc>
      </w:tr>
      <w:tr>
        <w:trPr>
          <w:trHeight w:val="259"/>
        </w:trPr>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Jacob M. Chacko, M.D.</w:t>
            </w:r>
          </w:p>
        </w:tc>
        <w:tc>
          <w:tcPr>
            <w:tcW w:w="1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324"/>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Dominic Piscitelli</w:t>
            </w:r>
          </w:p>
        </w:tc>
        <w:tc>
          <w:tcPr>
            <w:tcW w:w="12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Chief Financial Officer</w:t>
            </w:r>
          </w:p>
        </w:tc>
        <w:tc>
          <w:tcPr>
            <w:tcW w:w="10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23, 2026</w:t>
            </w:r>
          </w:p>
        </w:tc>
      </w:tr>
      <w:tr>
        <w:trPr>
          <w:trHeight w:val="259"/>
        </w:trPr>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Dominic Piscitelli</w:t>
            </w:r>
          </w:p>
        </w:tc>
        <w:tc>
          <w:tcPr>
            <w:tcW w:w="1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324"/>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Richard Heyman</w:t>
            </w:r>
          </w:p>
        </w:tc>
        <w:tc>
          <w:tcPr>
            <w:tcW w:w="12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Chair of the Board of Directors</w:t>
            </w:r>
          </w:p>
        </w:tc>
        <w:tc>
          <w:tcPr>
            <w:tcW w:w="10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23, 2026</w:t>
            </w:r>
          </w:p>
        </w:tc>
      </w:tr>
      <w:tr>
        <w:trPr>
          <w:trHeight w:val="259"/>
        </w:trPr>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Richard Heyman, Ph.D.</w:t>
            </w:r>
          </w:p>
        </w:tc>
        <w:tc>
          <w:tcPr>
            <w:tcW w:w="1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324"/>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8"/>
              </w:rPr>
              <w:t>/s/ Mardi Dier</w:t>
            </w:r>
          </w:p>
        </w:tc>
        <w:tc>
          <w:tcPr>
            <w:tcW w:w="12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0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23, 2026</w:t>
            </w:r>
          </w:p>
        </w:tc>
      </w:tr>
      <w:tr>
        <w:trPr>
          <w:trHeight w:val="259"/>
        </w:trPr>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Mardi Dier</w:t>
            </w:r>
          </w:p>
        </w:tc>
        <w:tc>
          <w:tcPr>
            <w:tcW w:w="1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324"/>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Steven Hoerter</w:t>
            </w:r>
          </w:p>
        </w:tc>
        <w:tc>
          <w:tcPr>
            <w:tcW w:w="12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0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23, 2026</w:t>
            </w:r>
          </w:p>
        </w:tc>
      </w:tr>
      <w:tr>
        <w:trPr>
          <w:trHeight w:val="259"/>
        </w:trPr>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Steven Hoerter</w:t>
            </w:r>
          </w:p>
        </w:tc>
        <w:tc>
          <w:tcPr>
            <w:tcW w:w="1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416"/>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Lori Kunkel</w:t>
            </w:r>
          </w:p>
        </w:tc>
        <w:tc>
          <w:tcPr>
            <w:tcW w:w="12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0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23, 2026</w:t>
            </w:r>
          </w:p>
        </w:tc>
      </w:tr>
      <w:tr>
        <w:trPr>
          <w:trHeight w:val="259"/>
        </w:trPr>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Lori Kunkel, M.D.</w:t>
            </w:r>
          </w:p>
        </w:tc>
        <w:tc>
          <w:tcPr>
            <w:tcW w:w="1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324"/>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Angie You</w:t>
            </w:r>
          </w:p>
        </w:tc>
        <w:tc>
          <w:tcPr>
            <w:tcW w:w="12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0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23, 2026</w:t>
            </w:r>
          </w:p>
        </w:tc>
      </w:tr>
      <w:tr>
        <w:trPr>
          <w:trHeight w:val="259"/>
        </w:trPr>
        <w:tc>
          <w:tcPr>
            <w:tcW w:w="3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Angie You, Ph.D.</w:t>
            </w:r>
          </w:p>
        </w:tc>
        <w:tc>
          <w:tcPr>
            <w:tcW w:w="1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2263775</wp:posOffset>
                </wp:positionH>
                <wp:positionV relativeFrom="paragraph">
                  <wp:posOffset>-2767965</wp:posOffset>
                </wp:positionV>
                <wp:extent cx="7112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217.9499pt" to="183.85pt,-217.9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5304155</wp:posOffset>
                </wp:positionH>
                <wp:positionV relativeFrom="paragraph">
                  <wp:posOffset>-2767965</wp:posOffset>
                </wp:positionV>
                <wp:extent cx="7112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65pt,-217.9499pt" to="423.25pt,-217.9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-2531110</wp:posOffset>
                </wp:positionV>
                <wp:extent cx="7112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199.2999pt" to="183.85pt,-199.2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-2148205</wp:posOffset>
                </wp:positionV>
                <wp:extent cx="7112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169.1499pt" to="183.85pt,-169.1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-1765300</wp:posOffset>
                </wp:positionV>
                <wp:extent cx="7112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139pt" to="183.85pt,-13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-1382395</wp:posOffset>
                </wp:positionV>
                <wp:extent cx="7112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108.8499pt" to="183.85pt,-108.8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-999490</wp:posOffset>
                </wp:positionV>
                <wp:extent cx="7112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78.6999pt" to="183.85pt,-78.6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-558165</wp:posOffset>
                </wp:positionV>
                <wp:extent cx="7112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43.9499pt" to="183.85pt,-43.9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2263775</wp:posOffset>
                </wp:positionH>
                <wp:positionV relativeFrom="paragraph">
                  <wp:posOffset>-175260</wp:posOffset>
                </wp:positionV>
                <wp:extent cx="7112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25pt,-13.7999pt" to="183.85pt,-13.7999pt" o:allowincell="f" strokecolor="#FFFFFF" strokeweight="0.25pt"/>
            </w:pict>
          </mc:Fallback>
        </mc:AlternateConten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132</w:t>
      </w:r>
    </w:p>
    <w:p>
      <w:pPr>
        <w:sectPr>
          <w:pgSz w:w="11880" w:h="15480" w:orient="portrait"/>
          <w:cols w:equalWidth="0" w:num="1">
            <w:col w:w="10800"/>
          </w:cols>
          <w:pgMar w:left="540" w:top="746" w:right="540" w:bottom="0" w:gutter="0" w:footer="0" w:header="0"/>
          <w:type w:val="continuous"/>
        </w:sectPr>
      </w:pPr>
    </w:p>
    <w:bookmarkStart w:id="138" w:name="page139"/>
    <w:bookmarkEnd w:id="138"/>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9" w:name="page140"/>
    <w:bookmarkEnd w:id="139"/>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2"/>
    </w:lvl>
  </w:abstractNum>
  <w:abstractNum w:abstractNumId="67">
    <w:nsid w:val="7BD3EE7B"/>
    <w:multiLevelType w:val="hybridMultilevel"/>
    <w:lvl w:ilvl="0">
      <w:lvlJc w:val="left"/>
      <w:lvlText w:val="%1."/>
      <w:numFmt w:val="decimal"/>
      <w:start w:val="3"/>
    </w:lvl>
  </w:abstractNum>
  <w:abstractNum w:abstractNumId="68">
    <w:nsid w:val="51D9C564"/>
    <w:multiLevelType w:val="hybridMultilevel"/>
    <w:lvl w:ilvl="0">
      <w:lvlJc w:val="left"/>
      <w:lvlText w:val="%1."/>
      <w:numFmt w:val="decimal"/>
      <w:start w:val="4"/>
    </w:lvl>
  </w:abstractNum>
  <w:abstractNum w:abstractNumId="69">
    <w:nsid w:val="613EFDC5"/>
    <w:multiLevelType w:val="hybridMultilevel"/>
    <w:lvl w:ilvl="0">
      <w:lvlJc w:val="left"/>
      <w:lvlText w:val="%1."/>
      <w:numFmt w:val="decimal"/>
      <w:start w:val="5"/>
    </w:lvl>
  </w:abstractNum>
  <w:abstractNum w:abstractNumId="70">
    <w:nsid w:val="BF72B14"/>
    <w:multiLevelType w:val="hybridMultilevel"/>
    <w:lvl w:ilvl="0">
      <w:lvlJc w:val="left"/>
      <w:lvlText w:val="%1."/>
      <w:numFmt w:val="decimal"/>
      <w:start w:val="6"/>
    </w:lvl>
  </w:abstractNum>
  <w:abstractNum w:abstractNumId="71">
    <w:nsid w:val="11447B73"/>
    <w:multiLevelType w:val="hybridMultilevel"/>
    <w:lvl w:ilvl="0">
      <w:lvlJc w:val="left"/>
      <w:lvlText w:val="%1."/>
      <w:numFmt w:val="decimal"/>
      <w:start w:val="7"/>
    </w:lvl>
  </w:abstractNum>
  <w:abstractNum w:abstractNumId="72">
    <w:nsid w:val="42963E5A"/>
    <w:multiLevelType w:val="hybridMultilevel"/>
    <w:lvl w:ilvl="0">
      <w:lvlJc w:val="left"/>
      <w:lvlText w:val="%1."/>
      <w:numFmt w:val="decimal"/>
      <w:start w:val="8"/>
    </w:lvl>
  </w:abstractNum>
  <w:abstractNum w:abstractNumId="73">
    <w:nsid w:val="A0382C5"/>
    <w:multiLevelType w:val="hybridMultilevel"/>
    <w:lvl w:ilvl="0">
      <w:lvlJc w:val="left"/>
      <w:lvlText w:val="%1."/>
      <w:numFmt w:val="decimal"/>
      <w:start w:val="9"/>
    </w:lvl>
  </w:abstractNum>
  <w:abstractNum w:abstractNumId="74">
    <w:nsid w:val="8F2B15E"/>
    <w:multiLevelType w:val="hybridMultilevel"/>
    <w:lvl w:ilvl="0">
      <w:lvlJc w:val="left"/>
      <w:lvlText w:val="%1."/>
      <w:numFmt w:val="decimal"/>
      <w:start w:val="10"/>
    </w:lvl>
  </w:abstractNum>
  <w:abstractNum w:abstractNumId="75">
    <w:nsid w:val="1A32234B"/>
    <w:multiLevelType w:val="hybridMultilevel"/>
    <w:lvl w:ilvl="0">
      <w:lvlJc w:val="left"/>
      <w:lvlText w:val="%1."/>
      <w:numFmt w:val="decimal"/>
      <w:start w:val="1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2"/>
    </w:lvl>
  </w:abstractNum>
  <w:abstractNum w:abstractNumId="78">
    <w:nsid w:val="4962813B"/>
    <w:multiLevelType w:val="hybridMultilevel"/>
    <w:lvl w:ilvl="0">
      <w:lvlJc w:val="left"/>
      <w:lvlText w:val="(%1)"/>
      <w:numFmt w:val="decimal"/>
      <w:start w:val="3"/>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2026-04-28T15:36:54Z</dcterms:created>
  <dcterms:modified xsi:type="dcterms:W3CDTF">2026-04-28T15:36:54Z</dcterms:modified>
</cp:coreProperties>
</file>