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Oric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Oric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739"/>
        <w:spacing w:after="0"/>
        <w:rPr>
          <w:sz w:val="20"/>
          <w:szCs w:val="20"/>
          <w:color w:val="auto"/>
        </w:rPr>
      </w:pPr>
      <w:r>
        <w:rPr>
          <w:rFonts w:ascii="Times New Roman" w:cs="Times New Roman" w:eastAsia="Times New Roman" w:hAnsi="Times New Roman"/>
          <w:sz w:val="22"/>
          <w:szCs w:val="22"/>
          <w:color w:val="auto"/>
        </w:rPr>
        <w:t>240 E. Grand Ave, 2nd Floor, South San Francisco, CA,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w:t>
      </w:r>
    </w:p>
    <w:p>
      <w:pPr>
        <w:spacing w:after="0" w:line="14" w:lineRule="exact"/>
        <w:rPr>
          <w:sz w:val="20"/>
          <w:szCs w:val="20"/>
          <w:color w:val="auto"/>
        </w:rPr>
      </w:pPr>
    </w:p>
    <w:p>
      <w:pPr>
        <w:ind w:left="920" w:right="8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common stock, par value $0.0001 per share ("Shares"), of ORIC Pharmaceuticals, Inc. that were held by an investment fund it manages; (ii) Point72 Capital Advisors, Inc. ("Point72 Capital Advisors Inc.") with respect to Shares that were held by an investment fund managed by Point72 Asset Management; and (iii) Steven A. Cohen ("Mr. Cohen") with respect to Shares that were beneficially owned by Point72 Asset Management and Point72 Capital Advisors Inc.</w:t>
      </w:r>
    </w:p>
    <w:p>
      <w:pPr>
        <w:sectPr>
          <w:pgSz w:w="11900" w:h="16838" w:orient="portrait"/>
          <w:cols w:equalWidth="0" w:num="1">
            <w:col w:w="11120"/>
          </w:cols>
          <w:pgMar w:left="360" w:top="112" w:right="41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 Such information is as of the close of business on March 31, 2026.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2026.</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2026-05-15T15:37:24Z</dcterms:created>
  <dcterms:modified xsi:type="dcterms:W3CDTF">2026-05-15T15:37:24Z</dcterms:modified>
</cp:coreProperties>
</file>