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ORIC Pharmaceuticals,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240 E. Grand Ave, 2nd Floor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 am pleased to invite you to attend the 2026 Annual Meeting of Stockholders (the “Annual Meeting”) of ORIC Pharmaceuticals, Inc. (“ORIC” or the “Company”) on Thursday, June 18, 2026 at 8:00 a.m. Pacific Time. The Annual Meeting will be held in a virtual format via live audio webcast. We believe this format affords the same rights and opportunities to participate in the Annual Meeting to all stockholders irrespective of location. You will be able to attend the Annual Meeting virtually by visiting www.proxydocs.com/ORIC, where you will be able to register to attend, listen to the meeting live, submit questions and vote online by entering the control number located on your notice of internet availability (the “Notice”) or proxy card.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attached Notice of Annual Meeting of Stockholders and proxy statement contain details of the business to be conducted at the Annual Meeting. Whether or not you attend the Annual Meeting, it is important that your shares be represented and voted at the Annual Meeting. Therefore, we urge you to promptly vote and submit your proxy via the Internet, by phone, or by signing, dating and returning the enclosed proxy card in the enclosed envelope. If you decide to attend the Annual Meeting virtually, you will be able to change your vote or revoke your proxy, even if you have previously submitted your proxy. If you are a stockholder of record, voting at the Annual Meeting will revoke any proxy that you previously submitted. If you hold your shares in “street name” and wish to vote by ballot at the Annual Meeting, you must present a “legal proxy” from your bank or broker.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ORIC, I would like to thank you for your continued support.</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1139825" cy="24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98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Jacob M. Chacko, M.D.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00"/>
          </w:cols>
          <w:pgMar w:left="320" w:top="48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700" w:type="dxa"/>
            <w:vAlign w:val="bottom"/>
          </w:tcPr>
          <w:p>
            <w:pPr>
              <w:spacing w:after="0"/>
              <w:rPr>
                <w:sz w:val="17"/>
                <w:szCs w:val="17"/>
                <w:color w:val="auto"/>
              </w:rPr>
            </w:pPr>
          </w:p>
        </w:tc>
      </w:tr>
      <w:tr>
        <w:trPr>
          <w:trHeight w:val="525"/>
        </w:trPr>
        <w:tc>
          <w:tcPr>
            <w:tcW w:w="13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9"/>
              </w:rPr>
              <w:t>ORIC PHARMACEUTICALS, INC.</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8"/>
              </w:rPr>
              <w:t>240 E. Grand Ave, 2nd Floor</w:t>
            </w:r>
          </w:p>
        </w:tc>
      </w:tr>
      <w:tr>
        <w:trPr>
          <w:trHeight w:val="238"/>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r>
      <w:tr>
        <w:trPr>
          <w:trHeight w:val="432"/>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w w:val="99"/>
              </w:rPr>
              <w:t>NOTICE OF ANNUAL MEETING OF STOCKHOLDERS</w:t>
            </w:r>
          </w:p>
        </w:tc>
      </w:tr>
      <w:tr>
        <w:trPr>
          <w:trHeight w:val="459"/>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June 18, 2026 at 8:00 a.m. Pacific Time</w:t>
            </w:r>
          </w:p>
        </w:tc>
      </w:tr>
      <w:tr>
        <w:trPr>
          <w:trHeight w:val="454"/>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9"/>
              </w:rPr>
              <w:t>The Annual Meeting will be a completely virtual meeting of stockholders, to be conducted via</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live audio webcast. You will be able to attend the Annual Meeting virtually, submit questions</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and vote online during the Annual Meeting by visiting www.proxydocs.com/ORIC and</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registering to attend.</w:t>
            </w:r>
          </w:p>
        </w:tc>
      </w:tr>
      <w:tr>
        <w:trPr>
          <w:trHeight w:val="459"/>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The items of business at the Annual Meeting are:</w:t>
            </w:r>
          </w:p>
        </w:tc>
      </w:tr>
      <w:tr>
        <w:trPr>
          <w:trHeight w:val="333"/>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To elect the two Class III directors named in the accompanying proxy statement to</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serve until the 2029 annual meeting of stockholders or until their successors are duly</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elected and qualified or until their earlier death, resignation or removal.</w:t>
            </w:r>
          </w:p>
        </w:tc>
      </w:tr>
      <w:tr>
        <w:trPr>
          <w:trHeight w:val="319"/>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To ratify the appointment of KPMG LLP as our independent registered public</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accounting firm for our fiscal year ending December 31, 2026.</w:t>
            </w:r>
          </w:p>
        </w:tc>
      </w:tr>
      <w:tr>
        <w:trPr>
          <w:trHeight w:val="319"/>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To approve the ORIC Pharmaceuticals, Inc. 2020 Equity Incentive Plan, as amended</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and restated.</w:t>
            </w:r>
          </w:p>
        </w:tc>
      </w:tr>
      <w:tr>
        <w:trPr>
          <w:trHeight w:val="338"/>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To approve, on an advisory basis, executive compensation.</w:t>
            </w:r>
          </w:p>
        </w:tc>
      </w:tr>
      <w:tr>
        <w:trPr>
          <w:trHeight w:val="319"/>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To approve, on an advisory basis, the frequency of future advisory votes on executive</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compensation.</w:t>
            </w:r>
          </w:p>
        </w:tc>
      </w:tr>
      <w:tr>
        <w:trPr>
          <w:trHeight w:val="338"/>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   To transact other business that may properly come before the Annual Meeting.</w:t>
            </w:r>
          </w:p>
        </w:tc>
      </w:tr>
      <w:tr>
        <w:trPr>
          <w:trHeight w:val="441"/>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April 20, 2026 (the “Record Date”). Only stockholders of record at the close of business on</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the Record Date are entitled to receive notice of, and to vote at, the Annual Meeting.</w:t>
            </w:r>
          </w:p>
        </w:tc>
      </w:tr>
      <w:tr>
        <w:trPr>
          <w:trHeight w:val="441"/>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Proxy Voting</w:t>
            </w: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Please vote your shares at your earliest convenience. This will ensure the presence of a</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quorum at the Annual Meeting. Promptly voting your shares via the Internet, by telephone or</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 signing, dating, and returning the enclosed proxy card will save the expenses and extra</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work of additional solicitation. If you receive materials by mail, we have enclosed an</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addressed envelope, postage prepaid if mailed in the United States. Submitting your proxy</w:t>
            </w:r>
          </w:p>
        </w:tc>
      </w:tr>
      <w:tr>
        <w:trPr>
          <w:trHeight w:val="216"/>
        </w:trPr>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now will not prevent you from voting your shares electronically at the Annual Meeting, as</w:t>
            </w:r>
          </w:p>
        </w:tc>
      </w:tr>
      <w:tr>
        <w:trPr>
          <w:trHeight w:val="234"/>
        </w:trPr>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your proxy is revocable at your option.</w:t>
            </w:r>
          </w:p>
        </w:tc>
      </w:tr>
    </w:tbl>
    <w:p>
      <w:pPr>
        <w:ind w:left="1900"/>
        <w:spacing w:after="0"/>
        <w:rPr>
          <w:sz w:val="20"/>
          <w:szCs w:val="20"/>
          <w:color w:val="auto"/>
        </w:rPr>
        <w:sectPr>
          <w:pgSz w:w="11900" w:h="16838" w:orient="portrait"/>
          <w:cols w:equalWidth="0" w:num="1">
            <w:col w:w="11100"/>
          </w:cols>
          <w:pgMar w:left="320" w:top="473"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June 18, 2026. Our proxy statement and Annual Report to Stockholders are being made available on or about April 28, 2026 at www.proxydocs.com/ORIC. We are providing access to our proxy materials over the Internet under the “notice and access” rules adopted by the Securities and Exchange Commission.</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13982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98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Jacob M. Chacko, M.D.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April 28,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date of this proxy statement is April 28, 2026 and it is made available to stockholders on or about April 28, 2026.</w:t>
      </w:r>
    </w:p>
    <w:p>
      <w:pPr>
        <w:sectPr>
          <w:pgSz w:w="11900" w:h="16838" w:orient="portrait"/>
          <w:cols w:equalWidth="0" w:num="1">
            <w:col w:w="11000"/>
          </w:cols>
          <w:pgMar w:left="320" w:top="482"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QUESTIONS AND ANSWERS ABOUT THE ANNUAL MEETING</w:t>
            </w:r>
          </w:p>
        </w:tc>
        <w:tc>
          <w:tcPr>
            <w:tcW w:w="5400" w:type="dxa"/>
            <w:vAlign w:val="bottom"/>
            <w:gridSpan w:val="7"/>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5260" w:type="dxa"/>
            <w:vAlign w:val="bottom"/>
            <w:tcBorders>
              <w:bottom w:val="single" w:sz="8" w:color="0000EE"/>
            </w:tcBorders>
            <w:gridSpan w:val="31"/>
            <w:vMerge w:val="continue"/>
          </w:tcPr>
          <w:p>
            <w:pPr>
              <w:spacing w:after="0"/>
              <w:rPr>
                <w:sz w:val="15"/>
                <w:szCs w:val="15"/>
                <w:color w:val="auto"/>
              </w:rPr>
            </w:pPr>
          </w:p>
        </w:tc>
        <w:tc>
          <w:tcPr>
            <w:tcW w:w="5400" w:type="dxa"/>
            <w:vAlign w:val="bottom"/>
            <w:gridSpan w:val="7"/>
            <w:vMerge w:val="continue"/>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b w:val="1"/>
                <w:bCs w:val="1"/>
                <w:color w:val="0000EE"/>
                <w:w w:val="99"/>
              </w:rPr>
              <w:t>BOARD OF DIRECTORS AND CORPORATE GOVERNANCE</w:t>
            </w:r>
          </w:p>
        </w:tc>
        <w:tc>
          <w:tcPr>
            <w:tcW w:w="5640" w:type="dxa"/>
            <w:vAlign w:val="bottom"/>
            <w:gridSpan w:val="9"/>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Nominees for Director</w:t>
            </w:r>
          </w:p>
        </w:tc>
        <w:tc>
          <w:tcPr>
            <w:tcW w:w="8660" w:type="dxa"/>
            <w:vAlign w:val="bottom"/>
            <w:gridSpan w:val="2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Continuing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Director Independence</w:t>
            </w:r>
          </w:p>
        </w:tc>
        <w:tc>
          <w:tcPr>
            <w:tcW w:w="8660" w:type="dxa"/>
            <w:vAlign w:val="bottom"/>
            <w:gridSpan w:val="2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Board Meetings and Committees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Audit Committee</w:t>
            </w:r>
          </w:p>
        </w:tc>
        <w:tc>
          <w:tcPr>
            <w:tcW w:w="1100" w:type="dxa"/>
            <w:vAlign w:val="bottom"/>
            <w:tcBorders>
              <w:top w:val="single" w:sz="8" w:color="0000EE"/>
            </w:tcBorders>
            <w:gridSpan w:val="9"/>
          </w:tcPr>
          <w:p>
            <w:pPr>
              <w:spacing w:after="0"/>
              <w:rPr>
                <w:sz w:val="19"/>
                <w:szCs w:val="19"/>
                <w:color w:val="auto"/>
              </w:rPr>
            </w:pPr>
          </w:p>
        </w:tc>
        <w:tc>
          <w:tcPr>
            <w:tcW w:w="7940" w:type="dxa"/>
            <w:vAlign w:val="bottom"/>
            <w:gridSpan w:val="20"/>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Compensation Committee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840" w:type="dxa"/>
            <w:vAlign w:val="bottom"/>
            <w:gridSpan w:val="10"/>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Considerations in Evaluating Director Nominees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Stockholder Recommendations for Nominations to the Board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6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Communications with the Board of Directors</w:t>
            </w:r>
          </w:p>
        </w:tc>
        <w:tc>
          <w:tcPr>
            <w:tcW w:w="2060" w:type="dxa"/>
            <w:vAlign w:val="bottom"/>
            <w:tcBorders>
              <w:top w:val="single" w:sz="8" w:color="0000EE"/>
            </w:tcBorders>
            <w:gridSpan w:val="10"/>
          </w:tcPr>
          <w:p>
            <w:pPr>
              <w:spacing w:after="0"/>
              <w:rPr>
                <w:sz w:val="19"/>
                <w:szCs w:val="19"/>
                <w:color w:val="auto"/>
              </w:rPr>
            </w:pPr>
          </w:p>
        </w:tc>
        <w:tc>
          <w:tcPr>
            <w:tcW w:w="4980" w:type="dxa"/>
            <w:vAlign w:val="bottom"/>
            <w:gridSpan w:val="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8680" w:type="dxa"/>
            <w:vAlign w:val="bottom"/>
            <w:gridSpan w:val="2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Policy Prohibiting Hedging or Pledging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4780" w:type="dxa"/>
            <w:vAlign w:val="bottom"/>
            <w:gridSpan w:val="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Role of the Board of Directors in Risk Oversight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1820" w:type="dxa"/>
            <w:vAlign w:val="bottom"/>
            <w:tcBorders>
              <w:top w:val="single" w:sz="8" w:color="0000EE"/>
            </w:tcBorders>
            <w:gridSpan w:val="9"/>
          </w:tcPr>
          <w:p>
            <w:pPr>
              <w:spacing w:after="0"/>
              <w:rPr>
                <w:sz w:val="19"/>
                <w:szCs w:val="19"/>
                <w:color w:val="auto"/>
              </w:rPr>
            </w:pPr>
          </w:p>
        </w:tc>
        <w:tc>
          <w:tcPr>
            <w:tcW w:w="6800" w:type="dxa"/>
            <w:vAlign w:val="bottom"/>
            <w:gridSpan w:val="1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b w:val="1"/>
                <w:bCs w:val="1"/>
                <w:color w:val="0000EE"/>
                <w:w w:val="99"/>
              </w:rPr>
              <w:t>PROPOSAL NO. 1 ELECTION OF DIRECTORS</w:t>
            </w:r>
          </w:p>
        </w:tc>
        <w:tc>
          <w:tcPr>
            <w:tcW w:w="6780" w:type="dxa"/>
            <w:vAlign w:val="bottom"/>
            <w:gridSpan w:val="1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Nominees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PROPOSAL NO. 2 RATIFICATION OF APPOINTMENT OF INDEPENDENT REGISTERED PUBLIC ACCOUNTING FIRM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680" w:type="dxa"/>
            <w:vAlign w:val="bottom"/>
            <w:tcBorders>
              <w:top w:val="single" w:sz="8" w:color="0000EE"/>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Fees Paid to the Independent Registered Public Accounting Firm</w:t>
            </w:r>
          </w:p>
        </w:tc>
        <w:tc>
          <w:tcPr>
            <w:tcW w:w="4900" w:type="dxa"/>
            <w:vAlign w:val="bottom"/>
            <w:tcBorders>
              <w:top w:val="single" w:sz="8" w:color="0000EE"/>
            </w:tcBorders>
            <w:gridSpan w:val="5"/>
          </w:tcPr>
          <w:p>
            <w:pPr>
              <w:spacing w:after="0"/>
              <w:rPr>
                <w:sz w:val="19"/>
                <w:szCs w:val="19"/>
                <w:color w:val="auto"/>
              </w:rPr>
            </w:pPr>
          </w:p>
        </w:tc>
        <w:tc>
          <w:tcPr>
            <w:tcW w:w="720" w:type="dxa"/>
            <w:vAlign w:val="bottom"/>
            <w:gridSpan w:val="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Auditor Independence</w:t>
            </w:r>
          </w:p>
        </w:tc>
        <w:tc>
          <w:tcPr>
            <w:tcW w:w="8700" w:type="dxa"/>
            <w:vAlign w:val="bottom"/>
            <w:gridSpan w:val="27"/>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6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Audit Committee Policy on Pre-Approval of Audit and Permissible Non-Audit Services of Independent Registered Public Accounting</w:t>
            </w:r>
          </w:p>
        </w:tc>
        <w:tc>
          <w:tcPr>
            <w:tcW w:w="6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AUDIT COMMITTEE REPORT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EE"/>
              </w:rPr>
              <w:t>PROPOSAL NO. 3 APPROVAL OF THE ORIC PHARMACEUTICALS, INC. 2020 EQUITY INCENTIVE PLAN, AS AMENDED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AND RESTATED</w:t>
            </w:r>
          </w:p>
        </w:tc>
        <w:tc>
          <w:tcPr>
            <w:tcW w:w="8580" w:type="dxa"/>
            <w:vAlign w:val="bottom"/>
            <w:tcBorders>
              <w:top w:val="single" w:sz="8" w:color="0000EE"/>
            </w:tcBorders>
            <w:gridSpan w:val="29"/>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General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Material Changes to the Amended 2020 Plan</w:t>
            </w:r>
          </w:p>
        </w:tc>
        <w:tc>
          <w:tcPr>
            <w:tcW w:w="7060" w:type="dxa"/>
            <w:vAlign w:val="bottom"/>
            <w:gridSpan w:val="17"/>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Reasons for Voting for the Proposal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600" w:type="dxa"/>
            <w:vAlign w:val="bottom"/>
            <w:tcBorders>
              <w:left w:val="single" w:sz="8" w:color="0000EE"/>
            </w:tcBorders>
            <w:gridSpan w:val="1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Summary of the 2020 Equity Incentive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200" w:type="dxa"/>
            <w:vAlign w:val="bottom"/>
            <w:tcBorders>
              <w:left w:val="single" w:sz="8" w:color="0000EE"/>
            </w:tcBorders>
            <w:gridSpan w:val="13"/>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Summary of U.S. Federal Income Tax Consequences</w:t>
            </w:r>
          </w:p>
        </w:tc>
        <w:tc>
          <w:tcPr>
            <w:tcW w:w="6480" w:type="dxa"/>
            <w:vAlign w:val="bottom"/>
            <w:gridSpan w:val="11"/>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Plan Benefits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400" w:type="dxa"/>
            <w:vAlign w:val="bottom"/>
            <w:gridSpan w:val="2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400" w:type="dxa"/>
            <w:vAlign w:val="bottom"/>
            <w:tcBorders>
              <w:left w:val="single" w:sz="8" w:color="0000EE"/>
            </w:tcBorders>
            <w:gridSpan w:val="27"/>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2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b w:val="1"/>
                <w:bCs w:val="1"/>
                <w:color w:val="0000EE"/>
                <w:w w:val="99"/>
              </w:rPr>
              <w:t>PROPOSAL NO. 4 ADVISORY VOTE TO APPROVE THE COMPENSATION OF OUR NAMED EXECUTIVE OFFICERS</w:t>
            </w:r>
          </w:p>
        </w:tc>
        <w:tc>
          <w:tcPr>
            <w:tcW w:w="940" w:type="dxa"/>
            <w:vAlign w:val="bottom"/>
            <w:gridSpan w:val="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2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PROPOSAL NO. 5 ADVISORY VOTE ON THE FREQUENCY OF FUTURE STOCKHOLDER ADVISORY VOTES ON THE</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620" w:type="dxa"/>
            <w:vAlign w:val="bottom"/>
            <w:gridSpan w:val="28"/>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COMPENSATION OF OUR NAMED EXECUTIVE OFFICERS</w:t>
            </w:r>
          </w:p>
        </w:tc>
        <w:tc>
          <w:tcPr>
            <w:tcW w:w="76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80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5440" w:type="dxa"/>
            <w:vAlign w:val="bottom"/>
            <w:gridSpan w:val="5"/>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EXECUTIVE COMPENSATION</w:t>
            </w:r>
          </w:p>
        </w:tc>
        <w:tc>
          <w:tcPr>
            <w:tcW w:w="8020" w:type="dxa"/>
            <w:vAlign w:val="bottom"/>
            <w:gridSpan w:val="15"/>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Processes and Procedures for Compensation Decisions</w:t>
            </w:r>
          </w:p>
        </w:tc>
        <w:tc>
          <w:tcPr>
            <w:tcW w:w="6320" w:type="dxa"/>
            <w:vAlign w:val="bottom"/>
            <w:gridSpan w:val="7"/>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Non-Equity Incentive Plan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Inducement Plan</w:t>
            </w:r>
          </w:p>
        </w:tc>
        <w:tc>
          <w:tcPr>
            <w:tcW w:w="1780" w:type="dxa"/>
            <w:vAlign w:val="bottom"/>
            <w:tcBorders>
              <w:top w:val="single" w:sz="8" w:color="0000EE"/>
            </w:tcBorders>
            <w:gridSpan w:val="10"/>
          </w:tcPr>
          <w:p>
            <w:pPr>
              <w:spacing w:after="0"/>
              <w:rPr>
                <w:sz w:val="19"/>
                <w:szCs w:val="19"/>
                <w:color w:val="auto"/>
              </w:rPr>
            </w:pPr>
          </w:p>
        </w:tc>
        <w:tc>
          <w:tcPr>
            <w:tcW w:w="7260" w:type="dxa"/>
            <w:vAlign w:val="bottom"/>
            <w:gridSpan w:val="10"/>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Employment Arrangements with Our Named Executive Officers</w:t>
            </w:r>
          </w:p>
        </w:tc>
        <w:tc>
          <w:tcPr>
            <w:tcW w:w="5620" w:type="dxa"/>
            <w:vAlign w:val="bottom"/>
            <w:gridSpan w:val="6"/>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Compensation Recovery (Clawback)</w:t>
            </w:r>
          </w:p>
        </w:tc>
        <w:tc>
          <w:tcPr>
            <w:tcW w:w="7600" w:type="dxa"/>
            <w:vAlign w:val="bottom"/>
            <w:gridSpan w:val="12"/>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The Company’s Policies and Practices Related to the Grant of Certain Equity Awards Close in Time to the Release of Material Nonpublic</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Information</w:t>
            </w:r>
          </w:p>
        </w:tc>
        <w:tc>
          <w:tcPr>
            <w:tcW w:w="8860" w:type="dxa"/>
            <w:vAlign w:val="bottom"/>
            <w:tcBorders>
              <w:top w:val="single" w:sz="8" w:color="0000EE"/>
            </w:tcBorders>
            <w:gridSpan w:val="21"/>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PAY VERSUS PERFORMANCE</w:t>
            </w:r>
          </w:p>
        </w:tc>
        <w:tc>
          <w:tcPr>
            <w:tcW w:w="8040" w:type="dxa"/>
            <w:vAlign w:val="bottom"/>
            <w:gridSpan w:val="16"/>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Relationship Between PEO and Non-PEO NEO Compensation Actually Paid and Total Shareholder Return (“TSR”)</w:t>
            </w:r>
          </w:p>
        </w:tc>
        <w:tc>
          <w:tcPr>
            <w:tcW w:w="1880" w:type="dxa"/>
            <w:vAlign w:val="bottom"/>
            <w:gridSpan w:val="3"/>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Relationship Between PEO and Non-PEO NEO Compensation Actually Paid and Net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3200" w:type="dxa"/>
            <w:vAlign w:val="bottom"/>
            <w:tcBorders>
              <w:right w:val="single" w:sz="8" w:color="0000EE"/>
            </w:tcBorders>
            <w:gridSpan w:val="4"/>
            <w:shd w:val="clear" w:color="auto" w:fill="0000EE"/>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9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RELATED PARTY TRANSACTIONS</w:t>
            </w:r>
          </w:p>
        </w:tc>
        <w:tc>
          <w:tcPr>
            <w:tcW w:w="4120" w:type="dxa"/>
            <w:vAlign w:val="bottom"/>
            <w:tcBorders>
              <w:top w:val="single" w:sz="8" w:color="0000EE"/>
            </w:tcBorders>
            <w:gridSpan w:val="9"/>
          </w:tcPr>
          <w:p>
            <w:pPr>
              <w:spacing w:after="0"/>
              <w:rPr>
                <w:sz w:val="19"/>
                <w:szCs w:val="19"/>
                <w:color w:val="auto"/>
              </w:rPr>
            </w:pPr>
          </w:p>
        </w:tc>
        <w:tc>
          <w:tcPr>
            <w:tcW w:w="3520" w:type="dxa"/>
            <w:vAlign w:val="bottom"/>
            <w:gridSpan w:val="4"/>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Indemnification Agreements</w:t>
            </w:r>
          </w:p>
        </w:tc>
        <w:tc>
          <w:tcPr>
            <w:tcW w:w="8200" w:type="dxa"/>
            <w:vAlign w:val="bottom"/>
            <w:gridSpan w:val="17"/>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Related Party Transaction Policy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OTHER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Fiscal Year 2025 Annual Report and SEC Filings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5"/>
              </w:rPr>
              <w:t>Company Website</w:t>
            </w:r>
          </w:p>
        </w:tc>
        <w:tc>
          <w:tcPr>
            <w:tcW w:w="2220" w:type="dxa"/>
            <w:vAlign w:val="bottom"/>
            <w:tcBorders>
              <w:top w:val="single" w:sz="8" w:color="0000EE"/>
            </w:tcBorders>
            <w:gridSpan w:val="11"/>
          </w:tcPr>
          <w:p>
            <w:pPr>
              <w:spacing w:after="0"/>
              <w:rPr>
                <w:sz w:val="19"/>
                <w:szCs w:val="19"/>
                <w:color w:val="auto"/>
              </w:rPr>
            </w:pPr>
          </w:p>
        </w:tc>
        <w:tc>
          <w:tcPr>
            <w:tcW w:w="6720" w:type="dxa"/>
            <w:vAlign w:val="bottom"/>
            <w:gridSpan w:val="8"/>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ANNEX A</w:t>
            </w:r>
          </w:p>
        </w:tc>
        <w:tc>
          <w:tcPr>
            <w:tcW w:w="9800" w:type="dxa"/>
            <w:vAlign w:val="bottom"/>
            <w:gridSpan w:val="24"/>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2026 VIRTUAL ANNUAL MEETING OF STOCKHOLDERS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June 18, 2026</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and the enclosed form of proxy are being furnished in connection with the solicitation of proxies by our board of directors for use at our 2026 Annual Meeting of Stockholders (and any postponements, adjournments or delays thereof, the Annual Meeting). You will be able to attend the Annual Meeting virtually by visiting www.proxydocs.com/ORIC, where you will be able to register to attend, listen to the Annual Meeting live, submit questions and vote online by entering the control number on your Notice or proxy card.</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is providing these proxy materials to you in connection with its solicitation of proxies for use at ORIC’s Annual Meeting, which will take place on June 18, 2026. Stockholders are invited to attend the Annual Meeting virtually and are requested to vote on the proposals described in this proxy statement. This proxy statement and the accompanying proxy card are being made available on or about April 28, 2026 in connection with the solicitation of proxies on behalf of the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five proposals scheduled to be voted on at the Annual Meeting: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Class III directors named in this proxy statement to serve until the 2029 annual meeting of stockholders or until their successors are duly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our independent registered public accounting firm for our fiscal year ending December 31,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ORIC Pharmaceuticals, Inc. 2020 Equity Incentive Plan, as amended and restated;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executive compensation, as described in this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frequency of future advisory votes on executive compensation.</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the time this proxy statement was made available, our management and board of directors were not aware of any other matters to be presented at the Annual Meeting other than those set forth in this proxy statement and in the notice accompanying this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our board of directors recommend that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of directors recommends that you vote:</w:t>
      </w:r>
    </w:p>
    <w:p>
      <w:pPr>
        <w:spacing w:after="0" w:line="131" w:lineRule="exact"/>
        <w:rPr>
          <w:sz w:val="20"/>
          <w:szCs w:val="20"/>
          <w:color w:val="auto"/>
        </w:rPr>
      </w:pPr>
    </w:p>
    <w:p>
      <w:pPr>
        <w:ind w:left="1080" w:right="5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two Class III directors named in this proxy statement to serve until the 2029 annual meeting of stockholders or until their successors are duly elected and qualified or until their earlier death, resignation or removal (“Proposal No. 1”);</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82"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our fiscal year ending December 31, 2026 (“Proposal No. 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ORIC Pharmaceuticals, Inc. 2020 Equity Incentive Plan, as amended and restated (“Proposal No. 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executive compensation, as described in this proxy statement (“Proposal No. 4”);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for the approval, on an advisory basis, of the frequency of future advisory votes on executive compensation (“Proposal No. 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Holders of our common stock at the close of business on April 20, 2026, the record date for the Annual Meeting (the “Record Date”), are entitled to notice of and to vote at the Annual Meeting. Each stockholder is entitled to one vote for each share of our common stock held as of the Record Date. As of the Record Date, there were 103,517,562 shares of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Annual Meeting virtually?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will be able to attend the Annual Meeting virtually, submit your questions during the meeting and vote your shares electronically at the meeting by visiting www.proxydocs.com/ORIC and registering to attend. To participate in the Annual Meeting, you will need the control number from your Notice or proxy card. The Annual Meeting webcast will begin promptly at 8:00 a.m. Pacific Time. We encourage you to access the meeting prior to the start time. Online check-in will begin at 7:45 a.m. Pacific Time, and you should allow ample time for the check-in procedures.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Annual Meeting during check-in, please call the technical support number that will be posted on the virtual meeting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at the close of business on the Record Date, your shares were registered directly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name with Computershare Trust Company, N.A., our transfer agent, then you are considered the stockholder of record with respect to those shares. As the stockholder of record, you have the right to grant your voting proxy directly to the proxy holders designated by our board of directors or to vote in person (including virtually) at the Annual Meeting.</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at the close of business on the Record Date,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Please see “</w:t>
      </w:r>
      <w:r>
        <w:rPr>
          <w:rFonts w:ascii="Times New Roman" w:cs="Times New Roman" w:eastAsia="Times New Roman" w:hAnsi="Times New Roman"/>
          <w:sz w:val="18"/>
          <w:szCs w:val="18"/>
          <w:i w:val="1"/>
          <w:iCs w:val="1"/>
          <w:color w:val="auto"/>
        </w:rPr>
        <w:t>What if I do not specify how my shares are to be voted?</w:t>
      </w:r>
      <w:r>
        <w:rPr>
          <w:rFonts w:ascii="Times New Roman" w:cs="Times New Roman" w:eastAsia="Times New Roman" w:hAnsi="Times New Roman"/>
          <w:sz w:val="18"/>
          <w:szCs w:val="18"/>
          <w:color w:val="auto"/>
        </w:rPr>
        <w:t>” for additional information.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I have to do anything in advance if I plan to virtually attend the Annual Meeting?</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were a stockholder of record at the close of business on the Record Date, you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need to do anything in advance to virtually attend and/or vote your shares electronically at the Annual Meeting.</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you were a beneficial owner at the close of business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Record Date, you may not vote your shares electronically at the Annual Meeting unless you obtain a “legal proxy” from your broker, bank or other nominee who is the stockholder of record with respect to your shares. Please follow the instructions for obtaining a legal proxy provided to you by your broker, bank or other nominee.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you can vote in one of the following ways:</w:t>
      </w:r>
    </w:p>
    <w:p>
      <w:pPr>
        <w:spacing w:after="0" w:line="129" w:lineRule="exact"/>
        <w:rPr>
          <w:sz w:val="20"/>
          <w:szCs w:val="20"/>
          <w:color w:val="auto"/>
        </w:rPr>
      </w:pPr>
    </w:p>
    <w:p>
      <w:pPr>
        <w:jc w:val="both"/>
        <w:ind w:left="1080" w:right="10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may vote via the Internet. </w:t>
      </w:r>
      <w:r>
        <w:rPr>
          <w:rFonts w:ascii="Times New Roman" w:cs="Times New Roman" w:eastAsia="Times New Roman" w:hAnsi="Times New Roman"/>
          <w:sz w:val="18"/>
          <w:szCs w:val="18"/>
          <w:color w:val="auto"/>
        </w:rPr>
        <w:t>To vote via the Internet, go to www.proxypush.com/ORIC to complete an electronic proxy card.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asked to provide the control number from the Notice or proxy card you receive. If you vote via the Internet, you do not need to return a proxy card by mail.</w:t>
      </w:r>
    </w:p>
    <w:p>
      <w:pPr>
        <w:spacing w:after="0" w:line="76" w:lineRule="exact"/>
        <w:rPr>
          <w:rFonts w:ascii="Times New Roman" w:cs="Times New Roman" w:eastAsia="Times New Roman" w:hAnsi="Times New Roman"/>
          <w:sz w:val="18"/>
          <w:szCs w:val="18"/>
          <w:color w:val="auto"/>
        </w:rPr>
      </w:pPr>
    </w:p>
    <w:p>
      <w:pPr>
        <w:jc w:val="both"/>
        <w:ind w:left="1080" w:right="6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may vote by telephone. </w:t>
      </w:r>
      <w:r>
        <w:rPr>
          <w:rFonts w:ascii="Times New Roman" w:cs="Times New Roman" w:eastAsia="Times New Roman" w:hAnsi="Times New Roman"/>
          <w:sz w:val="18"/>
          <w:szCs w:val="18"/>
          <w:color w:val="auto"/>
        </w:rPr>
        <w:t>To vote by telephone, dial toll-free 866-895-6921 and follow the recorded instructions. You will be asked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control number from the Notice or proxy card you receive. If you vote by telephone, you do not need to return a proxy card by mail.</w:t>
      </w:r>
    </w:p>
    <w:p>
      <w:pPr>
        <w:spacing w:after="0" w:line="76"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may vote by mail. </w:t>
      </w:r>
      <w:r>
        <w:rPr>
          <w:rFonts w:ascii="Times New Roman" w:cs="Times New Roman" w:eastAsia="Times New Roman" w:hAnsi="Times New Roman"/>
          <w:sz w:val="18"/>
          <w:szCs w:val="18"/>
          <w:color w:val="auto"/>
        </w:rPr>
        <w:t>If you receive proxy materials by mail and would like to vote by mail, you need to date and sign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accompanies this proxy statement and promptly mail it to the tabulation agent in the enclosed postage-paid envelope so that it is received prior to the Annual Meeting.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the board of directors. The board of directors recommends that you vote FOR the election of each of the two Class III directors nominated by our board of directors and named in this proxy statement; FOR the ratification of the appointment of KPMG LLP as our independent registered public accounting firm for our fiscal year ending December 31, 2026; FOR the approval of the ORIC Pharmaceuticals, Inc. 2020 Equity Incentive Plan, as amended and restated; FOR the approval, on an advisory basis, of executive compensation, as described in this proxy statement; and EVERY YEAR for the approval, on an advisory basis, of the frequency of future advisory votes on executive compensation.</w:t>
      </w:r>
    </w:p>
    <w:p>
      <w:pPr>
        <w:spacing w:after="0" w:line="87"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may vote electronically while attending the Annual Meeting virtually. </w:t>
      </w:r>
      <w:r>
        <w:rPr>
          <w:rFonts w:ascii="Times New Roman" w:cs="Times New Roman" w:eastAsia="Times New Roman" w:hAnsi="Times New Roman"/>
          <w:sz w:val="18"/>
          <w:szCs w:val="18"/>
          <w:color w:val="auto"/>
        </w:rPr>
        <w:t>If you plan to attend the Annual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www.proxydocs.com/ORIC, you may vote electronically during the Annual Meeting. Please have your Notice or proxy card in hand when you visit the website.</w:t>
      </w:r>
    </w:p>
    <w:p>
      <w:pPr>
        <w:spacing w:after="0" w:line="17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you are the beneficial owner of shares held of record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Times New Roman" w:cs="Times New Roman" w:eastAsia="Times New Roman" w:hAnsi="Times New Roman"/>
          <w:sz w:val="18"/>
          <w:szCs w:val="18"/>
          <w:b w:val="1"/>
          <w:bCs w:val="1"/>
          <w:color w:val="auto"/>
        </w:rPr>
        <w:t>As discussed above, if you are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beneficial owner, you may not vote your shares electronically at the Annual Meeting unless you obtain a legal proxy from your broker, bank or other nominee.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you may revoke your proxy or change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at any time before your proxy is voted at the Annual Meeting by:</w:t>
      </w:r>
    </w:p>
    <w:p>
      <w:pPr>
        <w:spacing w:after="0" w:line="66"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Secretary at ORIC Pharmaceuticals, Inc., 240 E. Grand Ave, 2nd Floor, South San Francisco, California 94080, which must be received prior to the Annual Meeting;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virtually and voting electronically during the Annual Meeting.</w:t>
      </w:r>
    </w:p>
    <w:p>
      <w:pPr>
        <w:spacing w:after="0" w:line="22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you are the beneficial owner of your shares, you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contact the broker, bank or other nominee holding your shares and follow their instructions to change your vote or revoke your proxy.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instead of a full set of proxy materials?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(“SEC”) and to help reduce the environmental impact of the Annual Meeting, we have elected to furnish our proxy materials, including this proxy statement and our annual report, primarily via the Internet. The Notice is first being mailed on or about April 28, 2026 to all stockholders entitled to vote at the Annual Meeting.</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the costs of our annual meetings of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19"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66" w:lineRule="exact"/>
        <w:rPr>
          <w:sz w:val="20"/>
          <w:szCs w:val="20"/>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two Class III directors named in this proxy statement to serve until the 2029 annual meeting of stockholders or until their successors are duly elected and qualified or until their earlier death, resignation or removal (“Proposal No. 1”);</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our fiscal year ending December 31, 2026 (“Proposal No. 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ORIC Pharmaceuticals, Inc. 2020 Equity Incentive Plan, as amended and restated (“Proposal No. 3”);</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82"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executive compensation, as described in this proxy statement (“Proposal No. 4”);</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for the approval, on an advisory basis, of the frequency of future advisory votes on executive compensation (“Proposal No. 5”);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proxy holders regarding any other matters properly presented for a vote at the Annual Meeting or any adjournments or postponements thereof.</w:t>
      </w:r>
    </w:p>
    <w:p>
      <w:pPr>
        <w:spacing w:after="0" w:line="16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Bank or Other Nominee</w:t>
      </w:r>
      <w:r>
        <w:rPr>
          <w:rFonts w:ascii="Times New Roman" w:cs="Times New Roman" w:eastAsia="Times New Roman" w:hAnsi="Times New Roman"/>
          <w:sz w:val="18"/>
          <w:szCs w:val="18"/>
          <w:color w:val="auto"/>
        </w:rPr>
        <w:t>. If you are a beneficial owner and you do not provide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bank or other nominee that holds your shares with voting instructions, then your broker, bank or other nominee will determine if it has discretion to vote on each matter. Brokers do not have discretion to vote on non-routine matters. Proposal No. 1, Proposal No. 3, Proposal No. 4, and Proposal No. 5 are non-routine matters, and Proposal No. 2 is a routine matter. As a result, if you do not provide voting instructions to your broker, bank or other nominee, then your broker, bank or other nominee may not vote your shares with respect to Proposal No. 1, Proposal No. 3, Proposal No. 4, or Proposal No. 5, but may, in its discretion, vote your shares with respect to Proposal No. 2. For additional information regarding broker non-votes, see “</w:t>
      </w:r>
      <w:r>
        <w:rPr>
          <w:rFonts w:ascii="Times New Roman" w:cs="Times New Roman" w:eastAsia="Times New Roman" w:hAnsi="Times New Roman"/>
          <w:sz w:val="18"/>
          <w:szCs w:val="18"/>
          <w:i w:val="1"/>
          <w:iCs w:val="1"/>
          <w:color w:val="auto"/>
        </w:rPr>
        <w:t>What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effects of abstentions and broker non-votes?</w:t>
      </w:r>
      <w:r>
        <w:rPr>
          <w:rFonts w:ascii="Times New Roman" w:cs="Times New Roman" w:eastAsia="Times New Roman" w:hAnsi="Times New Roman"/>
          <w:sz w:val="18"/>
          <w:szCs w:val="18"/>
          <w:color w:val="auto"/>
        </w:rPr>
        <w:t>” below.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on a proposal, or if a broker, bank or other nominee holding its customers’ shares of record causes abstentions to be recorded for shares on a proposal,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in person (virtually) or represented by proxy at the Annual Meeting and entitled to vote on the subject matter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Proposal No. 2, Proposal No. 3, and Proposal No. 4). However, because the outcome of Proposal No. 1 (election of directors) will be determined by a plurality vote, abstentions will have no impact on the outcome of such proposal as long as a quorum exists, and because Proposal No. 5 (frequency of future advisory votes on executive compensation) is advisory and based on which frequency receives the majority of votes, abstentions will also have no impact on the outcome of such proposal as long as a quorum exists.</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the Company’s directors and officers have an interest in any of the matters to be acted upon at the annual meeting?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Members of our board of directors have an interest in Proposal No. 1, as each of the nominees is currently a member of our board of directors. Members of our board of directors and our executive officers do not have any interest in Proposal No. 2. Members of our board of directors and our executive officers have an interest in Proposal No. 3 because they are eligible to receive equity awards under the ORIC Pharmaceuticals, Inc. 2020 Equity Incentive Plan, as amended and restated. Certain of our directors and executive officers are named executive officers eligible to receive executive compensation and thus have an interest in Proposal No. 4 and Proposal No. 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(including virtually) at the Annual Meeting for the meeting to be properly held under our bylaws and Delaware law. A majority of the voting power of the capital stock of the Company issued and outstanding and entitled to vote, present in person (including virtually) or represented by proxy, constitutes a quorum for the transaction of business at the Annual Meeting. As noted above, as of the Record Date, there were a total of 103,517,562 shares of common stock outstanding, which means that 51,758,782 shares of common stock must be represented in person (including virtually) or by proxy at the Annual Meeting to have a quorum. If there is no quorum, a majority of the shares present at the Annual Meeting or the chairperson of the Annual Meeting may adjourn the meeting to a later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We have engaged Innisfree M&amp;A Incorporated to assist in and advise on the solicitation of proxies, for which we will pay them a services fee of $18,000, plus the reimbursement of reasonable out-of-pocket expenses.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received more than one Notice?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ORIC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for stockholders who receive proxy materials by mail,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ORIC Pharmaceuticals,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82"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240 E. Grand Ave, 2nd Floor</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(650) 388-5600</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broker-dealer or other nominee to request information about householding.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may be announced at the Annual Meeting. In addition,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the next annual meeting of stockholders by submitting their proposals in writing to our Secretary in a timely manner. For a stockholder proposal to be considered for inclusion in our proxy statement for our 2027 annual meeting of stockholders, our Secretary must receive the written proposal at our principal executive offices not later than December 29,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ORIC Pharmaceuticals,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240 E. Grand Ave, 2nd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board of directors, (iii) provided in the certificate of designation for any class or series of preferred stock, or (iv) properly brought before the annual meeting by a stockholder of record entitled to vote at the annual meeting who has delivered timely written notice to our Secretary, which notice must contain the information specified in our bylaws. To be timely for our 2027 annual meeting of stockholders, our Secretary must receive the written notice at our principal executive offices:</w:t>
      </w:r>
    </w:p>
    <w:p>
      <w:pPr>
        <w:spacing w:after="0" w:line="9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18, 2027 at 8:00 a.m., Eastern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20, 2027 at 5:00 p.m., Eastern Time.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date of the 2027 annual meeting of stockholders is changed by more than 25 days from the one-year anniversary of the date of the Annual Meeting, then notice by a stockholder of a stockholder proposal to be timely must be received by the Secretary of the Company not earlier than 8:00 a.m., Eastern Time, on the 120th day prior to such annual meeting of stockholders and not later than 5:00 p.m., Eastern Time, on the later of the 90th day prior to such annual meeting of stockholders or, if the first Public Announcement (as defined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below) of the date of such annual meeting of stockholders is less than 100 days prior to the date of such annual meeting of stockholders, the 10th day following the day on which Public Announcement of the date of such annual meeting is first made. That notice must state the information required by Section 2.4 of ORIC’s bylaws, and otherwise must comply with applicable federal and state law. “Public Announcement” shall mean disclosure in a press release reported by a national news service or in a document publicly filed by the Company with the SEC pursuant to Section 13, Section 14 or Section 15(d) of the Exchange Act or by such other means as is reasonably designed to inform the public or stockholders of the Company in general of such information, including, without limitation, posting on the Company’s investor relations website.</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their intention to present a proposal at an annual meeting does not appear to present their proposal at such annual meeting, we are not required to present the proposal for a vote at such annual meeting.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Recommendation and Nomination of Director Candidates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may recommend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Governance—Stockholder Recommendations for Nominations to the Board of Directors.”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“Stockholder Proposals” for stockholder proposals that are not intended to be included in a proxy statement.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www.sec.gov. You may also contact our Secretary at our principal executive office for a copy of our bylaws containing the relevant provisions regarding the requirements for making stockholder proposals and nominating director candidates.</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320" w:top="482" w:right="5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currently comprised of six (6) members. Our board of directors has affirmatively determined that five (5) of our six (6) directors are independent within the meaning of the independent director requirements of The Nasdaq Stock Market LLC (“Nasdaq”). Our board of directors is divided into three classes with staggered three-year terms. At each annual meeting of stockholders, a class of directors will be elected for a three-year term to succeed the same class whose term is then expiring.</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the recommendation of our nominating and corporate governance committee, we are nominating Jacob M. Chacko, M.D. and Mardi C. Dier for election as Class III directors at the Annual Meeting. If elected, Dr. Chacko and Ms. Dier will hold office for a three-year term until the 2029 annual meeting of stockholders or until their successors are duly elected and qualified or until their earlier death, resignation or removal.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names, ages as of March 31, 2026 and certain other information for the directors with terms expiring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Meeting (who are also nominees for election as a director at the Annual Meeting) and for each of the continuing directors: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60" w:type="dxa"/>
            <w:vAlign w:val="bottom"/>
            <w:gridSpan w:val="2"/>
            <w:vMerge w:val="continue"/>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Term For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60" w:type="dxa"/>
            <w:vAlign w:val="bottom"/>
            <w:vMerge w:val="restart"/>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Pr>
          <w:p>
            <w:pPr>
              <w:spacing w:after="0"/>
              <w:rPr>
                <w:sz w:val="12"/>
                <w:szCs w:val="12"/>
                <w:color w:val="auto"/>
              </w:rPr>
            </w:pPr>
          </w:p>
        </w:tc>
        <w:tc>
          <w:tcPr>
            <w:tcW w:w="356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0" w:type="dxa"/>
            <w:vAlign w:val="bottom"/>
            <w:gridSpan w:val="2"/>
            <w:vMerge w:val="continue"/>
          </w:tcPr>
          <w:p>
            <w:pPr>
              <w:spacing w:after="0"/>
              <w:rPr>
                <w:sz w:val="12"/>
                <w:szCs w:val="12"/>
                <w:color w:val="auto"/>
              </w:rPr>
            </w:pP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8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8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7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Expires</w:t>
            </w:r>
          </w:p>
        </w:tc>
        <w:tc>
          <w:tcPr>
            <w:tcW w:w="82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189"/>
        </w:trPr>
        <w:tc>
          <w:tcPr>
            <w:tcW w:w="4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 Nominees</w:t>
            </w: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 Chacko, M.D.</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III</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3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Mardi C. Dier</w:t>
            </w:r>
            <w:r>
              <w:rPr>
                <w:rFonts w:ascii="Times New Roman" w:cs="Times New Roman" w:eastAsia="Times New Roman" w:hAnsi="Times New Roman"/>
                <w:sz w:val="25"/>
                <w:szCs w:val="25"/>
                <w:color w:val="auto"/>
                <w:vertAlign w:val="superscript"/>
              </w:rPr>
              <w:t>(2)(3)</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III</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3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Heyman, Ph.D.</w:t>
            </w:r>
            <w:r>
              <w:rPr>
                <w:rFonts w:ascii="Times New Roman" w:cs="Times New Roman" w:eastAsia="Times New Roman" w:hAnsi="Times New Roman"/>
                <w:sz w:val="25"/>
                <w:szCs w:val="25"/>
                <w:color w:val="auto"/>
                <w:vertAlign w:val="superscript"/>
              </w:rPr>
              <w:t>(1)(3)</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3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Lori Kunkel, M.D.</w:t>
            </w:r>
            <w:r>
              <w:rPr>
                <w:rFonts w:ascii="Times New Roman" w:cs="Times New Roman" w:eastAsia="Times New Roman" w:hAnsi="Times New Roman"/>
                <w:sz w:val="25"/>
                <w:szCs w:val="25"/>
                <w:color w:val="auto"/>
                <w:vertAlign w:val="superscript"/>
              </w:rPr>
              <w:t>(1)</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3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Steven L. Hoerter</w:t>
            </w:r>
            <w:r>
              <w:rPr>
                <w:rFonts w:ascii="Times New Roman" w:cs="Times New Roman" w:eastAsia="Times New Roman" w:hAnsi="Times New Roman"/>
                <w:sz w:val="25"/>
                <w:szCs w:val="25"/>
                <w:color w:val="auto"/>
                <w:vertAlign w:val="superscript"/>
              </w:rPr>
              <w:t>(1)(2)</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3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Angie You, Ph.D.</w:t>
            </w:r>
            <w:r>
              <w:rPr>
                <w:rFonts w:ascii="Times New Roman" w:cs="Times New Roman" w:eastAsia="Times New Roman" w:hAnsi="Times New Roman"/>
                <w:sz w:val="26"/>
                <w:szCs w:val="26"/>
                <w:color w:val="auto"/>
                <w:vertAlign w:val="superscript"/>
              </w:rPr>
              <w:t>(2)(3)</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3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Jacob M. Chacko, M.D.</w:t>
      </w:r>
      <w:r>
        <w:rPr>
          <w:rFonts w:ascii="Times New Roman" w:cs="Times New Roman" w:eastAsia="Times New Roman" w:hAnsi="Times New Roman"/>
          <w:sz w:val="18"/>
          <w:szCs w:val="18"/>
          <w:color w:val="auto"/>
        </w:rPr>
        <w:t>, has served as our Chief Executive Officer and as a member of our board of directors since May 2018 and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since May 2019. From May 2014 to February 2018, he served as Chief Financial Officer of Ignyta, Inc., a precision oncology company that was acquired in February 2018 by Roche Holding AG. From August 2008 to May 2014, Dr. Chacko served as Vice President at TPG Capital, a private equity investment firm. Prior to that, Dr. Chacko was a consultant to healthcare clients at McKinsey &amp; Company, a management consulting firm. He has served as chair of the board of directors of Bright Peak Therapeutics, Inc., a private biotechnology company, since November 2021 and as a member of the board of directors of 4D Molecular Therapeutics, Inc., a public clinical stage biotechnology company, since March 2019. Dr. Chacko served on the board of directors of Turning Point Therapeutics, Inc., a public biotechnology company, from November 2018 to March 2021 and on the board of directors of Bonti, Inc. (“Bonti”), a private biotechnology company, from February 2018 to October 2018, when Bonti was acquired by Allergan plc. Dr. Chacko holds a B.A. in biology and B.S. in gerontology from the University of Southern California, an M.D. from University of California, Los Angeles, an M.B.A. from Harvard Business School and an M.Sc. from Oxford University.</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believe that Dr. Chacko is qualified to serve on our board of directors because of the perspective and experience he provides as our President and Chief Executive Officer, as well as his broad experience within the biotechnology industry, particularly his financial, strategic and medical expertise.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Mardi C. Dier </w:t>
      </w:r>
      <w:r>
        <w:rPr>
          <w:rFonts w:ascii="Times New Roman" w:cs="Times New Roman" w:eastAsia="Times New Roman" w:hAnsi="Times New Roman"/>
          <w:sz w:val="18"/>
          <w:szCs w:val="18"/>
          <w:color w:val="auto"/>
        </w:rPr>
        <w:t>has served as a member of our board of directors since February 2020. Ms. Dier has served as Chief Financial Officer of Madrigal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a public biopharmaceutical company, since February 2024. From November 2022 to August 2023, Ms. Dier served as Chief Financial Officer and Chief Business Officer of ACELYRIN, Inc., a biotechnology company. From October 2020 to November 2022, Ms. Dier served as Executive Vice President and Chief Financial Officer of Ultragenyx Pharmaceutical Inc. Ms. Dier has served as Executive Vice President and Chief Financial Officer of Portola Pharmaceuticals from November 2013 through the acquisition by Alexion Pharmaceuticals in July 2020, as its Chief Business Officer from October 2018 and as a Senior Vice President and Chief Financial Officer from August 2006 to November 2013. From 2003 to 2006, Ms. Dier served as Vice President of Investor Relations at Chiron Corporation, a biotechnology company. From 1994 to 2001, Ms. Dier served as a Director, Investment Banking at Prudential Securities, Inc., a securities firm. Ms. Dier has served as a member of the board of directors of Healthcare Royalty Partners, a healthcare investment firm, since December 2022. Ms. Dier served as a member of the board of directors of Synthekine Inc., a biotechnology company, from May 2021 to June 2025, as a member of the board of directors and chair of the audit committee of Prelude Therapeutics, Inc., a clinical-stage precision oncology company, from August 2020 to October 2025, and as a member of the board of directors and audit committee of Adamas Pharmaceuticals, Inc., a biotechnology company, from October 2017 to May 2021. Ms. Dier is a member of the Board of Advisors for the Anderson Graduate School of Management at the University of California, Los Angeles. Ms. Dier holds a B.S. in Biology from Stanford University and an M.B.A. from the Anderson Graduate School of Management at the University of California, Los Angeles.</w:t>
      </w:r>
    </w:p>
    <w:p>
      <w:pPr>
        <w:spacing w:after="0" w:line="18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believe Ms. Dier is qualified to serve on our board of directors because of her experience in the biotechnology industry and her extensive experience in finance and accounting.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Richard Heyman, Ph.D.</w:t>
      </w:r>
      <w:r>
        <w:rPr>
          <w:rFonts w:ascii="Times New Roman" w:cs="Times New Roman" w:eastAsia="Times New Roman" w:hAnsi="Times New Roman"/>
          <w:sz w:val="18"/>
          <w:szCs w:val="18"/>
          <w:color w:val="auto"/>
        </w:rPr>
        <w:t>, has served as a member of our board of directors since March 2015 and as Chairman of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2018. Dr. Heyman also served as our President and Chief Executive Officer from November 2015 to May 2016 and as our Acting President and Chief Executive Officer from November 2017 to May 2018. Since 2019, Dr. Heyman has served as a venture partner for Arch Ventures, a venture capital firm. From August 2013 to April 2015, Dr. Heyman served as President and Chief Executive Officer of Seragon, which was acquired by Genentech in 2014. Prior to that, he served as Co-Founder, President and Chief Executive Officer of Aragon Pharmaceuticals, Inc., a biotechnology company that was acquired by Johnson &amp; Johnson, a medical device, pharmaceutical and consumer packaged goods company, in 2013. Dr. Heyman currently serves on the board of directors of Pelage Pharmaceuticals since 2025, Architect Therapeutics LLC, a biotechnology company, since 2023, PMV Pharma since 2020, Vividion since 2018, and Enliven Therapeutics, a biotechnology company, since 2021, and as chair of the board of directors of Alterome Therapeutics, Inc. since 2025. From June 2015 to March 2023, Dr. Heyman served on the board of directors and as Executive Chairman and Co-Founder of Metacrine, Inc., a biotechnology company. Dr. Heyman also served on the board of directors of Gritstone Bio, a biotechnology company, from 2016 to 2022, Yumanity Therapeutics, Inc., a biotechnology company, from 2016 to 2022, Amunix Pharmaceuticals Inc., a biotechnology company, from 2019 to 2021, and RayzeBio, Inc., a biotechnology company, from 2022 to 2024. He is a Science Partner for Nextech Invest, a member of the board of directors of Curebound, a member of the Board of Trustees at the Salk Institute,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w:t>
      </w:r>
    </w:p>
    <w:p>
      <w:pPr>
        <w:spacing w:after="0" w:line="187"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Heyman is qualified to serve on our board of directors because of his scientific background, his extensive career in the biotechnology industry, and his experience serving as a public company director.</w:t>
      </w:r>
    </w:p>
    <w:p>
      <w:pPr>
        <w:spacing w:after="0" w:line="158"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Lori Kunkel, M.D.</w:t>
      </w:r>
      <w:r>
        <w:rPr>
          <w:rFonts w:ascii="Times New Roman" w:cs="Times New Roman" w:eastAsia="Times New Roman" w:hAnsi="Times New Roman"/>
          <w:sz w:val="18"/>
          <w:szCs w:val="18"/>
          <w:color w:val="auto"/>
        </w:rPr>
        <w:t>, has served as a member of our board of directors since June 2020. Since June 2016, Dr. Kunkel has been a principal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 of LAK505, LLC, a biotechnology consulting company. Dr. Kunkel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has served as a member of the board of directors of K36 Therapeutics, Inc., a private biotechnology company, since December 2021 and as a member of the board of directors of Enliven Therapeutics, Inc., a biopharmaceutical company, since April 2024. Dr. Kunkel previously served on the board of directors of biotechnology companies Maverick Therapeutics, Inc., from January 2017 to April 2021, Loxo Oncology, Inc., from October 2014 to February 2019, and Tocagen Inc., from September 2015 to June 2020 (and as acting Chief Medical Officer from November 2018 to April 2019), as a member of the board of directors, compensation committee, and development committee of Nurix Therapeutics, Inc., a public biotechnology company, from August 2019 to August 2025, and as a member of the board of directors, compensation committee, nominating and governance committee and development committee of Curis, Inc., a public biotechnology company, from November 2016 to September 2022. Dr. Kunkel previously served as chair of the Scientific Advisory Board of Elevation Oncology, Inc. Dr. Kunkel received a B.A. from University of California, San Diego and an M.D. from University of Southern California. She is board certified in internal medicine and held board certifications in hematology and oncology.</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Kunkel is qualified to serve on our board of directors due to her medical and scientific background and her experience in the biotechnology industry.</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L. Hoerter </w:t>
      </w:r>
      <w:r>
        <w:rPr>
          <w:rFonts w:ascii="Times New Roman" w:cs="Times New Roman" w:eastAsia="Times New Roman" w:hAnsi="Times New Roman"/>
          <w:sz w:val="18"/>
          <w:szCs w:val="18"/>
          <w:color w:val="auto"/>
        </w:rPr>
        <w:t>has served as a member of our board of directors since August 2021. From March 2019 to June 2024, Mr. Hoerter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Executive Officer of Deciphera Pharmaceuticals, Inc. (“Deciphera”), a commercial-stage public biotechnology company, when Deciphera was acquired by ONO Pharmaceutical. From February 2016 to March 2019, Mr. Hoerter served as the Chief Commercial Officer of Agios Pharmaceuticals, Inc., a public biotechnology company. From August 2011 to March 2015, Mr. Hoerter served as Senior Vice President, Commercial at Clovis Oncology, Inc., a biotechnology company, and from March 2015 to February 2016, he served as Chief Commercial Officer. Mr. Hoerter has served on the board of directors of C4 Therapeutics, Inc., a clinical-stage public biopharmaceutical company, since November 2024, and MBX Biosciences, a clinical-stage public biopharmaceutical company, since April 2025. Mr. Hoerter previously served on the board of directors of Deciphera from May 2018 until its acquisition by ONO Pharmaceutical in June 2024, Constellation Pharmaceuticals, Inc., a clinical-stage public biotechnology company, from September 2018 until its acquisition by MorphoSys AG in July 2021, and Ignyta, Inc., a publicly traded precision oncology company, from December 2016 until its acquisition by Roche Holding AG in February 2018. Mr. Hoerter holds a B.A. from Bucknell University, an M.B.A. from Tilburg University, and an M.S. in management from Purdue University.</w:t>
      </w:r>
    </w:p>
    <w:p>
      <w:pPr>
        <w:spacing w:after="0" w:line="18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believe that Mr. Hoerter is qualified to serve on our board of directors due to his global management and commercial experience in the biotechnology industry and his experience serving as a public company director.</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Angie You, Ph.D.</w:t>
      </w:r>
      <w:r>
        <w:rPr>
          <w:rFonts w:ascii="Times New Roman" w:cs="Times New Roman" w:eastAsia="Times New Roman" w:hAnsi="Times New Roman"/>
          <w:sz w:val="18"/>
          <w:szCs w:val="18"/>
          <w:color w:val="auto"/>
        </w:rPr>
        <w:t>, has served as a member of our board of directors since November 2021. Since March 2023, Dr. You has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member of the board of directors of Architect Therapeutics, LLC, a biotechnology company, and since February 2022, Dr. You has served as a senior advisor to Frasier Healthcare. From April 2022 to May 2023, Dr. You served as advisor to Casdin Capital. From December 2018 to January 2022, Dr. You served as Chief Executive Officer of Amunix Pharmaceuticals, Inc. (“Amunix”), an immuno-oncology company, when Amunix was acquired by Sanofi S.A. From September 2014 to December 2018, Dr. You served as Chief Business &amp; Strategy Officer and Head of Commercial at Sierra Oncology, Inc., where she helped the company through a successful initial public offering and led the company’s strategic and transactional business and commercial efforts. Dr. You has served as a member of the board of directors of Candid Therapeutics, Inc., a biotechnology company, since October 2024 and as a member of the board of directors of Attovia Therapeutics, a biotechnology company, since July 2024. From April 2022 to March 2024, Dr. You served on the board of directors of RayzeBio, Inc., a biotechnology company. Dr. You holds an A.B. in Chemistry from Harvard College and a Ph.D. in Biochemistry from Harvard University.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that Dr. You is qualified to serve on our board of directors due to her drug development expertise and commercial strategy expertise in the biotechnology industry and her experience serving as a public company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rules of Nasdaq, independent directors must comprise a majority of a listed company’s board of directors. In addition, the rules of Nasdaq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To be considered independent for purposes of Rule 10A-3 and under the rules of Nasdaq, a member of an audit committee of a listed company may not, other than in their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their ability to exercise independent judgment in carrying out their responsibilities. Based upon information requested from and provided by each director concerning their background, employment and affiliations, including family relationships, our board of directors has determined that none of Ms. Dier, Dr. Heyman, Mr. Hoerter, Dr. Kunkel or Dr. You, representing five of our six current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Ms. Dier (committee chairperson), Mr. Hoerter, and Dr. You, who currently comprise our audit committee, and Dr. Heyman (committee chairperson), Mr. Hoerter and Dr. Kunkel, who currently comprise our compensation committee, satisfy the independence standards for committee members established by applicable SEC rules and the listing standards of Nasdaq.</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Party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chaired by Dr. Heyman. As a general policy, our board of directors believes that separation of the positions of chairperson of the board of directors and Chief Executive Officer reinforces the independence of the board of directors from management, creates an environment that encourages objective oversight of management’s performance and enhances the effectiveness of the board of directors as a whole. As such, Dr. Chacko serves as our President and Chief Executive Officer while Dr. Heyman serves as our Chairman of the board of directors but is not an officer. We expect and intend the positions of chairperson of the board of directors and Chief Executive Officer to continue to be held by two individuals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During 2025, our board of directors held six meetings (including regularly scheduled and special meetings), and each director attended at least 75% of the aggregate of (i) the total number of meetings of our board of directors held during the period for which they served as a director and (ii) the total number of meetings held by all committees of our board of directors on which they served during the periods that they served.</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It is the policy of our board of directors to regularly have separate meeting times for independent directors without management. Although we do not have a formal policy regarding attendance by members of our board of directors at annual meetings of stockholders, we encourage, but do not require, our directors to attend. Four of our six directors attended our 2025 annual meeting of stockholders.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Each committee has the composition and responsibilities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members of our audit committee are Ms. Dier, Mr. Hoerter and Dr. You, each of whom is a non-employee member of our board of directors. Ms. Dier serves as the chairperson of our audit committee. All members of our audit committee meet the requirements for independence and financial literacy of audit committee members under current Nasdaq listing standards and SEC rules and regulations. Our audit committee chairperson, Ms. Dier, is our audit committee financial expert, as that term is defined under the SEC rules implementing Section 407 of the Sarbanes-Oxley Act of 2002, and she possesses financial sophistication, as defined under Nasdaq listing standards. The responsibilities of our audit committee include, among other things:</w:t>
      </w:r>
    </w:p>
    <w:p>
      <w:pPr>
        <w:spacing w:after="0" w:line="93"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audit and non-audit services and fees;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to be included in our annual proxy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communications from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and disclosure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cybersecurity and data security risks and mitigation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related party transactions;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requirements of Nasdaq. A copy of the charter of our audit committee is available on our website at www.oricpharma.com in the Corporate Governance section of our Investor Relations webpage. During 2025, our audit committee held four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members of our compensation committee are Drs. Heyman and Kunkel and Mr. Hoerter, each of whom is a non-employee member of our board of directors. Dr. Heyman serves as the chairperson of our compensation committee. All members of our compensation committee meet the requirements for independence under current Nasdaq listing standards and SEC rules and regulations. Each member of our compensation committee is also a non-employee director, as defined pursuant to Rule 16b-3 promulgated under the Exchange Act. The purpose of our compensation committee is to oversee our compensation policies, plans and benefit programs and to discharge the responsibilities of our board of directors relating to compensation of our executive officers. The responsibilities of our compensation committee include, among other things:</w:t>
      </w:r>
    </w:p>
    <w:p>
      <w:pPr>
        <w:spacing w:after="0" w:line="93"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overall compensation philosophy and compensation policies, plans and benefit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for approval compensation for our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that the SEC will require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listing standards of Nasdaq. A copy of the charter of our compensation committee is available on our website at www.oricpharma.com in the Corporate Governance section of our Investor Relations webpage. During 2025, our compensation committee held four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Drs. Heyman and You and Ms. Dier. Dr. Heyman serves as the chairperson of our nominating and corporate governance committee. All members of our nominating and corporate governance committee meet the requirements for independence under current Nasdaq listing standards and SEC rules and regulations. The responsibilities of our nominating and corporate governance committee include, among other things:</w:t>
      </w:r>
    </w:p>
    <w:p>
      <w:pPr>
        <w:spacing w:after="0" w:line="85" w:lineRule="exact"/>
        <w:rPr>
          <w:sz w:val="20"/>
          <w:szCs w:val="20"/>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making recommendations to our board of directors regarding nominees for election to our board of directors and its committees;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listing standards of Nasdaq. A copy of the charter of our nominating and corporate governance committee is available on our website at www.oricpharma.com in the Corporate Governance section of our Investor Relations webpage. During 2025, our nominating and corporate governance committee held three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except for Dr. Heyman who has previously served as an executive officer.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candidates recommended by stockholders in the same manner as candidates recommended to the nominating and corporate governance committee from other sources.</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members of our board of directors eligible for re-election, the nominating and corporate governance committee will consider such factors as character, professional ethics and integrity, judgment, business acumen, proven achievement and competence in one’s field, the ability to exercise sound judgement, tenure on the board of directors and skills that are complementary to the board of directors, an understanding of ORIC’s business, an understanding of the responsibilities that are required of a member of the board of directors, other time constraints, diversity with respect to professional background, education, race, ethnicity, gender, age, geography and other individual qualities and attributes that contribute to the total mix of viewpoints and experience represented on the board of directors. The nominating and corporate governance committee evaluates these factors, among others, and does not assign any particular weighting or priority to any of these factors.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propose to our board of directors a candidate recommended or offered for nomination by a stockholder as a nominee for election to our board of directors. Additionally, the nominating and corporate governance committee may pay fees to third parties to assist in identifying or evaluating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stockholder that wants to recommend a candidate for election to our board of directors should direct the recommendation in writing by letter to the Company, attention of the Secretary, at 240 E. Grand Ave, 2nd Floor, South San Francisco, California 94080. The recommendation must include the candidate’s name, home and business contact information, detailed biographical data, the class and number of our securities beneficially owned by the candidate,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 Stockholder recommendations must be received by December 31st of the year prior to the year in which the recommended candidates will be considered for nomination.</w:t>
      </w:r>
    </w:p>
    <w:p>
      <w:pPr>
        <w:spacing w:after="0" w:line="188"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 stockholder that instead desires to nominate a person directly for election to our board of directors at an annual meeting of the stockholders must meet the deadlines and other requirements set forth in Section 2.4 of the Company’s bylaws and the rules and regulations of the SEC.</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stockholder recommendations for director candidates, see “Questions and Answers About the Annual Meeting—</w:t>
      </w:r>
      <w:r>
        <w:rPr>
          <w:rFonts w:ascii="Times New Roman" w:cs="Times New Roman" w:eastAsia="Times New Roman" w:hAnsi="Times New Roman"/>
          <w:sz w:val="18"/>
          <w:szCs w:val="18"/>
          <w:i w:val="1"/>
          <w:iCs w:val="1"/>
          <w:color w:val="auto"/>
        </w:rPr>
        <w:t>What is the deadline to propose actions for consideration at next year’s annual meeting of stockholders or to nominate individuals to serve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management speaks for ORIC Pharmaceuticals, Inc. Individual board members may, from time to time, communicate with various constituencies that are involved with the Company, but it is expected that board members would do this with knowledge of management and, in most instances, only at the request of management.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cases where stockholders and other interested parties wish to communicate directly with our non-management directors, messages can be sent to our Secretary, at ORIC Pharmaceuticals, Inc., 240 E. Grand Ave, 2nd Floor, South San Francisco, California 94080, Attn: Secretary. Our Secretary monitors these communications and will provide a summary of all received messages to the board of directors at each regularly scheduled meeting of the board of directors. Our board of directors generally meets on a quarterly basis. Where the nature of a communication warrants, our Secretary may determine, in their judgment, to obtain the more immediate attention of the appropriate committee of the board or non-management director, of independent advisors or of Company management, as our Secretary considers appropriate.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Secretary may decide in the exercise of their judgment whether a response to any stockholder or interested party communication is necessary.</w:t>
      </w:r>
    </w:p>
    <w:p>
      <w:pPr>
        <w:spacing w:after="0" w:line="225"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procedure for stockholder and other interested party communications with the non-management directors is administered by our nominating and corporate governance committee. This procedure does not apply to (a) communications to non-management directors from officers or directors of the Company who are stockholders, (b) stockholder proposals submitted pursuant to Rule 14a-8 under the Exchange Act, or (c) communications to the audit committee pursuant to the Complaint Procedures for Accounting and Auditing Matters.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board of directors, officers and employees that we believe is reasonably designed to promote compliance with insider trading laws, rules and regulations, and any listing standards applicable to us. We will not engage in transactions in our securities, except in compliance with applicable securities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executive officers, and the members of our board of directors are prohibited from, directly or indirectly, among other things, (1) engaging in short sales of our securities,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items such as the qualifications and responsibilities of our directors and director candidates and corporate governance policies and standards applicable to us in general. In addition, 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www.oricpharma.com in the Corporate Governance section of our Investor Relations webpage. We intend to disclose future amendments to such code, or any waivers of its requirements, applicable to any principal executive officer, principal financial officer, principal accounting officer or controller or persons performing similar functions or our directors on our website or in a current report on Form 8-K.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Our audit committee monitors cybersecurity, data security risks, mitigation strategies and compliance with legal and regulatory requirements and reviews related party transactions,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have the potential to encourage excessive risk-taking.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our director compensation policy, each non-employee director receives the cash and equity compensation for board services described below. Our compensation committee has primary responsibility for reviewing and recommending to the board of directors for approval the compensation paid to non-employee directors. Our compensation committee reviews at least annually the type and form of compensation paid to our non-employee directors, which includes a market assessment and analysis by our independent compensation consulting firm, Aon’s Human Capital Solutions practice, a division of Aon plc (“Aon”), regarding practices at comparable companies. As part of this analysis, Aon reviews non-employee director compensation trends and data from companies comprising the same peer group used by our compensation committee in connection with its review of executive compensation. Based on this review, our compensation committee and board of directors consider adjustments to the non-employee director compensation program in an effort to provide competitive compensation to our non-employee directors.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2025, our compensation committee, in consultation with Aon and based on Aon’s analysis of peer data, reviewed our director compensation policy and recommended to the board of directors, and the board of directors approved, an Amended and Restated Outside Director Compensation Policy (the “2026 Amended and Restated Director Compensation Policy”) to (i) increase the number of shares subject to the initial option award and annual option awards to be made to our non-employee directors to 80,000 and 40,000, respectively, effective after December 17, 2025, (ii) increase the cash compensation for service as a board member paid to our non-employee directors to $45,000, effective January 1, 2026, (iii) increase the cash compensation for service as a member of the audit committee to $10,000, effective January 1, 2026, (iv) increase the cash compensation for service as chairperson of the audit committee to $20,000, effective January 1, 2026, (v) increase the cash compensation for service as a member of the compensation committee to $7,500, effective January 1, 2026, and (vi) increase the cash compensation for service as chairperson of the compensation committee to $15,000, effective January 1, 2026. The changes to the 2026 Amended and Restated Director Compensation Policy were approved to provide market competitive compensation in order to attract and retain our highly skilled non-employee directors, consistent with our compensation philosophy. The compensation committee will periodically evaluate the form of equity awards (e.g., stock option versus full-value equity awards) in light of evolving market practices.</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director compensation policy includes a maximum annual limit of $500,000 of cash compensation and equity awards that may be paid, issued or granted to a non-employee director in any fiscal year, increased to $750,000 in the fiscal year the non-employee director joins the board of directors as an outside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will not count for purposes of the limitation.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Non-employee directors are entitled to receive the following cash compensation for their services under the policy:</w:t>
      </w:r>
    </w:p>
    <w:p>
      <w:pPr>
        <w:spacing w:after="0" w:line="131" w:lineRule="exact"/>
        <w:rPr>
          <w:sz w:val="20"/>
          <w:szCs w:val="20"/>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a board member (increased to $45,000, effective January 1, 2026, as a result of the 2026 Amended and Restated Director Compensation Policy);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chairperson of the board;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chairperson of the audit committee (increased to $20,000, effective January 1, 2026, as a result of the 2026 Amended and Restated Director Compensation Policy);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an audit committee member (increased to $10,000, effective January 1, 2026, as a result of the 2026 Amended and Restated Director Compensation Policy);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chairperson of the compensation committee (increased to $15,000, effective January 1, 2026, as a result of the 2026 Amended and Restated Director Compensation Policy);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compensation committee member (increased to $7,500, effective January 1, 2026, as a result of the 2026 Amended and Restated Director Compensation Policy);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chairperson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nominating and corporate governance committee member.</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Increases to cash compensation for 2026 were driven by a number of factors, including market practices and the time commitment for board service and committee roles.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non-employee director who serves as the chair of a committee shall not receive the additional annual cash fee as a member of the committee. The chairperson of the board of directors shall receive the cash fee for service as chairperson of the board in addition to the annual cash fee for service as a board member. All cash payments to non-employee directors are paid quarterly in arrears on a pro-rated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Initial Option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person who first becomes a non-employee director will receive, on the date of the first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meeting occurring on or after the date on which the person first becomes a non-employee director, an initial stock option award to purchase 70,000 shares of our common stock (increased to 80,000 shares of our common stock, effective after December 17, 2025, as a result of the 2026 Amended and Restated Director Compensation Policy). The initial stock option award will vest as to 1/36th of the total number of shares on each monthly anniversary of the commencement of the individual’s service as a non-employee director, subject to the director’s continued service to us through the applicable vesting date.</w:t>
      </w:r>
    </w:p>
    <w:p>
      <w:pPr>
        <w:spacing w:after="0" w:line="1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Annual Option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non-employee director automatically will receive, on the date that the Company’s executive officers are made focal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grants in January of each year, an annual stock option award to purchase 35,000 shares of our common stock (increased to 40,000 shares of our common stock, effective after December 17, 2025, as a result of the 2026 Amended and Restated Director Compensation Policy), except that the first annual stock option award received by an individual who becomes a non-employee director will be reduced by calculating the number as follows: (x) 35,000 shares (increased to 40,000 shares, effective after December 17, 2025, as a result of the 2026 Amended and Restated Director Compensation Policy) divided by (y) (1) the total number of fully completed months between the date the individual becomes a non-employee director and the date on which such annual stock option award is granted divided by (2) twelve (12) (rounded to the nearest whole share). The annual stock option award will vest as to 1/12th of the total number of shares on each monthly anniversary of the grant date of the annual stock option award, subject to the director’s continued service to us through the applicable vesting date.</w:t>
      </w:r>
    </w:p>
    <w:p>
      <w:pPr>
        <w:spacing w:after="0" w:line="19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Changes to equity award compensation for 2026 were driven by a number of factors, including market practices and the time commitment for board service and committee roles. The compensation committee will periodically evaluate the form and size of equity awards in light of evolving market practices.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in our 2020 Plan), each non-employee director will fully vest in their outstanding company equity awards granted to them while a non-employee director, including any initial stock option award or annual stock option award, immediately prior to the consummation of the change in control. All initial stock option awards and annual stock option awards will have an exercise price equal to the fair market value of a share of our common stock on the date of grant, and a maximum term of 10 years.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presents the total compensation each of our non-employee directors earned during the year ended December 31, 2025.</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Dr. Chacko was our only employee who served as a director during 2025 and did not receive any additional compensation for his services as a director.</w:t>
      </w: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titled “Executive Compensation” for information about Dr. Chacko’s compensation.</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520" w:type="dxa"/>
            <w:vAlign w:val="bottom"/>
            <w:gridSpan w:val="2"/>
          </w:tcPr>
          <w:p>
            <w:pPr>
              <w:jc w:val="center"/>
              <w:ind w:left="1496"/>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8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58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2520" w:type="dxa"/>
            <w:vAlign w:val="bottom"/>
            <w:gridSpan w:val="2"/>
          </w:tcPr>
          <w:p>
            <w:pPr>
              <w:jc w:val="center"/>
              <w:ind w:left="149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Richard Heyman, Ph.D.</w:t>
            </w:r>
            <w:r>
              <w:rPr>
                <w:rFonts w:ascii="Times New Roman" w:cs="Times New Roman" w:eastAsia="Times New Roman" w:hAnsi="Times New Roman"/>
                <w:sz w:val="23"/>
                <w:szCs w:val="23"/>
                <w:color w:val="auto"/>
                <w:vertAlign w:val="superscript"/>
              </w:rPr>
              <w:t>(2)</w:t>
            </w:r>
          </w:p>
        </w:tc>
        <w:tc>
          <w:tcPr>
            <w:tcW w:w="15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6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206,021</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9"/>
              </w:rPr>
              <w:t>306,021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Mardi C. Dier</w:t>
            </w:r>
            <w:r>
              <w:rPr>
                <w:rFonts w:ascii="Times New Roman" w:cs="Times New Roman" w:eastAsia="Times New Roman" w:hAnsi="Times New Roman"/>
                <w:sz w:val="25"/>
                <w:szCs w:val="25"/>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206,021</w:t>
            </w:r>
          </w:p>
        </w:tc>
        <w:tc>
          <w:tcPr>
            <w:tcW w:w="6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266,021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Steven L. Hoerter</w:t>
            </w:r>
            <w:r>
              <w:rPr>
                <w:rFonts w:ascii="Times New Roman" w:cs="Times New Roman" w:eastAsia="Times New Roman" w:hAnsi="Times New Roman"/>
                <w:sz w:val="25"/>
                <w:szCs w:val="25"/>
                <w:color w:val="auto"/>
                <w:vertAlign w:val="superscript"/>
              </w:rPr>
              <w:t>(4)</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206,021</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258,521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Lori Kunkel, M.D.</w:t>
            </w:r>
            <w:r>
              <w:rPr>
                <w:rFonts w:ascii="Times New Roman" w:cs="Times New Roman" w:eastAsia="Times New Roman" w:hAnsi="Times New Roman"/>
                <w:sz w:val="25"/>
                <w:szCs w:val="25"/>
                <w:color w:val="auto"/>
                <w:vertAlign w:val="superscript"/>
              </w:rPr>
              <w:t>(5)</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206,021</w:t>
            </w:r>
          </w:p>
        </w:tc>
        <w:tc>
          <w:tcPr>
            <w:tcW w:w="6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251,021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Angie You, Ph.D.</w:t>
            </w:r>
            <w:r>
              <w:rPr>
                <w:rFonts w:ascii="Times New Roman" w:cs="Times New Roman" w:eastAsia="Times New Roman" w:hAnsi="Times New Roman"/>
                <w:sz w:val="25"/>
                <w:szCs w:val="25"/>
                <w:color w:val="auto"/>
                <w:vertAlign w:val="superscript"/>
              </w:rPr>
              <w:t>(6)</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206,021</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258,521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80" w:hanging="424"/>
        <w:spacing w:after="0" w:line="270"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grants made in 2025 to the Company’s non-employee directors pursuant to the annual stock option award. The amounts disclosed represent the aggregate grant date fair value of the award as calculated in accordance with ASC 718. These amounts do not correspond to the actual value that may be recognized by the directors upon vesting of the applicable awards. For a discussion of how we calculate stock-based compensation expense, see Note 9 to the Financial Statements included in our Annual Report on Form 10-K filed on February 23, 2026.</w:t>
      </w:r>
    </w:p>
    <w:p>
      <w:pPr>
        <w:spacing w:after="0" w:line="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Heyman held outstanding option awards covering 200,303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Dier held outstanding option awards covering 184,675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Hoerter held outstanding option awards covering 164,633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Kunkel held outstanding option awards covering 95,740 shares.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You held outstanding option awards covering 159,508 shares.</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320" w:top="482" w:right="5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six (6) members. In accordance with our certificate of incorporation, our board of directors is divided into three classes with staggered three-year terms. At the Annual Meeting, two Class III directors will be elected for a three-year term to succeed the same class whose term is then expiring.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Jacob M. Chacko, M.D. and Mardi C. Dier as nominees for election as Class III directors at the Annual Meeting. If elected, Dr. Chacko and Ms. Dier will serve as Class III directors until the 2029 annual meeting of stockholders or until their successors are duly elected and qualified or until their earlier death, resignation or removal. Dr. Chacko and Ms. Dier are currently directors of our company, and each has agreed to being named in this proxy statement as a nominee. For information concerning the nominees, please see “Board of Directors and Corporate Governance.”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but do not give instructions with respect to voting for directors, your shares will be voted FOR the election of Dr. Chacko and Ms. Dier. We expect that Dr. Chacko and Ms. Dier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election of two Class III directors requires a plurality of the voting power of the shares present in person (virtually) or represented by proxy at the Annual Meeting and entitled to vote on the election of directors to be approved. Any shares not voted FOR a particular nominee (whether as a result of voting withheld or a broker non-vote) will have no effect on this proposal.</w:t>
      </w:r>
    </w:p>
    <w:p>
      <w:pPr>
        <w:spacing w:after="0" w:line="17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OF THE TWO DIRECTORS NOMINATED BY OUR BOARD OF DIRECTORS AND NAMED IN THIS PROXY STATEMENT AS CLASS III DIRECTORS TO SERVE FOR A THREE-YEAR TERM.</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KPMG LLP as our independent registered public accounting firm to audit our financial statements for our fiscal year ending December 31, 2026. KPMG LLP has served as our independent registered public accounting firm since 2018.</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the Annual Meeting, stockholders are being asked to ratify the appointment of KPMG LLP as our independent registered public accounting firm for our fiscal year ending December 31, 2026.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required vote as set forth below,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ORIC and its stockholders. A representative of KPMG LLP is expected to be present at the Annual Meeting, will have an opportunity to make a statement if such representative wishes to do so, and is expected to be available to respond to appropriate questions from stockholders.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KPMG LLP for our fiscal years ended December 31, 2025 and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09"/>
        </w:trPr>
        <w:tc>
          <w:tcPr>
            <w:tcW w:w="64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$772,939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$ 605,220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113,000</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(3)</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1,780</w:t>
            </w:r>
          </w:p>
        </w:tc>
      </w:tr>
      <w:tr>
        <w:trPr>
          <w:trHeight w:val="223"/>
        </w:trPr>
        <w:tc>
          <w:tcPr>
            <w:tcW w:w="6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887,719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$ 607,000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8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annual financial statements, the review of financial statements included in our quarterly reports, and comfort letters and consents in connection with equity offerings.</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tax consultation services.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a subscription to an online accounting research service.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KPMG LLP that would have required our audit committee to consider their compatibility with maintaining the independence of KPMG LLP.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KPMG LLP for our fiscal years ended December 31, 2025 and December 31, 2024 were pre-approved by our audit committee.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KPMG LLP requires the affirmative vote of a majority of the voting power of the shares present in person (virtually) or represented by proxy at the Annual Meeting and entitled to vote on the subject matter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Proposal No. 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Abstentions will have the effect of a vote AGAINST this proposal.</w:t>
      </w:r>
    </w:p>
    <w:p>
      <w:pPr>
        <w:spacing w:after="0" w:line="22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KPMG LLP AS OUR INDEPENDENT REGISTERED PUBLIC ACCOUNTING FIRM FOR OUR FISCAL YEAR ENDING DECEMBER 31, 2026.</w:t>
      </w:r>
    </w:p>
    <w:p>
      <w:pPr>
        <w:spacing w:after="0" w:line="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82"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ORIC Pharmaceuticals, Inc., or the Company, specifically incorporates it by reference in such filing.</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serves as the representative of our board of directors with respect to its oversight of:</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and the audit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about significant risks, reviewing our policies for risk assessment and risk management, and assessing the steps management has taken to control these risks;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registered public accounting firm’s appointment, qualifications and independence.</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also reviews the performance of our independent registered public accounting firm, KPMG LLP, in the annual audit of our financial statements and in assignments unrelated to the audit, and reviews the independent registered public accounting firm’s fees.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provides our board of directors such information and materials as it may deem necessary to make our board of directors aware of financial matters requiring the attention of our board of directors. The audit committee reviews our financial disclosures and meets privately, outside the presence of our management, with our independent registered public accounting firm. In fulfilling its oversight responsibilities, the audit committee reviewed and discussed the audited financial statements in our 2025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our board of directors.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KPMG LLP, the Company’s independent registered public accounting firm. The audit committee has discussed with KPMG LLP the matters required to be discussed by the applicable requirements of the Public Company Accounting Oversight Board (the “PCAOB”) and the Securities and Exchange Commission.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has received and reviewed the written disclosures and the letter from KPMG LLP required by the applicable requirements of the PCAOB regarding KPMG LLP’s communications with the audit committee concerning independence and has discussed with KPMG LLP its independence. In addition, the audit committee has discussed with KPMG LLP its independence from management and the Company, including matters in the letter from KPMG LLP required by PCAOB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and considered the compatibility of non-audit services with KPMG LLP’s independence.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of directors that the Company’s audited financial statements be included in the Company’s Annual Report on Form 10-K for the fiscal year ended December 31, 2025 for filing with the Securities and Exchange Commission. The audit committee also has selected KPMG LLP as the independent registered public accounting firm for fiscal year 2026. Our board of directors recommends that stockholders ratify this selection at the Annual Meeting.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Respectfully submitted by the members of the audit committee of the board of directors:</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Mardi C. Dier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Steven L. Hoerter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Angie You, Ph.D.</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39"/>
          </w:cols>
          <w:pgMar w:left="320" w:top="482"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THE ORIC PHARMACEUTICALS, INC. 2020 EQUITY INCENTIVE PLAN,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AMENDED AND RESTATED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seeking stockholder approval of an amendment and restatement of the ORIC Pharmaceuticals, Inc. 2020 Equity Incentive Plan (the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and specifically as amended and restated, the “Amended 2020 Plan”) to provide for each of the following:</w:t>
      </w:r>
    </w:p>
    <w:p>
      <w:pPr>
        <w:spacing w:after="0" w:line="112"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our existing automatic annual share reserve increase provision (the “Evergreen Provision”) in the 2020 Plan to make the following adjustments (the “Evergreen Amendment”):</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Evergreen Provision addition from 5% to 4% of outstanding shares of our common stock (“Shares”) each year, and</w:t>
      </w:r>
    </w:p>
    <w:p>
      <w:pPr>
        <w:spacing w:after="0" w:line="130"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current hard numerical cap on the Evergreen Provision, all while retaining the board’s ability to authorize a lower increase in any year.</w:t>
      </w:r>
    </w:p>
    <w:p>
      <w:pPr>
        <w:spacing w:after="0" w:line="54" w:lineRule="exact"/>
        <w:rPr>
          <w:sz w:val="20"/>
          <w:szCs w:val="20"/>
          <w:color w:val="auto"/>
        </w:rPr>
      </w:pPr>
    </w:p>
    <w:p>
      <w:pPr>
        <w:ind w:left="1100" w:right="160"/>
        <w:spacing w:after="0" w:line="266" w:lineRule="auto"/>
        <w:rPr>
          <w:sz w:val="20"/>
          <w:szCs w:val="20"/>
          <w:color w:val="auto"/>
        </w:rPr>
      </w:pPr>
      <w:r>
        <w:rPr>
          <w:rFonts w:ascii="Times New Roman" w:cs="Times New Roman" w:eastAsia="Times New Roman" w:hAnsi="Times New Roman"/>
          <w:sz w:val="18"/>
          <w:szCs w:val="18"/>
          <w:color w:val="auto"/>
        </w:rPr>
        <w:t>We believe this structure will provide the flexibility necessary to attract and retain key talent over the long term, while the reduced evergreen provision, responsible historical grant practices, commitment to burn rate management, and ongoing board oversight will help ensure that our overall equity usage remains disciplined and aligned with stockholder interests;</w:t>
      </w:r>
    </w:p>
    <w:p>
      <w:pPr>
        <w:spacing w:after="0" w:line="81" w:lineRule="exact"/>
        <w:rPr>
          <w:sz w:val="20"/>
          <w:szCs w:val="20"/>
          <w:color w:val="auto"/>
        </w:rPr>
      </w:pPr>
    </w:p>
    <w:p>
      <w:pPr>
        <w:ind w:left="1080" w:right="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retain the ability to grant incentive stock options within the meaning of Section 422 of the Internal Revenue Code (the “Code”) and comply with applicable tax rules in light of the Evergreen Amendment, provide that, subject to the adjustment provisions in the Amended 2020 Plan, the number of Shares that may be granted pursuant to incentive stock options shall be up to 10,000,000, but in all cases subject to the applicable share reserve (the “ISO Cap Amendment”);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align the Amended 2020 Plan with current governance best practices for public companies, eliminate the ability of the administrator of the Amended 2020 Plan to implement a program under which (x) outstanding awards may be surrendered or cancelled in exchange for awards of the same type (which may have higher or lower exercise prices and different terms), awards of a different type, and/or cash, (y) participants would have the opportunity to transfer any outstanding awards to a financial institution or other person or entity selected by the administrator, and/or (z) the exercise price of an outstanding award may be reduced (such a program, an “Exchange Program,” and such amendment, the “Exchange Program Amendment”).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its compensation committee, and management believe that grants of equity awards, including, but not limited to, incentive stock options, to employees and other service providers motivate high levels of performance to achieve our goals, provide an effective means for recognizing contributions that promote our success, and promote the closer alignment of the interests of our service providers with those of our stockholders by providing the perspective of an owner with an equity stake in the Company.</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2020 Plan was originally approved by stockholders in 2020, in connection with the 2020 Plan’s adoption. We are not asking our stockholders to approve an extension of the 2020 Plan, and therefore if the Amended 2020 Plan is approved, it will terminate no later than in 2030.</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the Evergreen Amendment, the ISO Cap Amendment and the Exchange Program Amendment (together, the “Amendments”) will permit us to continue to achieve our goals of attracting, motivating and retaining our service providers through grants of equity awards, which the board of directors believes to be in the best interests of the Company and its stockholders.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recommendation of the compensation committee, the board of directors approved the Amended 2020 Plan to reflect the Amendments on March 24, 2026, subject to approval of the stockholders at the annual meeting. If stockholders approve the Amended 2020 Plan, then the Amended 2020 Plan will replace the version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of the 2020 Plan currently in effect. If stockholders do not approve the Amended 2020 Plan, the 2020 Plan will continue in effect without application of the Amendments and we will continue to grant awards under the 2020 Plan, subject to its current terms, conditions and limitations, using the Shares available for issuance thereunder.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and the board of directors believe the adjustments to the Evergreen Provision of the 2020 Plan are necessary and important for achieving our recruiting, retention and incentive goals. Without application of the Evergreen Amendment, the numerical Share cap will continue to apply to the Evergreen Provision, which may inhibit our ability to make long-term equity incentive awards that are sufficient to meet our needs. The compensation committee and the board of directors believe the proposed adjustments to the Evergreen Provision are necessary to support our long-term recruiting, retention and incentive objectives, while maintaining a disciplined approach to potential dilution. Reducing the evergreen provision from 5% to 4% and removing the legacy numerical share cap, subject to the board of director’s discretion to approve a lower increase, in any given year is intended to provide sufficient flexibility to make competitive long-term equity awards in a volatile market, without resorting to frequent, large ad hoc share requests. Absent the Evergreen Amendment, the existing numerical cap on the evergreen could constrain our ability to deliver appropriate equity incentives as we grow our business and workforce.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determining and recommending the Amendments, our compensation committee considered a number of factors, including the following:</w:t>
      </w:r>
    </w:p>
    <w:p>
      <w:pPr>
        <w:spacing w:after="0" w:line="129" w:lineRule="exact"/>
        <w:rPr>
          <w:sz w:val="20"/>
          <w:szCs w:val="20"/>
          <w:color w:val="auto"/>
        </w:rPr>
      </w:pPr>
    </w:p>
    <w:p>
      <w:pPr>
        <w:ind w:left="1080" w:right="1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Attracting and Retaining Talent. </w:t>
      </w:r>
      <w:r>
        <w:rPr>
          <w:rFonts w:ascii="Times New Roman" w:cs="Times New Roman" w:eastAsia="Times New Roman" w:hAnsi="Times New Roman"/>
          <w:sz w:val="18"/>
          <w:szCs w:val="18"/>
          <w:color w:val="auto"/>
        </w:rPr>
        <w:t>The importance of an appropriately sized pool of Shares to attract, retain and engage high-caliber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believes that maintaining an appropriately sized pool of shares under the 2020 Plan is critical to attract, retain and engage the high-caliber employees and other service providers needed to execute our strategy, especially in key scientific and clinical roles.</w:t>
      </w:r>
    </w:p>
    <w:p>
      <w:pPr>
        <w:spacing w:after="0" w:line="85" w:lineRule="exact"/>
        <w:rPr>
          <w:rFonts w:ascii="Times New Roman" w:cs="Times New Roman" w:eastAsia="Times New Roman" w:hAnsi="Times New Roman"/>
          <w:sz w:val="18"/>
          <w:szCs w:val="18"/>
          <w:color w:val="auto"/>
        </w:rPr>
      </w:pPr>
    </w:p>
    <w:p>
      <w:pPr>
        <w:ind w:left="1080" w:right="32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Compensation is Important in a Competitive Labor Market. </w:t>
      </w:r>
      <w:r>
        <w:rPr>
          <w:rFonts w:ascii="Times New Roman" w:cs="Times New Roman" w:eastAsia="Times New Roman" w:hAnsi="Times New Roman"/>
          <w:sz w:val="18"/>
          <w:szCs w:val="18"/>
          <w:color w:val="auto"/>
        </w:rPr>
        <w:t>In our industry, there is significant competition for experienced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educated individuals with the skills necessary to execute our strategy and advance our business. Our success depends on such key employees. Equity compensation is a core component of our employment value proposition and aligns employees with the long-term interests of our stockholders. To remain competitive for critical talent, the compensation committee believes we must continue to offer market-aligned equity opportunities in addition to cash compensation.</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Governance Safeguards</w:t>
      </w:r>
      <w:r>
        <w:rPr>
          <w:rFonts w:ascii="Times New Roman" w:cs="Times New Roman" w:eastAsia="Times New Roman" w:hAnsi="Times New Roman"/>
          <w:sz w:val="18"/>
          <w:szCs w:val="18"/>
          <w:color w:val="auto"/>
        </w:rPr>
        <w:t>. Beginning in Fiscal 2027, the Evergreen Amendment reduces the annual share increase from 5%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equity plan to the proposed 4% under the Amended 2020 Plan and removes the numerical annual increase limit under the evergreen provision. The Exchange Program Amendment would eliminate the plan administrator’s authority to reprice or exchange underwater awards or permit transfers of awards to third parties absent stockholder approval. The compensation committee believes these changes further align the Amended 2020 Plan with current governance best practices and address a common investor concern for companies of a similar size and stage of development as the Company.</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Amended 2020 Plan Aligns with Corporate Governance Best Practices</w:t>
      </w:r>
      <w:r>
        <w:rPr>
          <w:rFonts w:ascii="Times New Roman" w:cs="Times New Roman" w:eastAsia="Times New Roman" w:hAnsi="Times New Roman"/>
          <w:sz w:val="18"/>
          <w:szCs w:val="18"/>
          <w:color w:val="auto"/>
        </w:rPr>
        <w:t>. The Amended 2020 Plan aligns with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practices, including the following:</w:t>
      </w:r>
    </w:p>
    <w:p>
      <w:pPr>
        <w:spacing w:after="0" w:line="65"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2020 Plan generally does not permit payment of dividends or dividend equivalents in respect of unvested equity awards;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2020 Plan does not permit the grant of discounted stock options or stock appreciation rights;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2020 Plan provides reasonable limits on non-employee director compensation;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2020 Plan does not provide for tax gross-ups on awards;</w:t>
      </w:r>
    </w:p>
    <w:p>
      <w:pPr>
        <w:spacing w:after="0" w:line="130" w:lineRule="exact"/>
        <w:rPr>
          <w:rFonts w:ascii="Times New Roman" w:cs="Times New Roman" w:eastAsia="Times New Roman" w:hAnsi="Times New Roman"/>
          <w:sz w:val="18"/>
          <w:szCs w:val="18"/>
          <w:color w:val="auto"/>
        </w:rPr>
      </w:pPr>
    </w:p>
    <w:p>
      <w:pPr>
        <w:ind w:left="1540" w:right="82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2020 Plan does not permit downward repricings or transferability of awards to Company-selected financial institutions;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2020 Plan is administered by an independent committee of our board of directors.</w:t>
      </w:r>
    </w:p>
    <w:p>
      <w:pPr>
        <w:spacing w:after="0" w:line="128" w:lineRule="exact"/>
        <w:rPr>
          <w:rFonts w:ascii="Times New Roman" w:cs="Times New Roman" w:eastAsia="Times New Roman" w:hAnsi="Times New Roman"/>
          <w:sz w:val="18"/>
          <w:szCs w:val="18"/>
          <w:color w:val="auto"/>
        </w:rPr>
      </w:pPr>
    </w:p>
    <w:p>
      <w:pPr>
        <w:ind w:left="1080" w:right="40" w:hanging="424"/>
        <w:spacing w:after="0" w:line="23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Grant Practices. </w:t>
      </w:r>
      <w:r>
        <w:rPr>
          <w:rFonts w:ascii="Times New Roman" w:cs="Times New Roman" w:eastAsia="Times New Roman" w:hAnsi="Times New Roman"/>
          <w:sz w:val="18"/>
          <w:szCs w:val="18"/>
          <w:color w:val="auto"/>
        </w:rPr>
        <w:t>We have responsibly budgeted and managed our equity grants. Under our equity incentive plans, in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2024 and 2025, we granted stock options and restricted stock units covering 2,433,813 Shares, 3,394,257 Shares and 4,124,182 Shares (which excludes purchase rights under the ORIC Pharmaceuticals, Inc. 2020 Employee Stock Purchase Plan), respectively. Relative to ORIC’s peers, the historical 3-year average burn rate of 4.8% falls below the peer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VABR of 4.2% below the ISS VABR benchmark, reflecting the Company’s responsible equity spend practices.</w:t>
      </w:r>
    </w:p>
    <w:p>
      <w:pPr>
        <w:spacing w:after="0" w:line="102"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Forecasted Usage.  </w:t>
      </w:r>
      <w:r>
        <w:rPr>
          <w:rFonts w:ascii="Times New Roman" w:cs="Times New Roman" w:eastAsia="Times New Roman" w:hAnsi="Times New Roman"/>
          <w:sz w:val="18"/>
          <w:szCs w:val="18"/>
          <w:color w:val="auto"/>
        </w:rPr>
        <w:t>If stockholders approve the Amended 2020 Plan, the compensation committee currently anticipates that we likely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request additional Shares for the 2020 Plan until our 2030 annual meeting of stockholders, based on our current share price, recent burn rate history, and historical new hire and annual grant practices. The compensation committee further took into account the impact of any expected future changes in employee population on projected share use. However, future circumstances and business needs, such as higher than expected headcount increases or retention efforts, including of officers and other key employees to support growth of our businesses, may result in our seeking more Shares sooner than 2030.</w:t>
      </w:r>
    </w:p>
    <w:p>
      <w:pPr>
        <w:spacing w:after="0" w:line="87"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Monitoring of Dilution, Burn Rate and Overhang. </w:t>
      </w:r>
      <w:r>
        <w:rPr>
          <w:rFonts w:ascii="Times New Roman" w:cs="Times New Roman" w:eastAsia="Times New Roman" w:hAnsi="Times New Roman"/>
          <w:sz w:val="18"/>
          <w:szCs w:val="18"/>
          <w:color w:val="auto"/>
        </w:rPr>
        <w:t>In connection with its endorsement of the Evergreen Amendment,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considered the potential dilution to current stockholders, as measured by the burn rate and overhang, and projected future Share usage.</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Burn Rate. </w:t>
      </w:r>
      <w:r>
        <w:rPr>
          <w:rFonts w:ascii="Times New Roman" w:cs="Times New Roman" w:eastAsia="Times New Roman" w:hAnsi="Times New Roman"/>
          <w:sz w:val="18"/>
          <w:szCs w:val="18"/>
          <w:color w:val="auto"/>
        </w:rPr>
        <w:t>Burn rate measures our usage of Shares for our equity plans as a percentage of total outstanding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years 2023, 2024 and 2025, our burn rates were 4.70%, 4.87% and 4.73%, respectively, resulting in a three-year weighted average burn rate of 4.77%. The rates were calculated by dividing the number of Shares subject to stock options granted and restricted stock units granted, by the weighted average number of Shares outstanding during the year.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Unadjusted</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240" w:type="dxa"/>
            <w:vAlign w:val="bottom"/>
            <w:vMerge w:val="restart"/>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Full-Value</w:t>
            </w: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 Granted</w:t>
            </w:r>
          </w:p>
        </w:tc>
        <w:tc>
          <w:tcPr>
            <w:tcW w:w="15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Burn Rate</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3"/>
                <w:szCs w:val="13"/>
                <w:color w:val="auto"/>
              </w:rPr>
            </w:pPr>
          </w:p>
        </w:tc>
        <w:tc>
          <w:tcPr>
            <w:tcW w:w="4240" w:type="dxa"/>
            <w:vAlign w:val="bottom"/>
            <w:vMerge w:val="continue"/>
          </w:tcPr>
          <w:p>
            <w:pPr>
              <w:spacing w:after="0"/>
              <w:rPr>
                <w:sz w:val="13"/>
                <w:szCs w:val="13"/>
                <w:color w:val="auto"/>
              </w:rPr>
            </w:pPr>
          </w:p>
        </w:tc>
        <w:tc>
          <w:tcPr>
            <w:tcW w:w="12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44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Shares Granted</w:t>
            </w:r>
          </w:p>
        </w:tc>
        <w:tc>
          <w:tcPr>
            <w:tcW w:w="1340" w:type="dxa"/>
            <w:vAlign w:val="bottom"/>
            <w:gridSpan w:val="2"/>
            <w:vMerge w:val="continue"/>
          </w:tcPr>
          <w:p>
            <w:pPr>
              <w:spacing w:after="0"/>
              <w:rPr>
                <w:sz w:val="13"/>
                <w:szCs w:val="13"/>
                <w:color w:val="auto"/>
              </w:rPr>
            </w:pPr>
          </w:p>
        </w:tc>
        <w:tc>
          <w:tcPr>
            <w:tcW w:w="15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3,534,498</w:t>
            </w:r>
          </w:p>
        </w:tc>
        <w:tc>
          <w:tcPr>
            <w:tcW w:w="46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589,684</w:t>
            </w:r>
          </w:p>
        </w:tc>
        <w:tc>
          <w:tcPr>
            <w:tcW w:w="4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4,124,182</w:t>
            </w:r>
          </w:p>
        </w:tc>
        <w:tc>
          <w:tcPr>
            <w:tcW w:w="46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87,793,801</w:t>
            </w:r>
          </w:p>
        </w:tc>
        <w:tc>
          <w:tcPr>
            <w:tcW w:w="4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2,926,690</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467,567</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3,394,257</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69,727,940</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2,104,690</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329,123</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2,433,813</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51,450,848</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3-Year Average</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80" w:right="60" w:hanging="424"/>
        <w:spacing w:after="0" w:line="25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Overhang. </w:t>
      </w:r>
      <w:r>
        <w:rPr>
          <w:rFonts w:ascii="Times New Roman" w:cs="Times New Roman" w:eastAsia="Times New Roman" w:hAnsi="Times New Roman"/>
          <w:sz w:val="18"/>
          <w:szCs w:val="18"/>
          <w:color w:val="auto"/>
        </w:rPr>
        <w:t>As of March 31, 2026, our overhang is 19.1%. For this purpose, we calculated overhang as (a) the sum of (i) 16,890,660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outstanding stock options granted under our equity plans, plus (ii) 1,086,193 Shares subject to outstanding restricted stock units granted under our equity plans, plus (iii) 1,754,942 Shares available for future issuance under our equity plans, plus (iv) 0 additional Shares requested, divided by (b) 103,486,412, which is the total number of outstanding Shares as of March 31, 2026. With respect to each of our 2020 Plan and the ORIC Pharmaceuticals, Inc. 2014 Equity Incentive Plan, as amended (the “2014 Plan”) and our 2022 Inducement Equity Incentive Plan, the following table shows, as of March 31, 2026, the number of Shares subject to</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520"/>
        <w:spacing w:after="0" w:line="282" w:lineRule="auto"/>
        <w:rPr>
          <w:sz w:val="20"/>
          <w:szCs w:val="20"/>
          <w:color w:val="auto"/>
        </w:rPr>
      </w:pPr>
      <w:r>
        <w:rPr>
          <w:rFonts w:ascii="Times New Roman" w:cs="Times New Roman" w:eastAsia="Times New Roman" w:hAnsi="Times New Roman"/>
          <w:sz w:val="18"/>
          <w:szCs w:val="18"/>
          <w:color w:val="auto"/>
        </w:rPr>
        <w:t>outstanding options and restricted stock units granted under such plans, the weighted average exercise price of such options, and the weighted average remaining term of such options: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7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7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7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1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 Term</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Outstanding</w:t>
            </w:r>
          </w:p>
        </w:tc>
        <w:tc>
          <w:tcPr>
            <w:tcW w:w="0" w:type="dxa"/>
            <w:vAlign w:val="bottom"/>
          </w:tcPr>
          <w:p>
            <w:pPr>
              <w:spacing w:after="0"/>
              <w:rPr>
                <w:sz w:val="1"/>
                <w:szCs w:val="1"/>
                <w:color w:val="auto"/>
              </w:rPr>
            </w:pPr>
          </w:p>
        </w:tc>
      </w:tr>
      <w:tr>
        <w:trPr>
          <w:trHeight w:val="148"/>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Plan</w:t>
            </w:r>
          </w:p>
        </w:tc>
        <w:tc>
          <w:tcPr>
            <w:tcW w:w="3000" w:type="dxa"/>
            <w:vAlign w:val="bottom"/>
            <w:vMerge w:val="restart"/>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to Outstanding</w:t>
            </w:r>
          </w:p>
        </w:tc>
        <w:tc>
          <w:tcPr>
            <w:tcW w:w="120" w:type="dxa"/>
            <w:vAlign w:val="bottom"/>
          </w:tcPr>
          <w:p>
            <w:pPr>
              <w:spacing w:after="0"/>
              <w:rPr>
                <w:sz w:val="12"/>
                <w:szCs w:val="12"/>
                <w:color w:val="auto"/>
              </w:rPr>
            </w:pPr>
          </w:p>
        </w:tc>
        <w:tc>
          <w:tcPr>
            <w:tcW w:w="170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gridSpan w:val="2"/>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700" w:type="dxa"/>
            <w:vAlign w:val="bottom"/>
            <w:gridSpan w:val="2"/>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5"/>
                <w:szCs w:val="15"/>
                <w:color w:val="auto"/>
              </w:rPr>
            </w:pPr>
          </w:p>
        </w:tc>
        <w:tc>
          <w:tcPr>
            <w:tcW w:w="1700" w:type="dxa"/>
            <w:vAlign w:val="bottom"/>
            <w:gridSpan w:val="2"/>
          </w:tcPr>
          <w:p>
            <w:pPr>
              <w:jc w:val="center"/>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0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Options (Years)</w:t>
            </w:r>
          </w:p>
        </w:tc>
        <w:tc>
          <w:tcPr>
            <w:tcW w:w="10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Units (#)</w:t>
            </w:r>
          </w:p>
        </w:tc>
        <w:tc>
          <w:tcPr>
            <w:tcW w:w="0" w:type="dxa"/>
            <w:vAlign w:val="bottom"/>
          </w:tcPr>
          <w:p>
            <w:pPr>
              <w:spacing w:after="0"/>
              <w:rPr>
                <w:sz w:val="1"/>
                <w:szCs w:val="1"/>
                <w:color w:val="auto"/>
              </w:rPr>
            </w:pPr>
          </w:p>
        </w:tc>
      </w:tr>
      <w:tr>
        <w:trPr>
          <w:trHeight w:val="203"/>
        </w:trPr>
        <w:tc>
          <w:tcPr>
            <w:tcW w:w="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2020</w:t>
            </w:r>
          </w:p>
        </w:tc>
        <w:tc>
          <w:tcPr>
            <w:tcW w:w="3360" w:type="dxa"/>
            <w:vAlign w:val="bottom"/>
            <w:tcBorders>
              <w:top w:val="single" w:sz="8" w:color="CCEEFF"/>
            </w:tcBorders>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Plan</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14,037,086</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7.13</w:t>
            </w:r>
          </w:p>
        </w:tc>
        <w:tc>
          <w:tcPr>
            <w:tcW w:w="7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7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878,008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2014</w:t>
            </w:r>
          </w:p>
        </w:tc>
        <w:tc>
          <w:tcPr>
            <w:tcW w:w="33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Plan </w:t>
            </w:r>
            <w:r>
              <w:rPr>
                <w:rFonts w:ascii="Times New Roman" w:cs="Times New Roman" w:eastAsia="Times New Roman" w:hAnsi="Times New Roman"/>
                <w:sz w:val="25"/>
                <w:szCs w:val="25"/>
                <w:color w:val="auto"/>
                <w:vertAlign w:val="superscript"/>
              </w:rPr>
              <w:t>(1)</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1,471,323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1.93</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Inducement Equity Incentive Plan</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1,382,251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9.57</w:t>
            </w:r>
          </w:p>
        </w:tc>
        <w:tc>
          <w:tcPr>
            <w:tcW w:w="18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208,185</w:t>
            </w: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Equity Plans</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16,890,660</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6.87</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7.4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1,086,193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Plan terminated and no new awards have been or will be granted since such termination.</w:t>
      </w:r>
    </w:p>
    <w:p>
      <w:pPr>
        <w:spacing w:after="0" w:line="117" w:lineRule="exact"/>
        <w:rPr>
          <w:sz w:val="20"/>
          <w:szCs w:val="20"/>
          <w:color w:val="auto"/>
        </w:rPr>
      </w:pPr>
    </w:p>
    <w:p>
      <w:pPr>
        <w:ind w:left="1100" w:right="240"/>
        <w:spacing w:after="0" w:line="266" w:lineRule="auto"/>
        <w:rPr>
          <w:sz w:val="20"/>
          <w:szCs w:val="20"/>
          <w:color w:val="auto"/>
        </w:rPr>
      </w:pPr>
      <w:r>
        <w:rPr>
          <w:rFonts w:ascii="Times New Roman" w:cs="Times New Roman" w:eastAsia="Times New Roman" w:hAnsi="Times New Roman"/>
          <w:sz w:val="18"/>
          <w:szCs w:val="18"/>
          <w:color w:val="auto"/>
        </w:rPr>
        <w:t>In considering the number of Shares that may become available under our Amended 2020 Plan due to application of the Evergreen Amendment, the compensation committee considered the resulting overhang as an additional metric to measure the cumulative effect of equity compensation.</w:t>
      </w:r>
    </w:p>
    <w:p>
      <w:pPr>
        <w:spacing w:after="0" w:line="68"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We are cognizant that the Company’s equity compensation programs have a dilutive effect on our stockholders, and continuously strive to balance this concern with our need to compete for talent using practices that are prevalent in the market, including equity grants. We will continue to monitor our equity use in future years in an attempt to ensure that our burn rate is within competitive market norms.</w:t>
      </w:r>
    </w:p>
    <w:p>
      <w:pPr>
        <w:spacing w:after="0" w:line="79" w:lineRule="exact"/>
        <w:rPr>
          <w:sz w:val="20"/>
          <w:szCs w:val="20"/>
          <w:color w:val="auto"/>
        </w:rPr>
      </w:pPr>
    </w:p>
    <w:p>
      <w:pPr>
        <w:ind w:left="1080" w:right="600" w:hanging="424"/>
        <w:spacing w:after="0" w:line="267"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Consultant Input. </w:t>
      </w:r>
      <w:r>
        <w:rPr>
          <w:rFonts w:ascii="Times New Roman" w:cs="Times New Roman" w:eastAsia="Times New Roman" w:hAnsi="Times New Roman"/>
          <w:sz w:val="18"/>
          <w:szCs w:val="18"/>
          <w:color w:val="auto"/>
        </w:rPr>
        <w:t>The compensation committee reviewed equity modeling and market analysis from its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Aon, which indicated that companies generally do not maintain a hard numerical cap on evergreen provisions and that continuing to do so could disadvantage ORIC competitively without aligning with current market norms.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Changes to the Amended 2020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Amended 2020 Plan being submitted to stockholders in this proposal reflects the following material changes:</w:t>
      </w:r>
    </w:p>
    <w:p>
      <w:pPr>
        <w:spacing w:after="0" w:line="129" w:lineRule="exact"/>
        <w:rPr>
          <w:sz w:val="20"/>
          <w:szCs w:val="20"/>
          <w:color w:val="auto"/>
        </w:rPr>
      </w:pPr>
    </w:p>
    <w:p>
      <w:pPr>
        <w:ind w:left="1080" w:right="24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Evergreen Amendment</w:t>
      </w:r>
      <w:r>
        <w:rPr>
          <w:rFonts w:ascii="Times New Roman" w:cs="Times New Roman" w:eastAsia="Times New Roman" w:hAnsi="Times New Roman"/>
          <w:sz w:val="18"/>
          <w:szCs w:val="18"/>
          <w:color w:val="auto"/>
        </w:rPr>
        <w:t>. Prior to the amendment of the 2020 Plan to reflect the Evergreen Amendment, the Evergreen Provision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subject to the adjustment provisions of the 2020 Plan, the number of Shares available for issuance under the 2020 Plan will be increased on the first day of each fiscal year in an amount equal to the least of (i) 2,656,500 Shares, (ii) 5% of the outstanding Shares on the last day of the immediately preceding fiscal year, or (iii) such number of Shares determined by the administrator of the 2020 Plan no later than the last day of the immediately preceding fiscal year.</w:t>
      </w:r>
    </w:p>
    <w:p>
      <w:pPr>
        <w:spacing w:after="0" w:line="77"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stockholders approve the Amended 2020 Plan, the Evergreen Provision will provide that, following the effective date of amendment, subject to the adjustment provisions of the Amended 2020 Plan, the number of Shares available for issuance under the Amended 2020 Plan will be increased on the first day of each fiscal year in an amount equal to the least of (i) 4% of the outstanding Shares on the last day of the immediately preceding fiscal year, beginning with the 2027 fiscal year, or (ii) such number of Shares determined by the administrator no later than the last day of the immediately preceding fiscal year.</w:t>
      </w:r>
    </w:p>
    <w:p>
      <w:pPr>
        <w:spacing w:after="0" w:line="86" w:lineRule="exact"/>
        <w:rPr>
          <w:rFonts w:ascii="Times New Roman" w:cs="Times New Roman" w:eastAsia="Times New Roman" w:hAnsi="Times New Roman"/>
          <w:sz w:val="18"/>
          <w:szCs w:val="18"/>
          <w:color w:val="auto"/>
        </w:rPr>
      </w:pPr>
    </w:p>
    <w:p>
      <w:pPr>
        <w:ind w:left="1080" w:right="280" w:hanging="424"/>
        <w:spacing w:after="0" w:line="267"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 Cap Amendment</w:t>
      </w:r>
      <w:r>
        <w:rPr>
          <w:rFonts w:ascii="Times New Roman" w:cs="Times New Roman" w:eastAsia="Times New Roman" w:hAnsi="Times New Roman"/>
          <w:sz w:val="18"/>
          <w:szCs w:val="18"/>
          <w:color w:val="auto"/>
        </w:rPr>
        <w:t>. Prior to the amendment of the 2020 Plan to reflect the ISO Cap Amendment, the 2020 Plan does not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the number of Shares under the 2020 Plan which may granted subject to incentive stock options, but such number of Shares is determinable by application of the stated share reserve and numerical share cap in the Evergreen Provision.</w:t>
      </w:r>
    </w:p>
    <w:p>
      <w:pPr>
        <w:spacing w:after="0" w:line="67" w:lineRule="exact"/>
        <w:rPr>
          <w:rFonts w:ascii="Times New Roman" w:cs="Times New Roman" w:eastAsia="Times New Roman" w:hAnsi="Times New Roman"/>
          <w:sz w:val="18"/>
          <w:szCs w:val="18"/>
          <w:color w:val="auto"/>
        </w:rPr>
      </w:pPr>
    </w:p>
    <w:p>
      <w:pPr>
        <w:ind w:left="11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stockholders approve the Amended 2020 Plan, the share reserve of the Amended 2020 Plan will specify that, subject to the adjustment provisions of the Amended 2020 Plan, the maximum number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6" w:lineRule="auto"/>
        <w:rPr>
          <w:sz w:val="20"/>
          <w:szCs w:val="20"/>
          <w:color w:val="auto"/>
        </w:rPr>
      </w:pPr>
      <w:r>
        <w:rPr>
          <w:rFonts w:ascii="Times New Roman" w:cs="Times New Roman" w:eastAsia="Times New Roman" w:hAnsi="Times New Roman"/>
          <w:sz w:val="18"/>
          <w:szCs w:val="18"/>
          <w:color w:val="auto"/>
        </w:rPr>
        <w:t>Shares that may be issued upon the exercise of incentive stock options is 10,000,000 Shares in order to comply with the requirements of Section 422 of the Code, which provides that a plan under which incentive stock options are granted must include the aggregate number of Shares underlying incentive stock option awards which may be issued under such plan. For clarity, the number of Shares which may be granted subject to incentive stock options under the Amended 2020 Plan will be subject to the actual number of Shares reserved under the Amended 2020 Plan, and the quantum of the ISO Cap Amendment is intended to reduce the administrative burden of having to amend the 2020 Plan in the near future for the sole purpose of tax compliance.</w:t>
      </w:r>
    </w:p>
    <w:p>
      <w:pPr>
        <w:spacing w:after="0" w:line="91" w:lineRule="exact"/>
        <w:rPr>
          <w:sz w:val="20"/>
          <w:szCs w:val="20"/>
          <w:color w:val="auto"/>
        </w:rPr>
      </w:pPr>
    </w:p>
    <w:p>
      <w:pPr>
        <w:ind w:left="1080" w:right="100" w:hanging="424"/>
        <w:spacing w:after="0" w:line="28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Program Amendment</w:t>
      </w:r>
      <w:r>
        <w:rPr>
          <w:rFonts w:ascii="Times New Roman" w:cs="Times New Roman" w:eastAsia="Times New Roman" w:hAnsi="Times New Roman"/>
          <w:sz w:val="18"/>
          <w:szCs w:val="18"/>
          <w:color w:val="auto"/>
        </w:rPr>
        <w:t>. Prior to the amendment of the 2020 Plan to reflect the Exchange Program Amendment,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2020 Plan has the ability to unilaterally institute and determine the terms and conditions of an Exchange Program.</w:t>
      </w:r>
    </w:p>
    <w:p>
      <w:pPr>
        <w:spacing w:after="0" w:line="52" w:lineRule="exact"/>
        <w:rPr>
          <w:rFonts w:ascii="Times New Roman" w:cs="Times New Roman" w:eastAsia="Times New Roman" w:hAnsi="Times New Roman"/>
          <w:sz w:val="18"/>
          <w:szCs w:val="18"/>
          <w:color w:val="auto"/>
        </w:rPr>
      </w:pPr>
    </w:p>
    <w:p>
      <w:pPr>
        <w:ind w:left="110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stockholders approve the Amended 2020 Plan, the administrator of the Amended 2020 Plan will no longer have the ability to institute and determine the terms and conditions of an Exchange Program, signifying our commitment to aligning ourselves with current corporate governance best practices. Instead, under the terms of the Amended 2020 Plan, in order to institute an Exchange Program, we would be required to first obtain stockholder approval of a new amendment to the 2020 Plan to permit the contemplated Exchange Program and/or of the specific Exchange Program itself. We will retain the ability to increase the exercise price of an outstanding award without the approval of our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Voting for the Proposal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our stock-based compensation programs have been integral to our success in the past and will be important to our ability to succeed in the future. If the Amended 2020 Plan is not approved by our stockholders, we may not be able to make long-term equity incentive awards that are sufficient to meet our needs. The inability to make competitive equity awards to retain talented employees in a highly competitive market could have an adverse impact on our business and future prospects. Further, if the Amended 2020 Plan is not approved, our ability to make competitive long-term equity awards will become increasingly constrained as the existing share reserve is utilized. This could impair our ability to recruit and retain key talent and may require us to rely more heavily on cash compensation, which would increase our fixed costs and reduce the resources available to invest in our pipeline and other business priorities. Therefore, the approval of the Amended 2020 Plan is vital to our future success. We believe the reduction to the annual evergreen percentage pursuant to the Evergreen Amendment reduces potential dilution and further aligns the Amended 2020 Plan with shareholder expectations and corporate governance best practices. In addition, the Exchange Program Amendment will eliminate the plan administrator’s authority to reprice or exchange underwater awards or permit transfers of awards to third parties without further stockholder approval. We believe this governance enhancement aligns our equity compensation program more closely with current best practices and directly addresses a common investor concern.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the 2020 Equity Incentive Plan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features of the Amended 2020 Plan and its operation. However, this summary is not a complete description of all of the provisions of the Amended 2020 Plan and is qualified in its entirety by the specific language of the Amended 2020 Plan. A copy of the Amended 2020 Plan is attached to this proxy statement as Annex A.</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Amended 2020 Plan</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purposes of the Amended 2020 Plan are to attract and retain the best available personnel for positions of substantial responsibility with the Company, any parent or subsidiary, and any entity that is in control of, is controlled by or is under common control with the Company (such entities are referred to herein as, the company group); to provide additional incentive to employees, directors, and consultants; and to promote the success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our business. These incentives will be provided through the grant of stock options, stock appreciation rights, restricted stock, restricted stock units, performance units and performance shares as the administrator of the Amended 2020 Plan may determine.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Amended 2020 Plan provides for the grant of incentive stock options to the Company’s employees and any parent and subsidiary corporations’ employees, and for the grant of nonstatutory stock options, restricted stock, restricted stock units, stock appreciation rights, performance units and performance shares to employees, directors and consultants of the Company and the company group.</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the adjustment provisions of the Amended 2020 Plan and the automatic increase set forth below, the maximum aggregate number of Shares that may be issued under the Amended 2020 Plan will be (i) 2,656,500 Shares, plus (ii) any Shares that, as of the trading day immediately prior to the effective date of the first registration statement that we filed pursuant to Section 12(b) of the Exchange Act (the “Registration Date”), have been reserved but not issued pursuant to any awards granted under the 2014 Plan and are not subject to any awards under the 2014 Plan, plus (iii) any Shares subject to awards granted under the 2014 Plan that, on or after the Registration Date, expire or otherwise terminate without having been exercised or issued in full, are tendered to or withheld by us for the payment of an exercise price or for tax withholding obligations, or are forfeited to or repurchased by us due to failure to vest, with the maximum number of Shares to be added to the Amended 2020 Plan pursuant to clauses (ii) and (iii) equal to 3,000,000 Shares. Subject to the adjustment provisions of the Amended 2020 Plan and to the foregoing limits, the maximum number of Shares that may be issued upon the exercise of incentive stock options is 10,000,000 Shares.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Amended 2020 Plan also includes an evergreen provision that provides for an automatic annual increase to the number of Shares available for issuance under the Amended 2020 Plan on the first day of each fiscal year beginning with the 2027 fiscal year, equal to the least of (i) (A) for fiscal years beginning prior to the 2027 fiscal year, the least of (1) 2,656,500 Shares, and (2) 5% of the outstanding Shares on the last day of the immediately preceding fiscal year; (B) beginning with the 2027 fiscal year, 4% of the outstanding Shares on the last day of the immediately preceding fiscal year, or (ii) such number of Shares determined by the administrator no later than the last day of the immediately preceding fiscal year.</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Generally, if an award expires or becomes unexercisable without having been exercised in full or, with respect to restricted stock, restricted stock units or performance awards, is forfeited to or reacquired by us due to the failure to vest, then the unpurchased Shares (or for awards other than options or stock appreciation rights, the forfeited or repurchased Shares) that were subject to such awards will become available for future grant or sale under the Amended 2020 Plan (unless it has terminated). With respect to stock appreciation rights, only Shares actually issued will cease to be available. Shares that actually have been issued under the Amended 2020 Plan under any award will not be returned to the Amended 2020 Plan and will not become available for future distribution under the Amended 2020 Plan; provided, however, that if Shares issued pursuant to awards of restricted stock, restricted stock units, performance shares or performance units are repurchased by the Company or are forfeited to the Company, such Shares will become available for future grant under the Amended 2020 Plan. Shares used to pay the exercise price of an award or to satisfy the tax withholding obligations related to an award will become available for future grant or sale. To the extent an award is paid out in cash rather than Shares, the cash payment will not reduce the number of Shares available for issuance.</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or other securities of the Company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other change in the corporate structure of the Company affecting the Shares occurs (other than any ordinary dividends or other ordinary distributions), the administrator, to prevent diminution or enlargement of the benefits or potential benefits intended to be provided under the Amended 2020 Plan, will adjust the number and class of Shares that may be delivered under the Amended 2020 Plan; the number, class, and price of Shares covered by each outstanding award; and the numerical Share limits contained in the Amended 2020 Plan.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Amended 2020 Plan is expected to be administered by the board of directors or by the compensation committee acting in place of the board of directors and are referred to as the administrator. Different administrators may administer the Amended 2020 Plan with respect to different groups of service providers. The board of directors may retain the authority to concurrently administer the Amended 2020 Plan and revoke the delegation of some or all authority previously delegated.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terms of the Amended 2020 Plan and applicable laws, the administrator generally will have the power in its sole discretion to make any determinations and perform any actions deemed necessary or advisable for administering the Amended 2020 Plan. The administrator will have the power to administer the Amended 2020 Plan, including but not limited to the power to construe and interpret the Amended 2020 Plan and awards granted under the Amended 2020 Plan, and determine the terms of awards, including but not limited to the exercise price (if any), the number of Shares subject to each award, the time when awards may vest or be exercised (including the ability to accelerate the vesting and exercisability of awards), and the form of consideration payable upon exercise, if applicable. The administrator may select the service providers to whom awards may be granted and approve forms of award agreement under the Amended 2020 Plan. The administrator will also have the authority to amend awards (including but not limited to the discretionary authority to extend the post-termination exercisability period of awards and to extend the maximum term of an option) and to temporarily suspend the exercisability of an award if the administrator deems such suspension to be necessary or appropriate for administrative purposes, subject to the provisions of the Amended 2020 Plan. Unless a participant is on an approved leave of absence, the administrator will have sole discretion to determine the date on which a participant stops actively providing services to the Company or the company group. The administrator’s decisions, determinations, and interpretations are final and binding on all participants and any other holders of awards and will be given the maximum deference permitted by applicable laws.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foregoing, the administrator may not implement an Exchange Program.</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Options may be granted under the Amended 2020 Plan. Subject to the provisions of the Amended 2020 Plan, the administrator will determine the terms and conditions of options, including when such options vest and become exercisable (and the administrator will have the discretion to accelerate the time at which such options will vest or become exercisable). The per Share exercise price of any option generally must be at least 100% of the fair market value of a Share on the date of grant, and the term of an incentive stock option may not be more than 10 years. However, with respect to any incentive stock option granted to an individual who owns 10% of the voting power of all classes of stock of the Company or any of its parent or subsidiary corporations, the term of such option must not exceed 5 years, and the per Share exercise price of such incentive stock option must be at least 110% of the fair market value of a Share on the grant date. After a participant’s service terminates, he or she generally may exercise the vested portion of his or her option for the period of time stated in his or her option agreement. Generally, the fair market value of a Share is the closing sales price of a Share on the relevant date as quoted on the Nasdaq Global Select Market. In no event may an option be exercised later than the expiration of its term, except in certain circumstances where the expiration occurs during a period where exercise is not permitted under applicable law, as described more fully in the Amended 2020 Plan. Subject to the provisions of the Amended 2020 Plan, the administrator will determine the other terms of options, including but not limited to the acceptable forms of consideration for exercising an option.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Stock appreciation rights may be granted under the Amended 2020 Plan. Stock appreciation rights allow the recipient to receive the appreciation in the fair market value of the Company common stock between the exercise date and the date of grant. Subject to the provisions of the Amended 2020 Plan, the administrator will determine the terms and conditions of stock appreciation rights, including when such rights vest and become exercisable (and the administrator will have the discretion to accelerate the time at which such rights will vest or become exercisable) and whether to pay any increased appreciation in cash, Shares, or a combination of both. The per Share exercise price of a stock appreciation right must be at least 100% of the fair market value of a Share on the date of grant, and the term of a stock appreciation right will be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terms, except in certain circumstances where the expiration occurs during a period where exercise is not permitted under applicable law, as described more fully in the Amended 2020 Plan.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the Amended 2020 Plan. Restricted stock awards are grants of Shares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or members of the company group), and the administrator will have the discretion to accelerate the time at which any restrictions will lapse or be removed. Recipients of restricted stock awards generally will have voting but will not have dividend rights with respect to such Shares upon grant without regard to the restriction, unless the administrator provides otherwise. Shares of restricted stock as to which the restrictions have not lapsed are subject to our right of repurchase or forfeiture.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Restricted stock units may be granted under the Amended 2020 Plan. Restricted stock units are bookkeeping entries representing an amount equal to the fair market value of one Share. The administrator will determine the terms and conditions of restricted stock units including the vesting criteria (which may include accomplishing specified performance criteria or continued service to us) and the form and timing of payment. The administrator will have the discretion to accelerate the time at which any restrictions will lapse or be removed and to settle earned restricted stock units in cash, Shares, or a combination of both.</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 and Performance Units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Performance shares and performance units may be granted under the Amended 2020 Plan and are also referred to herein as performance awards. Performance awards are awards that will result in a payment to a participant only if objectives established by the administrator are achieved or the awards otherwise vest. The administrator will establish organizational or individual performance objectives in its discretion, which, depending on the extent to which they are met, will determine the value of the payout for the performance awards to be paid out to participants. The administrator will have the discretion to reduce or waive any performance objectives or other vesting provisions for performance awards. Performance awards will have a threshold, target, and maximum payout value established by the administrator on or before the grant date. The administrator will have the discretion to pay earned performance awards in the form of cash, Shares, or in some combination of both.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Amended 2020 Plan provides that any non-employee director, in any fiscal year, may not be paid, issued or granted equity awards (including equity awards under the Amended 2020 Plan) and any other compensation (including any cash retainers or fees) with an aggregate value of more than $500,000, increased to $750,000 in connection with the non-employee director’s initial service, with the value of each equity award based on its grant date fair value. For purposes of this limitation, the grant date fair value is determined in accordance with GAAP. Any equity awards granted under the Amended 2020 Plan or other compensation paid or provided to a non-employee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administrator provides otherwise, the Amended 2020 Plan generally does not allow for the transfer or disposal of awards and only the recipient of an award may exercise an award during his or her lifetime. Any unauthorized transfer will be void.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there is a proposed liquidation or dissolution of the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229"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The Amended 2020 Plan provides that if there is a merger or a “change in control” (as defined under the Amended 2020 Plan) of the Company, each outstanding award will be treated as the administrator determines (subject to the following paragraphs) without a participant’s consent, including that an award be continued by the successor corporation or that vesting of awards may accelerate automatically upon consummation of the transaction.</w:t>
      </w:r>
    </w:p>
    <w:p>
      <w:pPr>
        <w:spacing w:after="0" w:line="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 administrator will not be obligated to treat all awards, portions of awards or participants similarly and may modify awards, subject to the provisions of the Amended 2020 Plan.</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an individual award agreement or other written agreement with the participant provides otherwise, in the event that the successor corporation does not assume or substitute for an award, participants will fully vest in and have the right to exercise options and stock appreciation rights and all restrictions on restricted stock, restricted stock units, and performance awards will lapse, with awards with performance-based vesting deemed achieved at 100% of target levels and all other terms and conditions met.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With respect to awards held by a non-employee director, in the event of a change in control,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with the participant.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Forfeiture and Clawback</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awards granted under the Amended 2020 Plan will be subject to recoupment under any clawback policy that we are required to adopt under applicable law or listing standards.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2020 Plan became effective on April 22, 2020, the business day immediately prior to the Registration Date, and will continue in effect for a period of ten (10) years from the date adopted by the board of directors unless terminated earlier pursuant to its terms. In addition, the administrator of the 2020 Plan has the authority to amend, suspend, or terminate the Amended 2020 Plan, but such action generally may not materially impair the rights of any participant without his or her written consent. The Company will obtain stockholder approval of any amendment to the extent necessary and desirable to comply with applicable laws.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Amended 2020 Plan. The summary is based on existing U.S. laws and regulations as of the date of this proxy statement,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 participant recognizes no taxable income for regular income tax purposes as a result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 and we will not be entitled to any deduction for federal income tax purposes.</w:t>
      </w:r>
    </w:p>
    <w:p>
      <w:pPr>
        <w:spacing w:after="0" w:line="183"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7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purposes.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price and the fair market value on the exercise date) will be taxed as capital gain or loss. No tax deduction is available to us with respect to the grant of a nonstatutory stock option or the sale of the shares acquired through the exercise of the nonstatutory stock option.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general, no taxable income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 and Performance Units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participant generally will recognize no income upon the grant of a performance award. Upon the settlement of such awards, participants normally will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Section 409A of the Code provides certain requirements for non-qualified deferred compensation arrangements with respect to an individual’s deferral and distribution elections and permissible distribution events. Awards granted under the Amended 2020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Effect for the Company</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generally will be entitled to a tax deduction in connection with an award under the Amended 2020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our chief executive officer and certain “covered employees” as determined under Section 162(m) of the Code and applicable guidance. Under Section 162(m), the annual compensation paid to any of these specified individuals will be deductible only to the extent that it does not exceed $1,000,000.</w:t>
      </w:r>
    </w:p>
    <w:p>
      <w:pPr>
        <w:spacing w:after="0" w:line="183" w:lineRule="exact"/>
        <w:rPr>
          <w:sz w:val="20"/>
          <w:szCs w:val="20"/>
          <w:color w:val="auto"/>
        </w:rPr>
      </w:pPr>
    </w:p>
    <w:p>
      <w:pPr>
        <w:ind w:left="120" w:right="3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ONLY A SUMMARY OF THE EFFECT OF U.S. FEDERAL INCOME TAXATION UPON PARTICIPANTS AND THE COMPANY WITH RESPECT TO AWARDS UNDER THE AMENDED 2020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has five non-employee directors, approximately 103 full-time employees, one part-time employee, and three consultants who are eligible to receive awards under the Amended 2020 Plan.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and non-employee directors have an interest in this proposal because they are eligible to receive equity awards under the Amended 2020 Plan, including that non-employee directors are eligible to receive certain automatic awards as specified in the 2026 Amended and Restated Director Compensation Policy, as discussed above in the section titled “Board of Directors and Corporate Governance—Director Compensation.” Pursuant to the 2026 Amended and Restated Director Compensation Policy, each individual who is a non-employee director automatically will be granted, on the date that the Company’s executive officers are made focal equity grants in January of each year, an award of stock options for 40,000 Shares, subject to proration with respect to the first such award granted to a non-employee director (the “Annual Award”). Each award will vest as to 1/12th of the total number of Shares on each monthly anniversary of the grant date of the annual stock option award, in each case, subject to the director continuing to be a service provider through the applicable vesting date. Because the number of Shares subject to an Annual Award is fixed, the grant date fair value of each Annual Award to be granted to each of our non-employee directors is not yet determinable.</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000" w:type="dxa"/>
            <w:vAlign w:val="bottom"/>
            <w:vMerge w:val="restart"/>
          </w:tcPr>
          <w:p>
            <w:pPr>
              <w:spacing w:after="0"/>
              <w:rPr>
                <w:sz w:val="13"/>
                <w:szCs w:val="13"/>
                <w:color w:val="auto"/>
              </w:rPr>
            </w:pPr>
          </w:p>
        </w:tc>
        <w:tc>
          <w:tcPr>
            <w:tcW w:w="342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 xml:space="preserve">Dollar Value of Options </w:t>
            </w:r>
            <w:r>
              <w:rPr>
                <w:rFonts w:ascii="Times New Roman" w:cs="Times New Roman" w:eastAsia="Times New Roman" w:hAnsi="Times New Roman"/>
                <w:sz w:val="10"/>
                <w:szCs w:val="10"/>
                <w:b w:val="1"/>
                <w:bCs w:val="1"/>
                <w:color w:val="auto"/>
              </w:rPr>
              <w:t>(1)</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3"/>
        </w:trPr>
        <w:tc>
          <w:tcPr>
            <w:tcW w:w="360" w:type="dxa"/>
            <w:vAlign w:val="bottom"/>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3420" w:type="dxa"/>
            <w:vAlign w:val="bottom"/>
            <w:gridSpan w:val="4"/>
            <w:vMerge w:val="continue"/>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Subject to Stock Options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233,152</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Mardi C. Dier</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233,152</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L. Hoerter</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233,152</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Lori Kunkel</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233,152</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Angie You</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233,152</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198"/>
        </w:trPr>
        <w:tc>
          <w:tcPr>
            <w:tcW w:w="3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current non-employee directors, as</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group</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1,165,760</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Annual Awards, the number of awards that an employee, director, or consultant may receive under the Amended 2020 Plan is in the discretion of the administrator and therefore cannot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7"/>
          <w:szCs w:val="17"/>
          <w:color w:val="auto"/>
        </w:rPr>
        <w:t>determined in advance. For (i) each of our named executive officers, (ii) our executive officers, as a group, (iii) our directors who are not executive officers, as a group, and (iv) all of our employees who are not executive officers, as a group, the following table sets forth the following information:</w:t>
      </w:r>
    </w:p>
    <w:p>
      <w:pPr>
        <w:spacing w:after="0" w:line="1" w:lineRule="exact"/>
        <w:rPr>
          <w:sz w:val="20"/>
          <w:szCs w:val="20"/>
          <w:color w:val="auto"/>
        </w:rPr>
      </w:pPr>
    </w:p>
    <w:p>
      <w:pPr>
        <w:ind w:left="120" w:right="180" w:hanging="4"/>
        <w:spacing w:after="0" w:line="265" w:lineRule="auto"/>
        <w:tabs>
          <w:tab w:leader="none" w:pos="4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subject to stock options granted under the Amended 2020 Plan during fiscal year 2025, (B) the average per Share exercise price of such options, (C) the aggregate number of restricted stock units granted under the Amended 2020 Plan during fiscal year 2025, and</w:t>
      </w:r>
    </w:p>
    <w:p>
      <w:pPr>
        <w:ind w:left="420" w:hanging="304"/>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such restricted stock units.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Per</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and Positions, or Group</w:t>
            </w:r>
          </w:p>
        </w:tc>
        <w:tc>
          <w:tcPr>
            <w:tcW w:w="11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gridSpan w:val="3"/>
            <w:vMerge w:val="continue"/>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3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of RSUs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M. Chacko</w:t>
            </w:r>
          </w:p>
        </w:tc>
        <w:tc>
          <w:tcPr>
            <w:tcW w:w="30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Dominic Piscitelli</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34,000</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Pratik Multani</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34,000</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1,005,000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168,000</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1,387,680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who are not executive officers, as a group</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1,735,848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8.24</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289,034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2,383,692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the equity awards computed in accordance with FASB ASC Topic 718.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Amended 2020 Plan requires the affirmative vote of a majority of the voting power of the shares present in person (virtually) or represented by proxy at the meeting and entitled to vote on the subject matter. Abstentions will have the effect of a vote AGAINST this proposal, and broker non-votes will have no effect.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TO OUR 2020 PLAN.</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60"/>
          </w:cols>
          <w:pgMar w:left="320" w:top="482"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w:t>
      </w:r>
    </w:p>
    <w:p>
      <w:pPr>
        <w:spacing w:after="0" w:line="20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executive officers named in the Summary Compensation Table (named executive officers) as disclosed in this proxy statement.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recommends a vote “FOR” the following resolution:</w:t>
      </w:r>
    </w:p>
    <w:p>
      <w:pPr>
        <w:spacing w:after="0" w:line="225"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ORIC Pharmaceuticals, Inc. approve, on an advisory basis, the compensation of the named executive officers, as disclosed in the proxy statement pursuant to Item 402 of Regulation S-K, including the compensation tables and any related narrative discussion.”</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became a public company in 2020 and since that time we have made important changes to our executive compensation program to reflect our transition from a private to public company. This is the first time we have included an advisory “say-on-pay” vote at the annual meeting of the stockholders, as our board of directors believes that stockholders will now be able to provide more meaningful feedback regarding the effectiveness of our executive compensation program and its relation to business outcomes of our company. Each year we intend to submit the executive compensation of our named executive officers to an advisory vote at our annual meeting of stockholders.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is asking you to support this proposal. Because this vote is advisory, it will not be binding on us, our compensation committee or our board of directors. However, our compensation committee and our board of directors will review the voting results in their entirety and take them into consideration when making future decisions regarding named executive officer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Approval of this advisory vote requires the affirmative vote of a majority of the voting power of the shares present in person (virtually) or represented by proxy at the Annual Meeting and entitled to vote on the subject matter. Abstentions will have the effect of a vote AGAINST this proposal, and broker non-votes will have no effect. Our board of directors welcomes our stockholders’ views on this subject and will carefully consider the outcome of this vote. However, as an advisory vote, the outcome is not binding on us or our board of directors.</w:t>
      </w:r>
    </w:p>
    <w:p>
      <w:pPr>
        <w:spacing w:after="0" w:line="17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OUR NAMED EXECUTIVE OFFICERS AS DISCLOSED IN THIS PROXY STATEMENT.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THE FREQUENCY OF FUTURE STOCKHOLDER ADVISORY VOTES ON THE COMPENSATION OF OUR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and Section 14A of the Exchange Act, we must provide our stockholders with the opportunity to make a non-binding, advisory vote on the frequency of future advisory votes on named executive officer compensation (“say-on-frequency” vote). The non-binding, advisory “say-on-frequency” vote must be submitted to our stockholders at least once every six years.</w:t>
      </w:r>
    </w:p>
    <w:p>
      <w:pPr>
        <w:spacing w:after="0" w:line="18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We are asking stockholders to indicate whether they prefer to cast future advisory votes on named executive officer compensation “EVERY YEAR,” “EVERY TWO YEARS” or “EVERY THREE YEARS.” Stockholders may also abstain from voting on this proposal. The frequency that receives the greatest number of votes cast by stockholders will be considered the advisory vote of our stockholders.</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values the opinions of our stockholders and will consider the result of the “say-on-frequency” vote in determining the frequency with which we will hold future advisory votes on named executive officer compensation. However, the “say-on-frequency” vote is not binding. Our board of directors may determine that it is in the best interests of the company and our stockholders to hold an advisory vote on named executive officer compensation more or less frequently than the frequency that is selected by our stockholders.</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After careful consideration, our board of directors recommends that future non-binding advisory votes on the compensation of our named executive officers be held every year in line with market best practices.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Stockholders will be able to specify one of four choices for this proposal on the proxy card: one year, two years, three years, or abstaining. Stockholders will not be voting to approve or disapprove our board of director’s recommendation. Abstentions and broker non-votes will not be considered when determining the outcome of this advisory proposal.</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greatest number of votes will be considered the preferred option of stockholders. Although this advisory vote on the frequency of the say-on-pay vote is non-binding, our board of directors will consider the outcome of the vote when considering the frequency of future advisory votes on executive compensation.</w:t>
      </w:r>
    </w:p>
    <w:p>
      <w:pPr>
        <w:spacing w:after="0" w:line="17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TO CONDUCT FUTURE ADVISORY VOTES ON NAMED EXECUTIVE OFFICER COMPENSATION EVERY YEAR.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and their respective ages as of March 31, 2026. Officers are elected by the board of directors to hold office until their successors are elected and qualified.</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55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M. Chacko, M.D.</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 Piscitelli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Pratik Multani, M.D.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5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biography of Dr. Chacko, please see “Board of Directors and Corporate Governance—Nominees for Director.”</w:t>
      </w:r>
    </w:p>
    <w:p>
      <w:pPr>
        <w:spacing w:after="0" w:line="2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Dominic Piscitelli </w:t>
      </w:r>
      <w:r>
        <w:rPr>
          <w:rFonts w:ascii="Times New Roman" w:cs="Times New Roman" w:eastAsia="Times New Roman" w:hAnsi="Times New Roman"/>
          <w:sz w:val="18"/>
          <w:szCs w:val="18"/>
          <w:color w:val="auto"/>
        </w:rPr>
        <w:t>has served as our Chief Financial Officer since September 2019. From January 2017 to September 2019, he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AnaptysBio, Inc., a biotechnology company. From September 2012 to January 2017, Mr. Piscitelli served as the Vice President of Finance at Medivation, Inc., a biotechnology company acquired by Pfizer. Prior to that, Mr. Piscitelli held various positions at Astellas Pharma US, a pharmaceutical company, and OSI Pharmaceuticals, Inc., a pharmaceutical company acquired by Astellas Pharma US. He currently serves as a member of the board of directors, audit committee and compensation committee of Celyad Oncology SA, a clinical-stage biotechnology company and as a member of the board of directors of Alterome Therapeutics, Inc., a private precision oncology company. Mr. Piscitelli holds an M.B.A. and B.S. in accounting and finance from Hofstra University.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Pratik Multani, M.D. </w:t>
      </w:r>
      <w:r>
        <w:rPr>
          <w:rFonts w:ascii="Times New Roman" w:cs="Times New Roman" w:eastAsia="Times New Roman" w:hAnsi="Times New Roman"/>
          <w:sz w:val="18"/>
          <w:szCs w:val="18"/>
          <w:color w:val="auto"/>
        </w:rPr>
        <w:t>has served as our Chief Medical Officer since September 2018. From February 2015 to February 2018, he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Medical Officer of Ignyta, which was acquired by Roche Holding AS in February 2018. From April 2009 to January 2015, Dr. Multani was Chief Medical Officer at Fate Therapeutics, Inc., a biotechnology company. Prior to that, Dr. Multani was Vice President of Clinical Development at Kalypsys, Inc. and Senior Vice President of Clinical Development and Chief Medical Officer at Kanisa Pharmaceuticals, Inc. He currently serves on the board of directors of Erasca, Inc., a public biotechnology company. Dr. Multani previously served on the board of directors of Chimerix, Inc. until its acquisition by Jazz Pharma in April 2025. Dr. Multani holds a B.S. in chemistry and biology from Yale University, an M.S. in epidemiology from Harvard School of Public Health and an M.D. from Harvard Medical School.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executive officers who report to him. Our Chief Executive Officer does not make recommendations as to their own compensation. Our Chief Executive Officer makes recommendations to our compensation committee regarding short- and long-term compensation amounts for all executive officers (other than himself) based on our results, an individual executive officer’s contribution toward these results and individual goal achievement. Our compensation committee then reviews the recommendations and other market data. Our compensation committee makes decisions as to each compensation element for each executive officer (excluding our Chief Executive Officer, whose compensation is determined by our board of directors), although it may instead, in its discretion, make recommendations to our board of directors regarding executive compensation.</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compensation programs and related policies. In 2025, our compensation committee retained Aon as our independent compensation consultant, to provide it with information, recommendations and other advice relating to executive compensation on an ongoing basis. Aon serves at the discretion of our compensation committee. Our compensation committee engaged Aon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 Our named executive officers for 2025, which consist of our principal executive officer and the next two most highly compensated executive officers, are:</w:t>
      </w:r>
    </w:p>
    <w:p>
      <w:pPr>
        <w:spacing w:after="0" w:line="9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Jacob M. Chacko, M.D.,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Dominic Piscitelli,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Pratik Multani, M.D., Chief Medical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named executive officers for the years ended December 31, 2025 and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20" w:type="dxa"/>
            <w:vAlign w:val="bottom"/>
            <w:gridSpan w:val="2"/>
            <w:vMerge w:val="restart"/>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000" w:type="dxa"/>
            <w:vAlign w:val="bottom"/>
            <w:vMerge w:val="restart"/>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5"/>
                <w:szCs w:val="15"/>
                <w:color w:val="auto"/>
              </w:rPr>
            </w:pPr>
          </w:p>
        </w:tc>
        <w:tc>
          <w:tcPr>
            <w:tcW w:w="90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Jacob M. Chacko, M.D.</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657,500</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826,000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3,634,560</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434,000</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15,104</w:t>
            </w:r>
          </w:p>
        </w:tc>
        <w:tc>
          <w:tcPr>
            <w:tcW w:w="32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8"/>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5,567,164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627,333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776,900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3,466,878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396,800</w:t>
            </w:r>
          </w:p>
        </w:tc>
        <w:tc>
          <w:tcPr>
            <w:tcW w:w="1220" w:type="dxa"/>
            <w:vAlign w:val="bottom"/>
            <w:gridSpan w:val="2"/>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14,904</w:t>
            </w:r>
            <w:r>
              <w:rPr>
                <w:rFonts w:ascii="Times New Roman" w:cs="Times New Roman" w:eastAsia="Times New Roman" w:hAnsi="Times New Roman"/>
                <w:sz w:val="25"/>
                <w:szCs w:val="25"/>
                <w:color w:val="auto"/>
                <w:vertAlign w:val="superscript"/>
              </w:rPr>
              <w:t>(4)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5,282,815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Dominic Piscitelli</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482,917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280,840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1,226,664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231,900</w:t>
            </w:r>
          </w:p>
        </w:tc>
        <w:tc>
          <w:tcPr>
            <w:tcW w:w="122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15,104</w:t>
            </w:r>
            <w:r>
              <w:rPr>
                <w:rFonts w:ascii="Times New Roman" w:cs="Times New Roman" w:eastAsia="Times New Roman" w:hAnsi="Times New Roman"/>
                <w:sz w:val="25"/>
                <w:szCs w:val="25"/>
                <w:color w:val="auto"/>
                <w:vertAlign w:val="superscript"/>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2,237,425</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458,083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274,200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1,223,604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210,800</w:t>
            </w:r>
          </w:p>
        </w:tc>
        <w:tc>
          <w:tcPr>
            <w:tcW w:w="1220" w:type="dxa"/>
            <w:vAlign w:val="bottom"/>
            <w:gridSpan w:val="2"/>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15,272</w:t>
            </w:r>
            <w:r>
              <w:rPr>
                <w:rFonts w:ascii="Times New Roman" w:cs="Times New Roman" w:eastAsia="Times New Roman" w:hAnsi="Times New Roman"/>
                <w:sz w:val="25"/>
                <w:szCs w:val="25"/>
                <w:color w:val="auto"/>
                <w:vertAlign w:val="superscript"/>
              </w:rPr>
              <w:t>(6)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2,181,959</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Pratik Multani, M.D.</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513,333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280,840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1,226,664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246,500</w:t>
            </w:r>
          </w:p>
        </w:tc>
        <w:tc>
          <w:tcPr>
            <w:tcW w:w="122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15,104</w:t>
            </w:r>
            <w:r>
              <w:rPr>
                <w:rFonts w:ascii="Times New Roman" w:cs="Times New Roman" w:eastAsia="Times New Roman" w:hAnsi="Times New Roman"/>
                <w:sz w:val="25"/>
                <w:szCs w:val="25"/>
                <w:color w:val="auto"/>
                <w:vertAlign w:val="superscript"/>
              </w:rPr>
              <w:t>(7)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2,282,441</w:t>
            </w:r>
          </w:p>
        </w:tc>
        <w:tc>
          <w:tcPr>
            <w:tcW w:w="0" w:type="dxa"/>
            <w:vAlign w:val="bottom"/>
          </w:tcPr>
          <w:p>
            <w:pPr>
              <w:spacing w:after="0"/>
              <w:rPr>
                <w:sz w:val="1"/>
                <w:szCs w:val="1"/>
                <w:color w:val="auto"/>
              </w:rPr>
            </w:pPr>
          </w:p>
        </w:tc>
      </w:tr>
      <w:tr>
        <w:trPr>
          <w:trHeight w:val="355"/>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493,583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274,200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1,223,604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227,100</w:t>
            </w:r>
          </w:p>
        </w:tc>
        <w:tc>
          <w:tcPr>
            <w:tcW w:w="12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14,904</w:t>
            </w:r>
            <w:r>
              <w:rPr>
                <w:rFonts w:ascii="Times New Roman" w:cs="Times New Roman" w:eastAsia="Times New Roman" w:hAnsi="Times New Roman"/>
                <w:sz w:val="26"/>
                <w:szCs w:val="26"/>
                <w:color w:val="auto"/>
                <w:vertAlign w:val="superscript"/>
              </w:rPr>
              <w:t>(8)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100" w:hanging="424"/>
        <w:spacing w:after="0" w:line="261"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equity awards granted in 2025 and 2024, the amounts disclosed represent the aggregate grant date fair value of the award as calculated in accordance with ASC 718. All equity awards are also subject to vesting acceleration under certain circumstances as more fully described in the section titled “ —Potential Payments Upon Termination or Change in Control.” The amounts in this column do not correspond to the actual value that may be recognized by the named executive officers upon vesting of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applicable awards. For a discussion of how we calculate stock-based compensation expense, see Note 9 to the Financial Statements included in our Annual Report on Form 10-K filed on February 23, 2026.</w:t>
      </w:r>
    </w:p>
    <w:p>
      <w:pPr>
        <w:ind w:left="540" w:right="2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amounts reported represent cash bonuses earned under our 2025 bonus plan based upon the achievement of company objectives for the year ended December 31, 2025, which were paid in 2026. The 2024 amounts reported represent cash bonuses earned under our 2024 bonus plan based upon the achievement of company objectives for the year ended December 31, 2024, which were paid in 2025. Our bonus plans are more fully described below under the section titled “ —Non-Equity Incentive Plan Compensation.”</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$14,000 in 401(k) plan matching contributions, $504 for life insurance premiums, and $600 for annual wellness allowance.</w:t>
      </w:r>
    </w:p>
    <w:p>
      <w:pPr>
        <w:ind w:left="540" w:right="1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$13,800 in 401(k) plan matching contributions, $504 for life insurance premiums, and $600 for annual wellness allowance.</w:t>
      </w:r>
    </w:p>
    <w:p>
      <w:pPr>
        <w:ind w:left="540" w:right="1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$14,000 in 401(k) plan matching contributions, $504 for life insurance premiums, and $600 for annual wellness allowance.</w:t>
      </w:r>
    </w:p>
    <w:p>
      <w:pPr>
        <w:ind w:left="540" w:right="4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$13,800 in 401(k) plan matching contributions, $504 for life insurance premiums, $600 for annual wellness allowance, and $368 for a five-year anniversary payment.</w:t>
      </w:r>
    </w:p>
    <w:p>
      <w:pPr>
        <w:ind w:left="540" w:right="1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$14,000 in 401(k) plan matching contributions, $504 for life insurance premiums, and $600 for annual wellness allowance.</w:t>
      </w:r>
    </w:p>
    <w:p>
      <w:pPr>
        <w:ind w:left="540" w:right="100" w:hanging="424"/>
        <w:spacing w:after="0" w:line="26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$13,800 in 401(k) plan matching contributions, $504 for life insurance premiums, and $600 for annual wellness allowance.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 salary is set at a level that is commensurate with the named executive officer’s duties and authorities, contributions, prior experience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sustained performance. For 2024, our named executive officers had the following annual base salaries: $630,000 for Dr. Chacko, $460,000 for Mr.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Piscitelli, and $495,000 for Dr. Multani. For 2025, our named executive officers had the following annual base salaries: $660,000 for Dr. Chacko,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$485,000 for Mr. Piscitelli, and $515,000 for Dr. Multani, representing a year over year increase of approximately 5% for Dr. Chacko,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for Mr. Piscitelli, and approximately 4% for Dr. Multani.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2025, the Company granted stock option and restricted stock unit awards to our named executive officers as described below.</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January 2, 2025 we granted Dr. Chacko the following equity awards: (i) a stock option to purchase 600,000 shares of common stock, and (ii) an award of restricted stock units covering 100,000 shares of common stock.</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January 2, 2025 we granted Mr. Piscitelli the following equity awards: (i) a stock option to purchase 202,500 shares of common stock, and (ii) an award of restricted stock units covering 34,000 shares of common stock.</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January 2, 2025 we granted Dr. Multani the following equity awards: (i) a stock option to purchase 202,500 shares of common stock, and (ii) an award of restricted stock units covering 34,000 shares of common stock.</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With respect to such option awards, 25% of the shares subject to each option is scheduled to vest on January 2, 2026, and 1/36th of the remaining shares subject to each option shall vest each month thereafter, in each case subject to continued service to us through the applicable vesting date.</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320" w:top="482"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With respect to such restricted stock unit awards, 1/3rd of the restricted stock units are scheduled to vest on each of December 15, 2025, December 15, 2026 and December 15, 2027, in each case subject to continued service to us through the applicable vesting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Welfare and Health Benefits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named executive officers who remain employed with us, and who satisfy certain eligibility requirements. Under the 401(k) plan, eligible employees may elect to defer a portion of their compensation, within the limits prescribed by the Code, on a pre-tax or after-tax (Roth) basis, through contributions to the 401(k) plan. The 401(k) plan authorizes employer safe harbor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provided other benefits to our named executive officers on the same basis as all of our full-time employees. We also provided our named executive officers a $600 annual wellness per diem and paid for a portion of life insurance premiums. We also provide paid time off and other paid holidays to all employees, including our executives, and named executive officers. We do not offer our employees a non-qualified deferred compensation plan or pension plan.</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Non-Equity Incentive Plan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the beginning of each of 2024 and 2025, we adopted a bonus plan for our executive and non-executive employees that provides for cash incentives for performance in the applicable year. Each of the 2024 and 2025 bonus opportunities for our executives was based on the assessment by our board of directors of the achievement of company objectives that were established by our board of directors or our compensation committee, as applicable, at the beginning of the applicable year as well as other achievements which occurred during the year. For 2025, our named executive officers had the following annual target bonus opportunities, expressed as a percentage of base salary: 55% for Dr. Chacko, 40% for Mr. Piscitelli, and 40% for Dr. Multani.</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objectives for each of 2024 and 2025 consisted of product development and pipeline goals as well as corporate development goals. These goals included progress in certain clinical trials for ORIC-114 and ORIC-944, achievements in strategic pipeline prioritization and our discovery research pipeline, and successful completion of certain key financings, including the achievement of a premium in a PIPE investment without the use of investment banks. We also had additional achievements in various areas of the business in 2025, including exceeding ORIC-114 enrollment and identifying alternative and cost-effective sourcing for combination drugs and comparator drugs to ensure timely commencement of certain studies. Based on our performance against the approved company objectives, our board of directors or our compensation committee, as applicable, determined to fund the 2024 bonus plan at 115% of the target level and the 2025 bonus plan at 120% of the target level. The specific performance goals for our 2025 Bonus Plan are not disclosed because we believe it would be competitively harmful to do so, as it would provide competitors insight into our strategic and corporate development planning processes.</w:t>
      </w:r>
    </w:p>
    <w:p>
      <w:pPr>
        <w:spacing w:after="0" w:line="188"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amounts in the Summary Compensation Table under the column “Non-Equity Incentive Plan Compensation” are based on the named executive officer’s target bonus amount multiplied by the achievement percentage set by our board of directors or our compensation committee, as applicable, consistent with the determinations under the applicable year’s bonus plan (and further pro-rated based on the period of time during which they were employed with us during the year).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2022 Inducement Equity Incentive Plan (the “Inducement Plan”) was established by the compensation committee of our board of directors on March 1, 2022, and amended on March 26, 2024, and March 11, 2025, with the purpose of attracting and retaining employees for our success. In accordance with Nasdaq rules, this plan is used to offer equity awards as material inducements for new employees to join us. Subject to adjustment for certain changes in our capitalization, the maximum aggregate number of shares that were initially available for use under the Inducement Plan was 500,000. On March 26, 2024, the compensation committee approved an increase in the number of shares reserved for issuance under the Inducement Plan by 650,000 shares, for an aggregate amount of 1,150,000 shares. On March 11, 2025, the compensation committee approved an increase in the number of shares reserved for issuance under the Inducement Plan by 1,100,000 shares, for an aggregate amount of 2,250,000 shares. The equity grants awarded under the Inducement Plan are expected to be primarily in the form of stock options and restricted stock units, but this plan also provides for the granting of other types of equity awards. As of December 31, 2025, we had granted 1,501,226 non-qualified stock options and 280,833 restricted stock units under the Inducement Plan, with approximately 695,377 shares remaining available for future issuance under the Inducement Plan.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information concerning outstanding equity awards held by each of our named executive officers as of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Jacob M. Chacko,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Dominic Piscitelli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60" w:type="dxa"/>
            <w:vAlign w:val="bottom"/>
            <w:gridSpan w:val="2"/>
            <w:vMerge w:val="continue"/>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vMerge w:val="continue"/>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5/10/2018</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850,500</w:t>
            </w: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5/09/2028</w:t>
            </w: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7/20/2022</w:t>
            </w:r>
            <w:r>
              <w:rPr>
                <w:rFonts w:ascii="Times New Roman" w:cs="Times New Roman" w:eastAsia="Times New Roman" w:hAnsi="Times New Roman"/>
                <w:sz w:val="25"/>
                <w:szCs w:val="25"/>
                <w:color w:val="auto"/>
                <w:vertAlign w:val="superscript"/>
              </w:rPr>
              <w:t>(4)</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437,500</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7/19/2032</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w w:val="99"/>
              </w:rPr>
              <w:t>7/20/2022</w:t>
            </w:r>
            <w:r>
              <w:rPr>
                <w:rFonts w:ascii="Times New Roman" w:cs="Times New Roman" w:eastAsia="Times New Roman" w:hAnsi="Times New Roman"/>
                <w:sz w:val="25"/>
                <w:szCs w:val="25"/>
                <w:color w:val="auto"/>
                <w:w w:val="99"/>
                <w:vertAlign w:val="superscript"/>
              </w:rPr>
              <w:t>(4)</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495,416</w:t>
            </w:r>
          </w:p>
        </w:tc>
        <w:tc>
          <w:tcPr>
            <w:tcW w:w="124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84,584</w:t>
            </w:r>
            <w:r>
              <w:rPr>
                <w:rFonts w:ascii="Times New Roman" w:cs="Times New Roman" w:eastAsia="Times New Roman" w:hAnsi="Times New Roman"/>
                <w:sz w:val="25"/>
                <w:szCs w:val="25"/>
                <w:color w:val="auto"/>
                <w:vertAlign w:val="superscript"/>
              </w:rPr>
              <w:t>(5)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7/19/2032</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2/01/2023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283,333</w:t>
            </w:r>
          </w:p>
        </w:tc>
        <w:tc>
          <w:tcPr>
            <w:tcW w:w="124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116,667</w:t>
            </w:r>
            <w:r>
              <w:rPr>
                <w:rFonts w:ascii="Times New Roman" w:cs="Times New Roman" w:eastAsia="Times New Roman" w:hAnsi="Times New Roman"/>
                <w:sz w:val="25"/>
                <w:szCs w:val="25"/>
                <w:color w:val="auto"/>
                <w:vertAlign w:val="superscript"/>
              </w:rPr>
              <w:t>(6)</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1/31/2033</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244,375</w:t>
            </w:r>
          </w:p>
        </w:tc>
        <w:tc>
          <w:tcPr>
            <w:tcW w:w="124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265,625</w:t>
            </w:r>
            <w:r>
              <w:rPr>
                <w:rFonts w:ascii="Times New Roman" w:cs="Times New Roman" w:eastAsia="Times New Roman" w:hAnsi="Times New Roman"/>
                <w:sz w:val="25"/>
                <w:szCs w:val="25"/>
                <w:color w:val="auto"/>
                <w:vertAlign w:val="superscript"/>
              </w:rPr>
              <w:t>(7)</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9.14</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1/01/2034</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28,334</w:t>
            </w:r>
            <w:r>
              <w:rPr>
                <w:rFonts w:ascii="Times New Roman" w:cs="Times New Roman" w:eastAsia="Times New Roman" w:hAnsi="Times New Roman"/>
                <w:sz w:val="25"/>
                <w:szCs w:val="25"/>
                <w:color w:val="auto"/>
                <w:vertAlign w:val="superscript"/>
              </w:rPr>
              <w:t>(8)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231,772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600,000</w:t>
            </w:r>
            <w:r>
              <w:rPr>
                <w:rFonts w:ascii="Times New Roman" w:cs="Times New Roman" w:eastAsia="Times New Roman" w:hAnsi="Times New Roman"/>
                <w:sz w:val="25"/>
                <w:szCs w:val="25"/>
                <w:color w:val="auto"/>
                <w:vertAlign w:val="superscript"/>
              </w:rPr>
              <w:t>(9)</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1/01/2035</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66,667</w:t>
            </w:r>
            <w:r>
              <w:rPr>
                <w:rFonts w:ascii="Times New Roman" w:cs="Times New Roman" w:eastAsia="Times New Roman" w:hAnsi="Times New Roman"/>
                <w:sz w:val="25"/>
                <w:szCs w:val="25"/>
                <w:color w:val="auto"/>
                <w:vertAlign w:val="superscript"/>
              </w:rPr>
              <w:t>(10)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545,336</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7/20/2022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282,750</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4.36</w:t>
            </w:r>
          </w:p>
        </w:tc>
        <w:tc>
          <w:tcPr>
            <w:tcW w:w="10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7/19/2032</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7/20/2022</w:t>
            </w:r>
            <w:r>
              <w:rPr>
                <w:rFonts w:ascii="Times New Roman" w:cs="Times New Roman" w:eastAsia="Times New Roman" w:hAnsi="Times New Roman"/>
                <w:sz w:val="25"/>
                <w:szCs w:val="25"/>
                <w:color w:val="auto"/>
                <w:vertAlign w:val="superscript"/>
              </w:rPr>
              <w:t>(4)</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169,765</w:t>
            </w:r>
          </w:p>
        </w:tc>
        <w:tc>
          <w:tcPr>
            <w:tcW w:w="124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28,985</w:t>
            </w:r>
            <w:r>
              <w:rPr>
                <w:rFonts w:ascii="Times New Roman" w:cs="Times New Roman" w:eastAsia="Times New Roman" w:hAnsi="Times New Roman"/>
                <w:sz w:val="25"/>
                <w:szCs w:val="25"/>
                <w:color w:val="auto"/>
                <w:vertAlign w:val="superscript"/>
              </w:rPr>
              <w:t>(5)</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7/19/2032</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2/01/2023</w:t>
            </w:r>
            <w:r>
              <w:rPr>
                <w:rFonts w:ascii="Times New Roman" w:cs="Times New Roman" w:eastAsia="Times New Roman" w:hAnsi="Times New Roman"/>
                <w:sz w:val="25"/>
                <w:szCs w:val="25"/>
                <w:color w:val="auto"/>
                <w:vertAlign w:val="superscript"/>
              </w:rPr>
              <w:t>(4)</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102,708</w:t>
            </w:r>
          </w:p>
        </w:tc>
        <w:tc>
          <w:tcPr>
            <w:tcW w:w="124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42,292</w:t>
            </w:r>
            <w:r>
              <w:rPr>
                <w:rFonts w:ascii="Times New Roman" w:cs="Times New Roman" w:eastAsia="Times New Roman" w:hAnsi="Times New Roman"/>
                <w:sz w:val="25"/>
                <w:szCs w:val="25"/>
                <w:color w:val="auto"/>
                <w:vertAlign w:val="superscript"/>
              </w:rPr>
              <w:t>(6)</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1/31/2033</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1/02/2024</w:t>
            </w:r>
            <w:r>
              <w:rPr>
                <w:rFonts w:ascii="Times New Roman" w:cs="Times New Roman" w:eastAsia="Times New Roman" w:hAnsi="Times New Roman"/>
                <w:sz w:val="25"/>
                <w:szCs w:val="25"/>
                <w:color w:val="auto"/>
                <w:vertAlign w:val="superscript"/>
              </w:rPr>
              <w:t>(4)</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86,250</w:t>
            </w:r>
          </w:p>
        </w:tc>
        <w:tc>
          <w:tcPr>
            <w:tcW w:w="124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93,750</w:t>
            </w:r>
            <w:r>
              <w:rPr>
                <w:rFonts w:ascii="Times New Roman" w:cs="Times New Roman" w:eastAsia="Times New Roman" w:hAnsi="Times New Roman"/>
                <w:sz w:val="25"/>
                <w:szCs w:val="25"/>
                <w:color w:val="auto"/>
                <w:vertAlign w:val="superscript"/>
              </w:rPr>
              <w:t>(7)</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9.14</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1/01/2034</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1/02/2024</w:t>
            </w:r>
            <w:r>
              <w:rPr>
                <w:rFonts w:ascii="Times New Roman" w:cs="Times New Roman" w:eastAsia="Times New Roman" w:hAnsi="Times New Roman"/>
                <w:sz w:val="25"/>
                <w:szCs w:val="25"/>
                <w:color w:val="auto"/>
                <w:vertAlign w:val="superscript"/>
              </w:rPr>
              <w:t>(4)</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25"/>
                <w:szCs w:val="25"/>
                <w:color w:val="auto"/>
                <w:vertAlign w:val="superscript"/>
              </w:rPr>
              <w:t>(8)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81,800</w:t>
            </w:r>
          </w:p>
        </w:tc>
        <w:tc>
          <w:tcPr>
            <w:tcW w:w="0" w:type="dxa"/>
            <w:vAlign w:val="bottom"/>
          </w:tcPr>
          <w:p>
            <w:pPr>
              <w:spacing w:after="0"/>
              <w:rPr>
                <w:sz w:val="1"/>
                <w:szCs w:val="1"/>
                <w:color w:val="auto"/>
              </w:rPr>
            </w:pPr>
          </w:p>
        </w:tc>
      </w:tr>
      <w:tr>
        <w:trPr>
          <w:trHeight w:val="216"/>
        </w:trPr>
        <w:tc>
          <w:tcPr>
            <w:tcW w:w="124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1/02/2025</w:t>
            </w:r>
            <w:r>
              <w:rPr>
                <w:rFonts w:ascii="Times New Roman" w:cs="Times New Roman" w:eastAsia="Times New Roman" w:hAnsi="Times New Roman"/>
                <w:sz w:val="25"/>
                <w:szCs w:val="25"/>
                <w:color w:val="auto"/>
                <w:vertAlign w:val="superscript"/>
              </w:rPr>
              <w:t>(4)</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17"/>
                <w:szCs w:val="17"/>
                <w:color w:val="auto"/>
              </w:rPr>
              <w:t>202,500</w:t>
            </w:r>
            <w:r>
              <w:rPr>
                <w:rFonts w:ascii="Times New Roman" w:cs="Times New Roman" w:eastAsia="Times New Roman" w:hAnsi="Times New Roman"/>
                <w:sz w:val="25"/>
                <w:szCs w:val="25"/>
                <w:color w:val="auto"/>
                <w:vertAlign w:val="superscript"/>
              </w:rPr>
              <w:t>(9)</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1/01/2035</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4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18"/>
                <w:szCs w:val="18"/>
                <w:color w:val="auto"/>
              </w:rPr>
              <w:t>1/02/2025</w:t>
            </w:r>
            <w:r>
              <w:rPr>
                <w:rFonts w:ascii="Times New Roman" w:cs="Times New Roman" w:eastAsia="Times New Roman" w:hAnsi="Times New Roman"/>
                <w:sz w:val="26"/>
                <w:szCs w:val="26"/>
                <w:color w:val="auto"/>
                <w:vertAlign w:val="superscript"/>
              </w:rPr>
              <w:t>(4)</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320"/>
              <w:spacing w:after="0" w:line="232" w:lineRule="exact"/>
              <w:rPr>
                <w:sz w:val="20"/>
                <w:szCs w:val="20"/>
                <w:color w:val="auto"/>
              </w:rPr>
            </w:pPr>
            <w:r>
              <w:rPr>
                <w:rFonts w:ascii="Times New Roman" w:cs="Times New Roman" w:eastAsia="Times New Roman" w:hAnsi="Times New Roman"/>
                <w:sz w:val="18"/>
                <w:szCs w:val="18"/>
                <w:color w:val="auto"/>
              </w:rPr>
              <w:t>22,667</w:t>
            </w:r>
            <w:r>
              <w:rPr>
                <w:rFonts w:ascii="Times New Roman" w:cs="Times New Roman" w:eastAsia="Times New Roman" w:hAnsi="Times New Roman"/>
                <w:sz w:val="26"/>
                <w:szCs w:val="26"/>
                <w:color w:val="auto"/>
                <w:vertAlign w:val="superscript"/>
              </w:rPr>
              <w:t>(10)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-2063750</wp:posOffset>
            </wp:positionV>
            <wp:extent cx="6995160" cy="11055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1055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00" w:space="720"/>
            <w:col w:w="77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1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Pratik Multani, M.D.</w:t>
            </w:r>
          </w:p>
        </w:tc>
        <w:tc>
          <w:tcPr>
            <w:tcW w:w="1240" w:type="dxa"/>
            <w:vAlign w:val="bottom"/>
            <w:gridSpan w:val="2"/>
            <w:shd w:val="clear" w:color="auto" w:fill="CCEEFF"/>
          </w:tcPr>
          <w:p>
            <w:pPr>
              <w:jc w:val="right"/>
              <w:spacing w:after="0" w:line="217" w:lineRule="exact"/>
              <w:rPr>
                <w:sz w:val="20"/>
                <w:szCs w:val="20"/>
                <w:color w:val="auto"/>
              </w:rPr>
            </w:pPr>
            <w:r>
              <w:rPr>
                <w:rFonts w:ascii="Times New Roman" w:cs="Times New Roman" w:eastAsia="Times New Roman" w:hAnsi="Times New Roman"/>
                <w:sz w:val="17"/>
                <w:szCs w:val="17"/>
                <w:color w:val="auto"/>
              </w:rPr>
              <w:t>9/20/2018</w:t>
            </w:r>
            <w:r>
              <w:rPr>
                <w:rFonts w:ascii="Times New Roman" w:cs="Times New Roman" w:eastAsia="Times New Roman" w:hAnsi="Times New Roman"/>
                <w:sz w:val="25"/>
                <w:szCs w:val="25"/>
                <w:color w:val="auto"/>
                <w:vertAlign w:val="superscript"/>
              </w:rPr>
              <w:t>(3)</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231,250</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w:t>
            </w:r>
          </w:p>
        </w:tc>
        <w:tc>
          <w:tcPr>
            <w:tcW w:w="248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rPr>
              <w:t>9/19/2028</w:t>
            </w:r>
          </w:p>
        </w:tc>
        <w:tc>
          <w:tcPr>
            <w:tcW w:w="90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7/20/2022</w:t>
            </w:r>
            <w:r>
              <w:rPr>
                <w:rFonts w:ascii="Times New Roman" w:cs="Times New Roman" w:eastAsia="Times New Roman" w:hAnsi="Times New Roman"/>
                <w:sz w:val="25"/>
                <w:szCs w:val="25"/>
                <w:color w:val="auto"/>
                <w:vertAlign w:val="superscript"/>
              </w:rPr>
              <w:t>(4)</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147,500</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4.36</w:t>
            </w:r>
          </w:p>
        </w:tc>
        <w:tc>
          <w:tcPr>
            <w:tcW w:w="248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rPr>
              <w:t>7/19/2032</w:t>
            </w:r>
          </w:p>
        </w:tc>
        <w:tc>
          <w:tcPr>
            <w:tcW w:w="90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7/20/2022</w:t>
            </w:r>
            <w:r>
              <w:rPr>
                <w:rFonts w:ascii="Times New Roman" w:cs="Times New Roman" w:eastAsia="Times New Roman" w:hAnsi="Times New Roman"/>
                <w:sz w:val="25"/>
                <w:szCs w:val="25"/>
                <w:color w:val="auto"/>
                <w:vertAlign w:val="superscript"/>
              </w:rPr>
              <w:t>(4)</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169,765</w:t>
            </w:r>
          </w:p>
        </w:tc>
        <w:tc>
          <w:tcPr>
            <w:tcW w:w="1220" w:type="dxa"/>
            <w:vAlign w:val="bottom"/>
            <w:shd w:val="clear" w:color="auto" w:fill="CCEEFF"/>
          </w:tcPr>
          <w:p>
            <w:pPr>
              <w:jc w:val="right"/>
              <w:ind w:right="133"/>
              <w:spacing w:after="0" w:line="216" w:lineRule="exact"/>
              <w:rPr>
                <w:sz w:val="20"/>
                <w:szCs w:val="20"/>
                <w:color w:val="auto"/>
              </w:rPr>
            </w:pPr>
            <w:r>
              <w:rPr>
                <w:rFonts w:ascii="Times New Roman" w:cs="Times New Roman" w:eastAsia="Times New Roman" w:hAnsi="Times New Roman"/>
                <w:sz w:val="17"/>
                <w:szCs w:val="17"/>
                <w:color w:val="auto"/>
              </w:rPr>
              <w:t>28,985</w:t>
            </w:r>
            <w:r>
              <w:rPr>
                <w:rFonts w:ascii="Times New Roman" w:cs="Times New Roman" w:eastAsia="Times New Roman" w:hAnsi="Times New Roman"/>
                <w:sz w:val="25"/>
                <w:szCs w:val="25"/>
                <w:color w:val="auto"/>
                <w:vertAlign w:val="superscript"/>
              </w:rPr>
              <w:t>(5)</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4.36</w:t>
            </w:r>
          </w:p>
        </w:tc>
        <w:tc>
          <w:tcPr>
            <w:tcW w:w="248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rPr>
              <w:t>7/19/2032</w:t>
            </w:r>
          </w:p>
        </w:tc>
        <w:tc>
          <w:tcPr>
            <w:tcW w:w="90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102,708</w:t>
            </w:r>
          </w:p>
        </w:tc>
        <w:tc>
          <w:tcPr>
            <w:tcW w:w="1220" w:type="dxa"/>
            <w:vAlign w:val="bottom"/>
            <w:shd w:val="clear" w:color="auto" w:fill="CCEEFF"/>
          </w:tcPr>
          <w:p>
            <w:pPr>
              <w:jc w:val="right"/>
              <w:ind w:right="133"/>
              <w:spacing w:after="0" w:line="216" w:lineRule="exact"/>
              <w:rPr>
                <w:sz w:val="20"/>
                <w:szCs w:val="20"/>
                <w:color w:val="auto"/>
              </w:rPr>
            </w:pPr>
            <w:r>
              <w:rPr>
                <w:rFonts w:ascii="Times New Roman" w:cs="Times New Roman" w:eastAsia="Times New Roman" w:hAnsi="Times New Roman"/>
                <w:sz w:val="17"/>
                <w:szCs w:val="17"/>
                <w:color w:val="auto"/>
              </w:rPr>
              <w:t>42,292</w:t>
            </w:r>
            <w:r>
              <w:rPr>
                <w:rFonts w:ascii="Times New Roman" w:cs="Times New Roman" w:eastAsia="Times New Roman" w:hAnsi="Times New Roman"/>
                <w:sz w:val="25"/>
                <w:szCs w:val="25"/>
                <w:color w:val="auto"/>
                <w:vertAlign w:val="superscript"/>
              </w:rPr>
              <w:t>(6)</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w:t>
            </w:r>
          </w:p>
        </w:tc>
        <w:tc>
          <w:tcPr>
            <w:tcW w:w="248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rPr>
              <w:t>1/31/2033</w:t>
            </w:r>
          </w:p>
        </w:tc>
        <w:tc>
          <w:tcPr>
            <w:tcW w:w="90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86,250</w:t>
            </w:r>
          </w:p>
        </w:tc>
        <w:tc>
          <w:tcPr>
            <w:tcW w:w="1220" w:type="dxa"/>
            <w:vAlign w:val="bottom"/>
            <w:shd w:val="clear" w:color="auto" w:fill="CCEEFF"/>
          </w:tcPr>
          <w:p>
            <w:pPr>
              <w:jc w:val="right"/>
              <w:ind w:right="133"/>
              <w:spacing w:after="0" w:line="216" w:lineRule="exact"/>
              <w:rPr>
                <w:sz w:val="20"/>
                <w:szCs w:val="20"/>
                <w:color w:val="auto"/>
              </w:rPr>
            </w:pPr>
            <w:r>
              <w:rPr>
                <w:rFonts w:ascii="Times New Roman" w:cs="Times New Roman" w:eastAsia="Times New Roman" w:hAnsi="Times New Roman"/>
                <w:sz w:val="17"/>
                <w:szCs w:val="17"/>
                <w:color w:val="auto"/>
              </w:rPr>
              <w:t>93,750</w:t>
            </w:r>
            <w:r>
              <w:rPr>
                <w:rFonts w:ascii="Times New Roman" w:cs="Times New Roman" w:eastAsia="Times New Roman" w:hAnsi="Times New Roman"/>
                <w:sz w:val="25"/>
                <w:szCs w:val="25"/>
                <w:color w:val="auto"/>
                <w:vertAlign w:val="superscript"/>
              </w:rPr>
              <w:t>(7)</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9.14</w:t>
            </w:r>
          </w:p>
        </w:tc>
        <w:tc>
          <w:tcPr>
            <w:tcW w:w="248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rPr>
              <w:t>1/01/2034</w:t>
            </w:r>
          </w:p>
        </w:tc>
        <w:tc>
          <w:tcPr>
            <w:tcW w:w="90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80" w:type="dxa"/>
            <w:vAlign w:val="bottom"/>
            <w:shd w:val="clear" w:color="auto" w:fill="CCEEFF"/>
          </w:tcPr>
          <w:p>
            <w:pPr>
              <w:ind w:left="1500"/>
              <w:spacing w:after="0" w:line="216"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25"/>
                <w:szCs w:val="25"/>
                <w:color w:val="auto"/>
                <w:vertAlign w:val="superscript"/>
              </w:rPr>
              <w:t>(8)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81,800</w:t>
            </w:r>
          </w:p>
        </w:tc>
      </w:tr>
      <w:tr>
        <w:trPr>
          <w:trHeight w:val="216"/>
        </w:trPr>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3"/>
              <w:spacing w:after="0" w:line="216" w:lineRule="exact"/>
              <w:rPr>
                <w:sz w:val="20"/>
                <w:szCs w:val="20"/>
                <w:color w:val="auto"/>
              </w:rPr>
            </w:pPr>
            <w:r>
              <w:rPr>
                <w:rFonts w:ascii="Times New Roman" w:cs="Times New Roman" w:eastAsia="Times New Roman" w:hAnsi="Times New Roman"/>
                <w:sz w:val="17"/>
                <w:szCs w:val="17"/>
                <w:color w:val="auto"/>
              </w:rPr>
              <w:t>202,500</w:t>
            </w:r>
            <w:r>
              <w:rPr>
                <w:rFonts w:ascii="Times New Roman" w:cs="Times New Roman" w:eastAsia="Times New Roman" w:hAnsi="Times New Roman"/>
                <w:sz w:val="25"/>
                <w:szCs w:val="25"/>
                <w:color w:val="auto"/>
                <w:vertAlign w:val="superscript"/>
              </w:rPr>
              <w:t>(9)</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8.26</w:t>
            </w:r>
          </w:p>
        </w:tc>
        <w:tc>
          <w:tcPr>
            <w:tcW w:w="2480" w:type="dxa"/>
            <w:vAlign w:val="bottom"/>
            <w:shd w:val="clear" w:color="auto" w:fill="CCEEFF"/>
          </w:tcPr>
          <w:p>
            <w:pPr>
              <w:jc w:val="right"/>
              <w:ind w:right="1491"/>
              <w:spacing w:after="0"/>
              <w:rPr>
                <w:sz w:val="20"/>
                <w:szCs w:val="20"/>
                <w:color w:val="auto"/>
              </w:rPr>
            </w:pPr>
            <w:r>
              <w:rPr>
                <w:rFonts w:ascii="Times New Roman" w:cs="Times New Roman" w:eastAsia="Times New Roman" w:hAnsi="Times New Roman"/>
                <w:sz w:val="18"/>
                <w:szCs w:val="18"/>
                <w:color w:val="auto"/>
              </w:rPr>
              <w:t>1/01/2035</w:t>
            </w:r>
          </w:p>
        </w:tc>
        <w:tc>
          <w:tcPr>
            <w:tcW w:w="90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80" w:type="dxa"/>
            <w:vAlign w:val="bottom"/>
            <w:shd w:val="clear" w:color="auto" w:fill="CCEEFF"/>
          </w:tcPr>
          <w:p>
            <w:pPr>
              <w:ind w:left="1500"/>
              <w:spacing w:after="0" w:line="216" w:lineRule="exact"/>
              <w:rPr>
                <w:sz w:val="20"/>
                <w:szCs w:val="20"/>
                <w:color w:val="auto"/>
              </w:rPr>
            </w:pPr>
            <w:r>
              <w:rPr>
                <w:rFonts w:ascii="Times New Roman" w:cs="Times New Roman" w:eastAsia="Times New Roman" w:hAnsi="Times New Roman"/>
                <w:sz w:val="17"/>
                <w:szCs w:val="17"/>
                <w:color w:val="auto"/>
              </w:rPr>
              <w:t>22,667</w:t>
            </w:r>
            <w:r>
              <w:rPr>
                <w:rFonts w:ascii="Times New Roman" w:cs="Times New Roman" w:eastAsia="Times New Roman" w:hAnsi="Times New Roman"/>
                <w:sz w:val="25"/>
                <w:szCs w:val="25"/>
                <w:color w:val="auto"/>
                <w:vertAlign w:val="superscript"/>
              </w:rPr>
              <w:t>(10)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on the date of grant, as determined by our board of directors.</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6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based on the closing price of our common stock on December 31, 2025 (the last trading day of our fiscal year), which was $8.18.</w:t>
      </w: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pursuant to our 2014 Equity Incentive Plan (the “2014 Plan”).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pursuant to our 2020 Plan.</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will vest as to one-fourth of the underlying shares on the one-year anniversary of July 20, 2022, and as to 1/48th of the underlying shares monthly thereafter on the 20th calendar day of each month over an additional period of three years, subject to continued service to us through each such vesting date. The award also is subject to vesting acceleration under certain circumstances as more fully described in the section titled “ — Potential Payments Upon Termination or Change in Control.”</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will vest as to one-fourth of the underlying shares on the one-year anniversary of February 1, 2023, and as to 1/48th of the underlying shares monthly thereafter on the 1st calendar day of each month over an additional period of three years, subject to continued service to us through each such vesting date. The award also is subject to vesting acceleration under certain circumstances as more fully described in the section titled “ —Potential Payments Upon Termination or Change in Control.”</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will vest as to one-fourth of the underlying shares on the one-year anniversary of January 2, 2024, and as to 1/48th of the underlying shares monthly thereafter on the second calendar day of each month over an additional period of three years, subject to continued service to us through each such vesting date. The award also is subject to vesting acceleration under certain circumstances as more fully described in the section titled “ —Potential Payments Upon Termination or Change in Control.”</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restricted stock unit award will vest on each of December 15, 2024, December 15, 2025 and December 15, 2026, subject to continued service to us through each such vesting date. The award also is subject to vesting acceleration under certain circumstances as more fully described in the section titled “ —Potential Payments Upon Termination or Change in Control.”</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will vest as to one-fourth of the underlying shares on the one-year anniversary of January 2, 2025, and as to 1/48th of the underlying shares monthly thereafter on the second calendar day of each month over an additional period of three years, subject to continued service to us through each such vesting date. The award also is subject to vesting acceleration under certain circumstances as more fully described in the section titled “ —Potential Payments Upon Termination or Change in Control.”</w:t>
      </w:r>
    </w:p>
    <w:p>
      <w:pPr>
        <w:spacing w:after="0" w:line="1"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restricted stock unit award will vest on each of December 15, 2025, December 15, 2026 and December 15, 2027, subject to continued service to us through each such vesting date. The award also is subject to vesting acceleration under certain circumstances as more fully described in the section titled “ —Potential Payments Upon Termination or Change in Control.”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Jacob M. Chacko, M.D.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Dr. Chacko, our President and Chief Executive Officer. The confirmatory employment letter has no specific term and provides for at-will employment. Dr. Chacko’s current annual base salary is $690,000, and Dr. Chacko’s current annual target bonus is 60% of his annual base salary, each of which was approved by the board of directors in December 2025 and effective as of February 1, 2026. As of December 31, 2025, Dr. Chacko’s annual base salary was $660,000, and Dr. Chacko’s annual target bonus was 55% of his annual base salary.</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Dr. Chacko is eligible for severance and change in control benefits, as more fully described in “ —Potential Payments upon Termination or Change in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Dominic Piscitelli</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Mr. Piscitelli, our Chief Financial Officer. The confirmatory employment letter has no specific term and provides for at-will employment. Mr. Piscitelli’s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current annual base salary is $505,000, and Mr. Piscitelli’s current annual target bonus is 40% of his annual base salary, each of which was approved by the compensation committee in December 2025 and effective as of February 1, 2026. As of December 31, 2025, Mr. Piscitelli’s annual base salary was $485,000, and Mr. Piscitelli’s annual target bonus was 40% of his annual base salary.</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Mr. Piscitelli is eligible for severance and change in control benefits, as more fully described in “ —Potential Payments upon Termination or Change in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Pratik Multani, M.D.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Dr. Multani, our Chief Medical Officer. The confirmatory employment letter currently has no specific term and provides for at-will employment. Dr. Multani’s current annual base salary is $535,000, and Dr. Multani’s current annual target bonus is 40% of his annual base salary, each of which was approved by the compensation committee in December 2025 and effective as of February 1, 2026. As of December 31, 2025, Dr. Multani’s annual base salary was $515,000, and Dr. Multani’s annual target bonus was 40% of his annual base salary.</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Dr. Multani is eligible for severance and change in control benefits, as more fully described in “ —Potential Payments upon Termination or Change in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We adopted a Change in Control and Severance Policy, or our Severance Policy, pursuant to which our named executive officers and certain other key employees are eligible to receive severance benefits, as specified in and subject to the employee signing a participation agreement under our Severance Policy. This Severance Policy was developed with input from Aon regarding severance practices at comparable companies. It is designed to attract, retain and reward senior level employees. Each of our named executive officers signed a participation agreement under our Severance Policy providing for the rights to the applicable payments and benefits described below. The Severance Policy is in lieu of any other severance payments and benefits to which our named executive officers and key employees were entitled prior to signing the participation agreement under the Severance Policy.</w:t>
      </w:r>
    </w:p>
    <w:p>
      <w:pPr>
        <w:spacing w:after="0" w:line="17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the event of a termination of the employment of a named executive officer by the named executive officer for “good reason” or by us for a reason other than “cause,” death or “disability” (as such terms are defined in our Severance Policy), in each case, that occurs outside a period beginning on a “change in control” (as defined in our Severance Policy) and ending twelve months following a change in control (such period, the “change in control period”), then the named executive officer will be entitled to, in addition to any accrued benefits, the following payments and benefits:</w:t>
      </w:r>
    </w:p>
    <w:p>
      <w:pPr>
        <w:spacing w:after="0" w:line="70" w:lineRule="exact"/>
        <w:rPr>
          <w:sz w:val="20"/>
          <w:szCs w:val="20"/>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their base salary as in effect immediately prior to their termination of employment for a period of nine months (twelve months, in the case of Dr. Chacko) following their termination date;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or payment of the monthly premium cost of continued health coverage under COBRA, for them and their eligible dependents for a period of up to nine months (twelve months, in the case of Dr. Chacko) if they timely elect COBRA coverage, or a taxable lump sum payment in lieu thereof equal to nine months (twelve months, in the case of Dr. Chacko) of such premiums; and</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Dr. Chacko only, acceleration of vesting of his then outstanding time-based equity awards that would have become exercisable had he continued to be employed for an additional twelve months following the date of his termination of employment.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termination of the employment of a named executive officer by the named executive officer for “good reason” or by us for a reason other than “cause,” death or “disability,” in each case, that occurs within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change in control period, then the named executive officer will be entitled to, in addition to any accrued benefits, the following payments and benefits:</w:t>
      </w:r>
    </w:p>
    <w:p>
      <w:pPr>
        <w:spacing w:after="0" w:line="67" w:lineRule="exact"/>
        <w:rPr>
          <w:sz w:val="20"/>
          <w:szCs w:val="20"/>
          <w:color w:val="auto"/>
        </w:rPr>
      </w:pPr>
    </w:p>
    <w:p>
      <w:pPr>
        <w:ind w:left="1080" w:right="2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twelve months (eighteen months, in the case of Dr. Chacko) of the named executive officer’s annual base salary as in effect immediately prior to the named executive officer’s termination of employment;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(150%, in the case of Dr. Chacko) of the named executive officer’s target annual bonus for the year in which the named executive officer’s termination of employment occurred;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or payment of the monthly premium cost of COBRA, for a period of up to twelve months (eighteen months, in the case of Dr. Chacko) if they timely elect COBRA coverage, or a taxable lump sum payment in lieu thereof equal to twelve months (eighteen months, in the case of Dr. Chacko) of such premiums;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shares subject to then-outstanding equity awards held by the named executive officer will accelerate in full and, in the case of performance-based awards, all performance goals will be deemed achieved at 100% unless otherwise set forth in the applicable award agreement.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receipt of the payments and benefits provided for under the Severance Policy described above is conditioned on the named executive officer signing and not revoking a separation and release of claims agreement and such release becoming effective and irrevocable no later than the 60th day following the named executive officer’s termination of employment.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of the payments or benefits provided for under the Severance Policy or otherwise payable to a named executive officer would constitute “parachute payments” within the meaning of Section 280G of the Internal Revenue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We are not obligated to provide any tax gross-up payments to our named executive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 (Clawback)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September 2023, the compensation committee adopted our Compensation Recovery Policy, filed as Exhibit 97.1 to our Annual Report on Form 10-K filed on March 11, 2024, in accordance with the SEC and Nasdaq requirements of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such SEC and Nasdaq requirements.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Policies and Practices Related to the Grant of Certain Equity Awards Close in Time to the Release of Material Nonpublic Information</w:t>
      </w:r>
    </w:p>
    <w:p>
      <w:pPr>
        <w:spacing w:after="0" w:line="5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do not have any formal policy that requires us to grant, or avoid granting, equity-based compensation to our executive officers at certain times. It is the compensation committee’s practice to generally avoid granting equity awards during periods in which there is material nonpublic information about the Company. Consistent with our annual compensation cycle, the compensation committee has for several years granted annual equity awards to our executive officers at the beginning of each fiscal year. Prior to 2025, non-employee directors received annual equity awards, consistent with our then-current Amended and Restated Outside Director Compensation Policy, on the date of the annual meeting of our stockholders. In 2024 our board of directors adopted an updated Amended and Restated Outside Director Compensation Policy, pursuant to which non-employee directors are granted annual equity awards concurrently with our executive officers at the beginning of each fiscal year. The timing of any equity grants to executive officers in connection with new hires, promotions, or other non-routine grants is tied to the event giving rise to the award (such as an executive officer’s commencement of employment or promotion effective date). Outside of our annual equity award cycle, we may grant equity awards at other times throughout the year, such as to new employee hires, to employees receiving promotions, for retention purposes, or in other relevant circumstances. Under the Inducement Plan, which is only available for grants to new employees, we also grant equity awards at the time of the new employee joining us. As a result, in all cases, the timing of grants of equity awards, including stock options, occurs independent of the release of any material nonpublic information. We do not time the disclosure of material nonpublic information for the purpose of affecting the value of equity-based compensation.</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stock options were issued to executive officers in 2025 during any period beginning four business days before the filing or furnishing of a periodic report or current report disclosing material nonpublic information and ending one business day after the filing or furnishing of such report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that may be issued under our existing equity compensation plans.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100" w:type="dxa"/>
            <w:vAlign w:val="bottom"/>
            <w:gridSpan w:val="2"/>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00" w:type="dxa"/>
            <w:vAlign w:val="bottom"/>
          </w:tcPr>
          <w:p>
            <w:pPr>
              <w:spacing w:after="0"/>
              <w:rPr>
                <w:sz w:val="12"/>
                <w:szCs w:val="12"/>
                <w:color w:val="auto"/>
              </w:rPr>
            </w:pPr>
          </w:p>
        </w:tc>
        <w:tc>
          <w:tcPr>
            <w:tcW w:w="210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00" w:type="dxa"/>
            <w:vAlign w:val="bottom"/>
          </w:tcPr>
          <w:p>
            <w:pPr>
              <w:spacing w:after="0"/>
              <w:rPr>
                <w:sz w:val="12"/>
                <w:szCs w:val="12"/>
                <w:color w:val="auto"/>
              </w:rPr>
            </w:pPr>
          </w:p>
        </w:tc>
        <w:tc>
          <w:tcPr>
            <w:tcW w:w="210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210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10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10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8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0" w:type="dxa"/>
            <w:vAlign w:val="bottom"/>
          </w:tcPr>
          <w:p>
            <w:pPr>
              <w:spacing w:after="0"/>
              <w:rPr>
                <w:sz w:val="12"/>
                <w:szCs w:val="12"/>
                <w:color w:val="auto"/>
              </w:rPr>
            </w:pPr>
          </w:p>
        </w:tc>
        <w:tc>
          <w:tcPr>
            <w:tcW w:w="210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5460" w:type="dxa"/>
            <w:vAlign w:val="bottom"/>
            <w:gridSpan w:val="2"/>
            <w:vMerge w:val="continue"/>
          </w:tcPr>
          <w:p>
            <w:pPr>
              <w:spacing w:after="0"/>
              <w:rPr>
                <w:sz w:val="15"/>
                <w:szCs w:val="15"/>
                <w:color w:val="auto"/>
              </w:rPr>
            </w:pPr>
          </w:p>
        </w:tc>
        <w:tc>
          <w:tcPr>
            <w:tcW w:w="228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5"/>
                <w:szCs w:val="15"/>
                <w:color w:val="auto"/>
              </w:rPr>
            </w:pPr>
          </w:p>
        </w:tc>
        <w:tc>
          <w:tcPr>
            <w:tcW w:w="210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24"/>
              <w:spacing w:after="0" w:line="142" w:lineRule="exact"/>
              <w:rPr>
                <w:sz w:val="20"/>
                <w:szCs w:val="20"/>
                <w:color w:val="auto"/>
              </w:rPr>
            </w:pPr>
            <w:r>
              <w:rPr>
                <w:rFonts w:ascii="Times New Roman" w:cs="Times New Roman" w:eastAsia="Times New Roman" w:hAnsi="Times New Roman"/>
                <w:sz w:val="14"/>
                <w:szCs w:val="14"/>
                <w:color w:val="auto"/>
              </w:rPr>
              <w:t>(b)</w:t>
            </w:r>
          </w:p>
        </w:tc>
        <w:tc>
          <w:tcPr>
            <w:tcW w:w="14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8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2"/>
                <w:szCs w:val="22"/>
                <w:color w:val="auto"/>
                <w:vertAlign w:val="superscript"/>
              </w:rPr>
              <w:t>(1)</w:t>
            </w:r>
          </w:p>
        </w:tc>
        <w:tc>
          <w:tcPr>
            <w:tcW w:w="228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13,052,753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6.23</w:t>
            </w:r>
          </w:p>
        </w:tc>
        <w:tc>
          <w:tcPr>
            <w:tcW w:w="1080" w:type="dxa"/>
            <w:vAlign w:val="bottom"/>
            <w:gridSpan w:val="2"/>
            <w:shd w:val="clear" w:color="auto" w:fill="CCEEFF"/>
          </w:tcPr>
          <w:p>
            <w:pPr>
              <w:jc w:val="right"/>
              <w:ind w:right="60"/>
              <w:spacing w:after="0" w:line="235" w:lineRule="exact"/>
              <w:rPr>
                <w:sz w:val="20"/>
                <w:szCs w:val="20"/>
                <w:color w:val="auto"/>
              </w:rPr>
            </w:pPr>
            <w:r>
              <w:rPr>
                <w:rFonts w:ascii="Times New Roman" w:cs="Times New Roman" w:eastAsia="Times New Roman" w:hAnsi="Times New Roman"/>
                <w:sz w:val="18"/>
                <w:szCs w:val="18"/>
                <w:color w:val="auto"/>
              </w:rPr>
              <w:t>3,311,915</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98"/>
        </w:trPr>
        <w:tc>
          <w:tcPr>
            <w:tcW w:w="5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2"/>
                <w:szCs w:val="22"/>
                <w:color w:val="auto"/>
                <w:vertAlign w:val="superscript"/>
              </w:rPr>
              <w:t>(3)</w:t>
            </w:r>
          </w:p>
        </w:tc>
        <w:tc>
          <w:tcPr>
            <w:tcW w:w="228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1,432,019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9.25</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695,377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14,484,772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6.49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4,007,292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5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2014 Plan, 2020 Plan and 2020 Employee Stock Purchase Plan (the “2020 ESPP”). The 2020 Plan provides for an annual, automatic increase to the number of shares of common stock authorized for issuance thereunder, effective as of the first day of each fiscal year, by an amount equal to the least of (a) 2,656,500 Shares (as defined in the 2020 Plan), (b) 5% of the outstanding shares of all classes of the Company’s common stock on the last day of the immediately preceding fiscal year or (c) such amount determined by the Administrator (as defined in the 2020 Plan). The 2020 ESPP provides for an annual, automatic increase to the number of shares of common stock authorized for issuance thereunder, effective as of the first day of each fiscal year, by an amount equal to the least of (a) 500,000 shares, (b) 1% of the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80"/>
        <w:spacing w:after="0" w:line="261" w:lineRule="auto"/>
        <w:rPr>
          <w:sz w:val="20"/>
          <w:szCs w:val="20"/>
          <w:color w:val="auto"/>
        </w:rPr>
      </w:pPr>
      <w:r>
        <w:rPr>
          <w:rFonts w:ascii="Times New Roman" w:cs="Times New Roman" w:eastAsia="Times New Roman" w:hAnsi="Times New Roman"/>
          <w:sz w:val="18"/>
          <w:szCs w:val="18"/>
          <w:color w:val="auto"/>
        </w:rPr>
        <w:t>outstanding shares of all classes of the Company’s common stock on the last day of the immediately preceding fiscal year or (c) such lesser amount determined by the Administrator (as defined in the 2020 ESPP).</w:t>
      </w: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2,154,209 shares available for grant under the 2020 Plan and 1,157,706 shares available for purchase under the 2020 ESPP.</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Inducement Plan was adopted by the compensation committee of our board of directors on March 1, 2022, and amended on March 26, 2024, and March 11, 2025. As of March 31, 2026, there were 507,066 shares available for grant under the 2022 Inducement Plan.</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320" w:top="482" w:right="6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named executive officers (“Non-PEO NEOs”) and Company performance for the fiscal years listed below. The compensation committee did not consider the pay versus performance disclosure below in making its pay decisions for any of the years shown.</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2"/>
            <w:vMerge w:val="continue"/>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980" w:type="dxa"/>
            <w:vAlign w:val="bottom"/>
            <w:vMerge w:val="restart"/>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PEO</w:t>
            </w:r>
            <w:r>
              <w:rPr>
                <w:rFonts w:ascii="Times New Roman" w:cs="Times New Roman" w:eastAsia="Times New Roman" w:hAnsi="Times New Roman"/>
                <w:sz w:val="17"/>
                <w:szCs w:val="17"/>
                <w:b w:val="1"/>
                <w:bCs w:val="1"/>
                <w:color w:val="auto"/>
                <w:w w:val="95"/>
                <w:vertAlign w:val="superscript"/>
              </w:rPr>
              <w:t>(1)</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8"/>
                <w:szCs w:val="8"/>
                <w:b w:val="1"/>
                <w:bCs w:val="1"/>
                <w:color w:val="auto"/>
              </w:rPr>
              <w:t>(1)(2)(3)</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(1)(2)(3)</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TSR</w:t>
            </w:r>
            <w:r>
              <w:rPr>
                <w:rFonts w:ascii="Times New Roman" w:cs="Times New Roman" w:eastAsia="Times New Roman" w:hAnsi="Times New Roman"/>
                <w:sz w:val="17"/>
                <w:szCs w:val="17"/>
                <w:b w:val="1"/>
                <w:bCs w:val="1"/>
                <w:color w:val="auto"/>
                <w:w w:val="93"/>
                <w:vertAlign w:val="superscript"/>
              </w:rPr>
              <w:t>(4)</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0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5,567,164</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5,691,164</w:t>
            </w:r>
          </w:p>
        </w:tc>
        <w:tc>
          <w:tcPr>
            <w:tcW w:w="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2,259,933</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2,303,700</w:t>
            </w:r>
          </w:p>
        </w:tc>
        <w:tc>
          <w:tcPr>
            <w:tcW w:w="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88.91</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0"/>
              </w:rPr>
              <w:t>(129,468)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5,282,815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4,274,740</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2,207,675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1,845,596</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87.72</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(127,847)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16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Jacob M. Chacko, M.D. was our PEO for each year presented. The individuals comprising the Non-PEO NEOs for each year presented are listed below.</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u w:val="single" w:color="auto"/>
          <w:color w:val="auto"/>
        </w:rPr>
        <w:t>2024 - 2025</w:t>
      </w:r>
    </w:p>
    <w:p>
      <w:pPr>
        <w:spacing w:after="0" w:line="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Dominic Piscitelli</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Pratik Multani, M.D.</w:t>
      </w:r>
    </w:p>
    <w:p>
      <w:pPr>
        <w:spacing w:after="0" w:line="252" w:lineRule="exact"/>
        <w:rPr>
          <w:sz w:val="20"/>
          <w:szCs w:val="20"/>
          <w:color w:val="auto"/>
        </w:rPr>
      </w:pPr>
    </w:p>
    <w:p>
      <w:pPr>
        <w:ind w:left="540" w:right="60" w:hanging="424"/>
        <w:spacing w:after="0" w:line="257"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520" w:type="dxa"/>
            <w:vAlign w:val="bottom"/>
            <w:gridSpan w:val="4"/>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60" w:type="dxa"/>
            <w:vAlign w:val="bottom"/>
          </w:tcPr>
          <w:p>
            <w:pPr>
              <w:spacing w:after="0"/>
              <w:rPr>
                <w:sz w:val="13"/>
                <w:szCs w:val="13"/>
                <w:color w:val="auto"/>
              </w:rPr>
            </w:pPr>
          </w:p>
        </w:tc>
        <w:tc>
          <w:tcPr>
            <w:tcW w:w="142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40" w:type="dxa"/>
            <w:vAlign w:val="bottom"/>
          </w:tcPr>
          <w:p>
            <w:pPr>
              <w:spacing w:after="0"/>
              <w:rPr>
                <w:sz w:val="13"/>
                <w:szCs w:val="13"/>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52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48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140" w:type="dxa"/>
            <w:vAlign w:val="bottom"/>
            <w:vMerge w:val="restart"/>
          </w:tcPr>
          <w:p>
            <w:pPr>
              <w:spacing w:after="0"/>
              <w:rPr>
                <w:sz w:val="12"/>
                <w:szCs w:val="12"/>
                <w:color w:val="auto"/>
              </w:rPr>
            </w:pPr>
          </w:p>
        </w:tc>
        <w:tc>
          <w:tcPr>
            <w:tcW w:w="15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2"/>
                <w:szCs w:val="12"/>
                <w:color w:val="auto"/>
              </w:rPr>
            </w:pPr>
          </w:p>
        </w:tc>
        <w:tc>
          <w:tcPr>
            <w:tcW w:w="14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60" w:type="dxa"/>
            <w:vAlign w:val="bottom"/>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top w:val="single" w:sz="8" w:color="auto"/>
            </w:tcBorders>
            <w:shd w:val="clear" w:color="auto" w:fill="CCEEFF"/>
          </w:tcPr>
          <w:p>
            <w:pPr>
              <w:jc w:val="center"/>
              <w:ind w:left="182"/>
              <w:spacing w:after="0" w:line="203" w:lineRule="exact"/>
              <w:rPr>
                <w:sz w:val="20"/>
                <w:szCs w:val="20"/>
                <w:color w:val="auto"/>
              </w:rPr>
            </w:pPr>
            <w:r>
              <w:rPr>
                <w:rFonts w:ascii="Times New Roman" w:cs="Times New Roman" w:eastAsia="Times New Roman" w:hAnsi="Times New Roman"/>
                <w:sz w:val="18"/>
                <w:szCs w:val="18"/>
                <w:color w:val="auto"/>
                <w:w w:val="99"/>
              </w:rPr>
              <w:t>5,567,164</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(4,460,560)</w:t>
            </w: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4,584,560</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5,691,164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color w:val="auto"/>
                <w:w w:val="99"/>
              </w:rPr>
              <w:t>5,282,815</w:t>
            </w:r>
          </w:p>
        </w:tc>
        <w:tc>
          <w:tcPr>
            <w:tcW w:w="460" w:type="dxa"/>
            <w:vAlign w:val="bottom"/>
          </w:tcPr>
          <w:p>
            <w:pPr>
              <w:spacing w:after="0"/>
              <w:rPr>
                <w:sz w:val="20"/>
                <w:szCs w:val="20"/>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(4,243,778)</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3,235,703</w:t>
            </w:r>
          </w:p>
        </w:tc>
        <w:tc>
          <w:tcPr>
            <w:tcW w:w="520" w:type="dxa"/>
            <w:vAlign w:val="bottom"/>
          </w:tcPr>
          <w:p>
            <w:pPr>
              <w:spacing w:after="0"/>
              <w:rPr>
                <w:sz w:val="20"/>
                <w:szCs w:val="20"/>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4,274,740</w:t>
            </w:r>
          </w:p>
        </w:tc>
        <w:tc>
          <w:tcPr>
            <w:tcW w:w="0" w:type="dxa"/>
            <w:vAlign w:val="bottom"/>
          </w:tcPr>
          <w:p>
            <w:pPr>
              <w:spacing w:after="0"/>
              <w:rPr>
                <w:sz w:val="1"/>
                <w:szCs w:val="1"/>
                <w:color w:val="auto"/>
              </w:rPr>
            </w:pPr>
          </w:p>
        </w:tc>
      </w:tr>
      <w:tr>
        <w:trPr>
          <w:trHeight w:val="348"/>
        </w:trPr>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24"/>
                <w:szCs w:val="24"/>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24"/>
                <w:szCs w:val="24"/>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24"/>
                <w:szCs w:val="24"/>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2"/>
                <w:szCs w:val="12"/>
                <w:color w:val="auto"/>
              </w:rPr>
            </w:pPr>
          </w:p>
        </w:tc>
        <w:tc>
          <w:tcPr>
            <w:tcW w:w="14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Exclusion of</w:t>
            </w:r>
          </w:p>
        </w:tc>
        <w:tc>
          <w:tcPr>
            <w:tcW w:w="6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4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4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80" w:type="dxa"/>
            <w:vAlign w:val="bottom"/>
          </w:tcPr>
          <w:p>
            <w:pPr>
              <w:spacing w:after="0"/>
              <w:rPr>
                <w:sz w:val="12"/>
                <w:szCs w:val="12"/>
                <w:color w:val="auto"/>
              </w:rPr>
            </w:pPr>
          </w:p>
        </w:tc>
        <w:tc>
          <w:tcPr>
            <w:tcW w:w="14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6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4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140" w:type="dxa"/>
            <w:vAlign w:val="bottom"/>
            <w:vMerge w:val="restart"/>
          </w:tcPr>
          <w:p>
            <w:pPr>
              <w:spacing w:after="0"/>
              <w:rPr>
                <w:sz w:val="12"/>
                <w:szCs w:val="12"/>
                <w:color w:val="auto"/>
              </w:rPr>
            </w:pPr>
          </w:p>
        </w:tc>
        <w:tc>
          <w:tcPr>
            <w:tcW w:w="15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80" w:type="dxa"/>
            <w:vAlign w:val="bottom"/>
          </w:tcPr>
          <w:p>
            <w:pPr>
              <w:spacing w:after="0"/>
              <w:rPr>
                <w:sz w:val="12"/>
                <w:szCs w:val="12"/>
                <w:color w:val="auto"/>
              </w:rPr>
            </w:pPr>
          </w:p>
        </w:tc>
        <w:tc>
          <w:tcPr>
            <w:tcW w:w="14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6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4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980" w:type="dxa"/>
            <w:vAlign w:val="bottom"/>
          </w:tcPr>
          <w:p>
            <w:pPr>
              <w:jc w:val="center"/>
              <w:ind w:left="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22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2,259,933</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0"/>
              </w:rPr>
              <w:t>(1,507,504)</w:t>
            </w: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1,551,271</w:t>
            </w: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2,303,700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2,207,675</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(1,497,804)</w:t>
            </w:r>
          </w:p>
        </w:tc>
        <w:tc>
          <w:tcPr>
            <w:tcW w:w="14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1,135,725</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1,845,596</w:t>
            </w:r>
          </w:p>
        </w:tc>
        <w:tc>
          <w:tcPr>
            <w:tcW w:w="0" w:type="dxa"/>
            <w:vAlign w:val="bottom"/>
          </w:tcPr>
          <w:p>
            <w:pPr>
              <w:spacing w:after="0"/>
              <w:rPr>
                <w:sz w:val="1"/>
                <w:szCs w:val="1"/>
                <w:color w:val="auto"/>
              </w:rPr>
            </w:pPr>
          </w:p>
        </w:tc>
      </w:tr>
      <w:tr>
        <w:trPr>
          <w:trHeight w:val="346"/>
        </w:trPr>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80" w:type="dxa"/>
            <w:vAlign w:val="bottom"/>
          </w:tcPr>
          <w:p>
            <w:pPr>
              <w:jc w:val="center"/>
              <w:ind w:left="202"/>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amounts in the Inclusion of Equity Values in the tables above are derived from the amounts set forth in the following tables:</w:t>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24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40" w:type="dxa"/>
            <w:vAlign w:val="bottom"/>
            <w:gridSpan w:val="4"/>
            <w:vMerge w:val="continue"/>
          </w:tcPr>
          <w:p>
            <w:pPr>
              <w:spacing w:after="0"/>
              <w:rPr>
                <w:sz w:val="12"/>
                <w:szCs w:val="12"/>
                <w:color w:val="auto"/>
              </w:rPr>
            </w:pPr>
          </w:p>
        </w:tc>
        <w:tc>
          <w:tcPr>
            <w:tcW w:w="126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60" w:type="dxa"/>
            <w:vAlign w:val="bottom"/>
            <w:gridSpan w:val="4"/>
            <w:vMerge w:val="continue"/>
          </w:tcPr>
          <w:p>
            <w:pPr>
              <w:spacing w:after="0"/>
              <w:rPr>
                <w:sz w:val="12"/>
                <w:szCs w:val="12"/>
                <w:color w:val="auto"/>
              </w:rPr>
            </w:pP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24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13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2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2"/>
                <w:szCs w:val="12"/>
                <w:color w:val="auto"/>
              </w:rPr>
            </w:pPr>
          </w:p>
        </w:tc>
        <w:tc>
          <w:tcPr>
            <w:tcW w:w="10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1240" w:type="dxa"/>
            <w:vAlign w:val="bottom"/>
            <w:gridSpan w:val="4"/>
            <w:vMerge w:val="continue"/>
          </w:tcPr>
          <w:p>
            <w:pPr>
              <w:spacing w:after="0"/>
              <w:rPr>
                <w:sz w:val="12"/>
                <w:szCs w:val="12"/>
                <w:color w:val="auto"/>
              </w:rPr>
            </w:pPr>
          </w:p>
        </w:tc>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Granted</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2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24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220" w:type="dxa"/>
            <w:vAlign w:val="bottom"/>
          </w:tcPr>
          <w:p>
            <w:pPr>
              <w:spacing w:after="0"/>
              <w:rPr>
                <w:sz w:val="12"/>
                <w:szCs w:val="12"/>
                <w:color w:val="auto"/>
              </w:rPr>
            </w:pPr>
          </w:p>
        </w:tc>
        <w:tc>
          <w:tcPr>
            <w:tcW w:w="110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to Last</w:t>
            </w:r>
          </w:p>
        </w:tc>
        <w:tc>
          <w:tcPr>
            <w:tcW w:w="12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24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Prior Year of</w:t>
            </w:r>
          </w:p>
        </w:tc>
        <w:tc>
          <w:tcPr>
            <w:tcW w:w="13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2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0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on Equity</w:t>
            </w:r>
          </w:p>
        </w:tc>
        <w:tc>
          <w:tcPr>
            <w:tcW w:w="2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2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24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0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20" w:type="dxa"/>
            <w:vAlign w:val="bottom"/>
          </w:tcPr>
          <w:p>
            <w:pPr>
              <w:spacing w:after="0"/>
              <w:rPr>
                <w:sz w:val="12"/>
                <w:szCs w:val="12"/>
                <w:color w:val="auto"/>
              </w:rPr>
            </w:pPr>
          </w:p>
        </w:tc>
        <w:tc>
          <w:tcPr>
            <w:tcW w:w="10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4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1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 Inclusion of</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2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4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Included for</w:t>
            </w:r>
          </w:p>
        </w:tc>
        <w:tc>
          <w:tcPr>
            <w:tcW w:w="11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48"/>
        </w:trPr>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 PEO</w:t>
            </w:r>
          </w:p>
        </w:tc>
        <w:tc>
          <w:tcPr>
            <w:tcW w:w="10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20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24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PEO</w:t>
            </w:r>
          </w:p>
        </w:tc>
        <w:tc>
          <w:tcPr>
            <w:tcW w:w="220" w:type="dxa"/>
            <w:vAlign w:val="bottom"/>
          </w:tcPr>
          <w:p>
            <w:pPr>
              <w:spacing w:after="0"/>
              <w:rPr>
                <w:sz w:val="12"/>
                <w:szCs w:val="12"/>
                <w:color w:val="auto"/>
              </w:rPr>
            </w:pPr>
          </w:p>
        </w:tc>
        <w:tc>
          <w:tcPr>
            <w:tcW w:w="110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0" w:type="dxa"/>
            <w:vAlign w:val="bottom"/>
            <w:gridSpan w:val="2"/>
          </w:tcPr>
          <w:p>
            <w:pPr>
              <w:jc w:val="center"/>
              <w:ind w:left="102"/>
              <w:spacing w:after="0" w:line="191" w:lineRule="exact"/>
              <w:rPr>
                <w:sz w:val="20"/>
                <w:szCs w:val="20"/>
                <w:color w:val="auto"/>
              </w:rPr>
            </w:pPr>
            <w:r>
              <w:rPr>
                <w:rFonts w:ascii="Times New Roman" w:cs="Times New Roman" w:eastAsia="Times New Roman" w:hAnsi="Times New Roman"/>
                <w:sz w:val="18"/>
                <w:szCs w:val="18"/>
                <w:color w:val="auto"/>
                <w:w w:val="99"/>
              </w:rPr>
              <w:t>4,027,954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(49,470)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center"/>
              <w:ind w:left="163"/>
              <w:spacing w:after="0" w:line="191" w:lineRule="exact"/>
              <w:rPr>
                <w:sz w:val="20"/>
                <w:szCs w:val="20"/>
                <w:color w:val="auto"/>
              </w:rPr>
            </w:pPr>
            <w:r>
              <w:rPr>
                <w:rFonts w:ascii="Times New Roman" w:cs="Times New Roman" w:eastAsia="Times New Roman" w:hAnsi="Times New Roman"/>
                <w:sz w:val="18"/>
                <w:szCs w:val="18"/>
                <w:color w:val="auto"/>
                <w:w w:val="99"/>
              </w:rPr>
              <w:t>307,664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298,412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ind w:left="44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4,584,560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gridSpan w:val="3"/>
          </w:tcPr>
          <w:p>
            <w:pPr>
              <w:jc w:val="center"/>
              <w:ind w:left="22"/>
              <w:spacing w:after="0"/>
              <w:rPr>
                <w:sz w:val="20"/>
                <w:szCs w:val="20"/>
                <w:color w:val="auto"/>
              </w:rPr>
            </w:pPr>
            <w:r>
              <w:rPr>
                <w:rFonts w:ascii="Times New Roman" w:cs="Times New Roman" w:eastAsia="Times New Roman" w:hAnsi="Times New Roman"/>
                <w:sz w:val="18"/>
                <w:szCs w:val="18"/>
                <w:color w:val="auto"/>
                <w:w w:val="99"/>
              </w:rPr>
              <w:t>3,365,449</w:t>
            </w:r>
          </w:p>
        </w:tc>
        <w:tc>
          <w:tcPr>
            <w:tcW w:w="34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(699,787)</w:t>
            </w:r>
          </w:p>
        </w:tc>
        <w:tc>
          <w:tcPr>
            <w:tcW w:w="360" w:type="dxa"/>
            <w:vAlign w:val="bottom"/>
          </w:tcPr>
          <w:p>
            <w:pPr>
              <w:spacing w:after="0"/>
              <w:rPr>
                <w:sz w:val="20"/>
                <w:szCs w:val="20"/>
                <w:color w:val="auto"/>
              </w:rPr>
            </w:pPr>
          </w:p>
        </w:tc>
        <w:tc>
          <w:tcPr>
            <w:tcW w:w="940" w:type="dxa"/>
            <w:vAlign w:val="bottom"/>
            <w:gridSpan w:val="3"/>
          </w:tcPr>
          <w:p>
            <w:pPr>
              <w:jc w:val="center"/>
              <w:ind w:left="43"/>
              <w:spacing w:after="0"/>
              <w:rPr>
                <w:sz w:val="20"/>
                <w:szCs w:val="20"/>
                <w:color w:val="auto"/>
              </w:rPr>
            </w:pPr>
            <w:r>
              <w:rPr>
                <w:rFonts w:ascii="Times New Roman" w:cs="Times New Roman" w:eastAsia="Times New Roman" w:hAnsi="Times New Roman"/>
                <w:sz w:val="18"/>
                <w:szCs w:val="18"/>
                <w:color w:val="auto"/>
                <w:w w:val="99"/>
              </w:rPr>
              <w:t>241,397</w:t>
            </w:r>
          </w:p>
        </w:tc>
        <w:tc>
          <w:tcPr>
            <w:tcW w:w="32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328,644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3,235,703</w:t>
            </w:r>
          </w:p>
        </w:tc>
        <w:tc>
          <w:tcPr>
            <w:tcW w:w="0" w:type="dxa"/>
            <w:vAlign w:val="bottom"/>
          </w:tcPr>
          <w:p>
            <w:pPr>
              <w:spacing w:after="0"/>
              <w:rPr>
                <w:sz w:val="1"/>
                <w:szCs w:val="1"/>
                <w:color w:val="auto"/>
              </w:rPr>
            </w:pPr>
          </w:p>
        </w:tc>
      </w:tr>
      <w:tr>
        <w:trPr>
          <w:trHeight w:val="367"/>
        </w:trPr>
        <w:tc>
          <w:tcPr>
            <w:tcW w:w="80" w:type="dxa"/>
            <w:vAlign w:val="bottom"/>
          </w:tcPr>
          <w:p>
            <w:pPr>
              <w:spacing w:after="0"/>
              <w:rPr>
                <w:sz w:val="24"/>
                <w:szCs w:val="24"/>
                <w:color w:val="auto"/>
              </w:rPr>
            </w:pPr>
          </w:p>
        </w:tc>
        <w:tc>
          <w:tcPr>
            <w:tcW w:w="12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220" w:type="dxa"/>
            <w:vAlign w:val="bottom"/>
          </w:tcPr>
          <w:p>
            <w:pPr>
              <w:spacing w:after="0"/>
              <w:rPr>
                <w:sz w:val="12"/>
                <w:szCs w:val="12"/>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Vesting-Date</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2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 Last</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 Date</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to Last</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w:t>
            </w:r>
          </w:p>
        </w:tc>
        <w:tc>
          <w:tcPr>
            <w:tcW w:w="22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2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Equity</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0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Included for</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for Non-</w:t>
            </w:r>
          </w:p>
        </w:tc>
        <w:tc>
          <w:tcPr>
            <w:tcW w:w="10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Non-PEO</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90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9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1,360,800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(17,386)</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104,604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w w:val="95"/>
              </w:rPr>
              <w:t>103,253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1,551,271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1,187,804</w:t>
            </w: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(263,409)</w:t>
            </w:r>
          </w:p>
        </w:tc>
        <w:tc>
          <w:tcPr>
            <w:tcW w:w="12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85,200</w:t>
            </w:r>
          </w:p>
        </w:tc>
        <w:tc>
          <w:tcPr>
            <w:tcW w:w="12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126,130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1,135,725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-2133600</wp:posOffset>
            </wp:positionV>
            <wp:extent cx="699516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-281940</wp:posOffset>
            </wp:positionV>
            <wp:extent cx="699516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8660"/>
          </w:cols>
          <w:pgMar w:left="320" w:top="482" w:right="499" w:bottom="1440" w:gutter="0" w:footer="0" w:header="0"/>
          <w:type w:val="continuous"/>
        </w:sectPr>
      </w:pPr>
    </w:p>
    <w:p>
      <w:pPr>
        <w:spacing w:after="0" w:line="25" w:lineRule="exact"/>
        <w:rPr>
          <w:sz w:val="20"/>
          <w:szCs w:val="20"/>
          <w:color w:val="auto"/>
        </w:rPr>
      </w:pPr>
    </w:p>
    <w:p>
      <w:pPr>
        <w:ind w:left="540" w:right="56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2023, through the end of the listed year. Historical stock performance is not necessarily indicative of future stock performance.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Between PEO and Non-PEO NEO Compensation Actually Paid and Total Shareholder Return (“TSR”)</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two most recently completed fiscal years for the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82" w:right="4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77790" cy="25203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7779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Between PEO and Non-PEO NEO Compensation Actually Paid and Net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loss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77790" cy="2665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7779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80"/>
          </w:cols>
          <w:pgMar w:left="320" w:top="482" w:right="6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March 31, 2026 by:</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 subject to community property laws where applicable. The information does not necessarily indicate beneficial ownership for any other purpose, including for purposes of Sections 13(d) and 13(g) of the Exchange Act.</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103,486,412 shares of our common stock outstanding as of March 31, 2026. We have deemed shares of our common stock subject to stock options that are currently exercisable or exercisable within 60 days of March 31,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ORIC Pharmaceuticals, Inc., 240 E. Grand Ave, 2nd Floor, South San Francisco, California 94080.</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00" w:type="dxa"/>
            <w:vAlign w:val="bottom"/>
            <w:gridSpan w:val="2"/>
            <w:vMerge w:val="continue"/>
          </w:tcPr>
          <w:p>
            <w:pPr>
              <w:spacing w:after="0"/>
              <w:rPr>
                <w:sz w:val="12"/>
                <w:szCs w:val="12"/>
                <w:color w:val="auto"/>
              </w:rPr>
            </w:pPr>
          </w:p>
        </w:tc>
        <w:tc>
          <w:tcPr>
            <w:tcW w:w="1240" w:type="dxa"/>
            <w:vAlign w:val="bottom"/>
            <w:gridSpan w:val="2"/>
          </w:tcPr>
          <w:p>
            <w:pPr>
              <w:jc w:val="right"/>
              <w:ind w:right="64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6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Viking Global Investors</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9,649,670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Nextech Crossover LP</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7,162,637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 Capital, LLC</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6,728,116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Venrock Healthcare Capital Partners LLC</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5,676,230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BlackRock, Inc.</w:t>
            </w:r>
            <w:r>
              <w:rPr>
                <w:rFonts w:ascii="Times New Roman" w:cs="Times New Roman" w:eastAsia="Times New Roman" w:hAnsi="Times New Roman"/>
                <w:sz w:val="25"/>
                <w:szCs w:val="25"/>
                <w:color w:val="auto"/>
                <w:vertAlign w:val="superscript"/>
              </w:rPr>
              <w:t>(5)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5,473,145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Pfizer Inc.</w:t>
            </w:r>
            <w:r>
              <w:rPr>
                <w:rFonts w:ascii="Times New Roman" w:cs="Times New Roman" w:eastAsia="Times New Roman" w:hAnsi="Times New Roman"/>
                <w:sz w:val="25"/>
                <w:szCs w:val="25"/>
                <w:color w:val="auto"/>
                <w:vertAlign w:val="superscript"/>
              </w:rPr>
              <w:t>(6)</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5,376,344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32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Jacob M. Chacko, M.D.</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3,248,044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Pratik Multani, M.D.</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927,679</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Dominic Piscitelli</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779,678</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Mardi C. Dier</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198,008</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Heyman, Ph.D.</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468,508</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Steven L. Hoerter</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177,966</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Lori Kunkel, M.D.</w:t>
            </w:r>
            <w:r>
              <w:rPr>
                <w:rFonts w:ascii="Times New Roman" w:cs="Times New Roman" w:eastAsia="Times New Roman" w:hAnsi="Times New Roman"/>
                <w:sz w:val="25"/>
                <w:szCs w:val="25"/>
                <w:color w:val="auto"/>
                <w:vertAlign w:val="superscript"/>
              </w:rPr>
              <w:t>(13)</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193,273</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Angie You, Ph.D.</w:t>
            </w:r>
            <w:r>
              <w:rPr>
                <w:rFonts w:ascii="Times New Roman" w:cs="Times New Roman" w:eastAsia="Times New Roman" w:hAnsi="Times New Roman"/>
                <w:sz w:val="25"/>
                <w:szCs w:val="25"/>
                <w:color w:val="auto"/>
                <w:vertAlign w:val="superscript"/>
              </w:rPr>
              <w:t>(14)</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200,841</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executive officers and directors as a group (8 persons)</w:t>
            </w:r>
            <w:r>
              <w:rPr>
                <w:rFonts w:ascii="Times New Roman" w:cs="Times New Roman" w:eastAsia="Times New Roman" w:hAnsi="Times New Roman"/>
                <w:sz w:val="25"/>
                <w:szCs w:val="25"/>
                <w:color w:val="auto"/>
                <w:vertAlign w:val="superscript"/>
              </w:rPr>
              <w:t>(15)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6,193,997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7" w:lineRule="exact"/>
        <w:rPr>
          <w:sz w:val="20"/>
          <w:szCs w:val="20"/>
          <w:color w:val="auto"/>
        </w:rPr>
      </w:pPr>
    </w:p>
    <w:p>
      <w:pPr>
        <w:ind w:left="540" w:right="240" w:hanging="424"/>
        <w:spacing w:after="0" w:line="25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13G/A filed with the SEC on August 14, 2025, as of June 30, 2025, Viking Global Opportunities Illiquid Investments Sub-Master LP (“VGOP”) has the authority to dispose of and vote the 4,312,800 shares of our common stock directly owned by it and the 1,846,182 shares of our</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8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66" w:lineRule="auto"/>
        <w:rPr>
          <w:sz w:val="20"/>
          <w:szCs w:val="20"/>
          <w:color w:val="auto"/>
        </w:rPr>
      </w:pPr>
      <w:r>
        <w:rPr>
          <w:rFonts w:ascii="Times New Roman" w:cs="Times New Roman" w:eastAsia="Times New Roman" w:hAnsi="Times New Roman"/>
          <w:sz w:val="17"/>
          <w:szCs w:val="17"/>
          <w:color w:val="auto"/>
        </w:rPr>
        <w:t>common stock that it has a right to purchase upon exercise of pre-funded warrants with an exercise price of $0.0001 per share (“Warrants”) directly owned by it, which power may be exercised by its general partner, Viking Global Opportunities Portfolio GP LLC (“Opportunities Portfolio GP”), and by Viking Global Investors LP (“VGI”), which provides managerial services to VGOP. Viking Global Opportunities Drawdown (Aggregator) LP (“VGOD”) has the authority to dispose of and vote the 2,259,900 shares of our common stock directly owned by it and the 1,230,788 shares of our common stock that it has a right to purchase upon exercise of Warrants directly owned by it, which power may be exercised by its general partner, Viking Global Opportunities Drawdown Portfolio GP LLC (“VGOD Portfolio GP”), and by VGI, which provides managerial services to VGOD. O. Andreas Halvorsen, David C. Ott and Rose S. Shabet, as Executive Committee members of Viking Global Partners LLC (the general partner of VGI) and Viking Global Opportunities Parent GP LLC, the sole member of Viking Global Opportunities Drawdown GP LLC (which is the sole member of VGOD Portfolio GP) and the sole member of Viking Global Opportunities GP LLC (which is the sole member of Opportunities Portfolio GP), have shared authority to direct the voting and disposition of investments beneficially owned by VGI, Opportunities Portfolio GP and VGOD Portfolio GP. The terms of the Warrants provide that no holder of Warrants shall have the right to exercise any portion of the Warrants to the extent that, after giving effect to such issuance after exercise, such holder of Warrants (together with its affiliates and any member of a Section 13(d) group) would beneficially own more than 9.99% of the number of shares of our common stock outstanding immediately following exercise (the “Blocker”). Any holder of Warrants, upon notice to us, may increase or decrease the Blocker, subject to a maximum of 19.99%, but any such increase or decrease will not be effective until the 61st day after such notice is delivered to us. The address of the entities affiliated with Viking Global Investors is c/o Viking Global Investors LP, 600 Washington Boulevard, Stamford, CT 06901.</w:t>
      </w:r>
    </w:p>
    <w:p>
      <w:pPr>
        <w:spacing w:after="0" w:line="8" w:lineRule="exact"/>
        <w:rPr>
          <w:sz w:val="20"/>
          <w:szCs w:val="20"/>
          <w:color w:val="auto"/>
        </w:rPr>
      </w:pPr>
    </w:p>
    <w:p>
      <w:pPr>
        <w:ind w:left="540" w:right="18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13G/A filed with the SEC on August 14, 2025, Nextech Crossover I SCSp (“Nextech Crossover LP”) holds 7,162,637 shares of our common stock directly as of June 30, 2025. Ian Charoub, Costas Constantinides and Rocco Sgobbo share voting and dispositive power over the 7,162,637 shares held by Nextech Crossover LP. The address for each of Nextech Crossover LP, Ian Charoub, Costas Constantinides and Rocco Sgobbo is Bahnhofstrasse 18, Zurich, Switzerland 8001.</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 filed with the SEC on August 5, 2025, Oleg Nodelman may be deemed to have control over EcoR1 Capital, LLC (“EcoR1”), which is the general partner and investment advisor of investment funds, including EcoR1 Capital Fund Qualified, L.P. (“EcoR1 Qualified”), that are the beneficial owners of the shares of our common stock. Each of EcoR1 and Oleg Nodelman has shared voting and shared dispositive power with respect to 6,728,116 shares of our common stock as of July 29, 2025. EcoR1 Qualified has shared voting and shared dispositive power with respect to 6,283,426 shares of our common stock. The address for each of EcoR1, Oleg Nodelman and EcoR1 Qualified is 357 Tehama Street #3, San Francisco, CA 94103.</w:t>
      </w:r>
    </w:p>
    <w:p>
      <w:pPr>
        <w:spacing w:after="0" w:line="2"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13G/A filed with the SEC on February 17, 2026, Venrock Healthcare Capital Partners III, L.P., VHCP Co-Investment Holdings III, LLC, Venrock Healthcare Capital Partners EG, L.P., VHCP Management III, LLC, VHCP Management EG, LLC, Nimish Shah and Bong Koh each has shared voting power and shared dispositive power over 5,676,230 shares of our common stock as of December 31, 2025.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 The address of the entities affiliated with Venrock Healthcare Capital Partners LLC is 7 Bryant Park, 23rd Floor, New York, New York 10018.</w:t>
      </w:r>
    </w:p>
    <w:p>
      <w:pPr>
        <w:spacing w:after="0" w:line="2"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 filed with the SEC on January 21, 2026, Blackrock, Inc., a parent holding company or control person in accordance with Rule 13d-1(b)(1)(ii)(G), has sole voting power over 5,388,358 shares of our common stock and sole dispositive power over 5,473,145 shares of our common stock as of December 31, 2025, including shares held by BlackRock Advisors, LLC, BlackRock Asset Management Canada Limited, BlackRock Fund Advisors, BlackRock Asset Management Ireland Limited, BlackRock Institutional Trust Company, National Association, BlackRock Financial Management, Inc., BlackRock Fund Managers Ltd, BlackRock Asset Management Schweiz AG, and BlackRock Investment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Management, LLC. The address for each of BlackRock, Inc., BlackRock Advisors, LLC, BlackRock Asset Management Canada Limited, BlackRock Fund Advisors, BlackRock Asset Management Ireland Limited, BlackRock Institutional Trust Company, National Association, BlackRock Financial Management, Inc., BlackRock Fund Managers Ltd, BlackRock Asset Management Schweiz AG, and BlackRock Investment Management, LLC is 50 Hudson Yards, New York, NY 10001.</w:t>
      </w:r>
    </w:p>
    <w:p>
      <w:pPr>
        <w:spacing w:after="0" w:line="3" w:lineRule="exact"/>
        <w:rPr>
          <w:sz w:val="20"/>
          <w:szCs w:val="20"/>
          <w:color w:val="auto"/>
        </w:rPr>
      </w:pPr>
    </w:p>
    <w:p>
      <w:pPr>
        <w:ind w:left="540" w:right="14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statement on Schedule 13G filed with the SEC on December 29, 2022, Pfizer Inc. has sole voting power and sole dispositive power over 5,376,344 shares of our common stock as of December 23, 2022. The address of Pfizer Inc. is 235 E. 42nd Street, New York, NY 10017.</w:t>
      </w:r>
    </w:p>
    <w:p>
      <w:pPr>
        <w:jc w:val="both"/>
        <w:ind w:left="540" w:right="2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581,711 shares held of record by Dr. Chacko and (b) 2,666,333 shares subject to options held by Dr. Chacko, which are vested and exercisable within 60 days of March 31, 2026. Excludes 1,594,168 shares subject to options which are not exercisable or restricted stock units that do not vest within 60 days of March 31, 2026.</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68,149 shares held of record by Dr. Multani and (b) 859,530 shares subject to options held by Dr. Multani, which are vested and exercisable within 60 days of March 31, 2026. Excludes 527,637 shares subject to options which are not exercisable or restricted stock units that do not vest within 60 days of March 31, 2026.</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68,148 shares held of record by Mr. Piscitelli and (b) 711,530 shares subject to options held by Mr. Piscitelli, which are vested and exercisable within 60 days of March 31, 2026. Excludes 519,137 shares subject to options which are not exercisable or restricted stock units that do not vest within 60 days of March 31, 2026.</w:t>
      </w:r>
    </w:p>
    <w:p>
      <w:pPr>
        <w:spacing w:after="0" w:line="1"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198,008 shares subject to options held by Ms. Dier, which are vested and exercisable within 60 days of March 31, 2026. Excludes 26,667 shares subject to options which are not exercisable within 60 days of March 31, 2026.</w:t>
      </w:r>
    </w:p>
    <w:p>
      <w:pPr>
        <w:ind w:left="540" w:right="6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213,072 shares held of record by RAHD Capital, LLC, (b) 41,800 shares held of record by Dr. Heyman, and (c) 213,636 shares subject to options held by Dr. Heyman, which are vested and exercisable within 60 days of March 31, 2026. Excludes 26,667 shares subject to options which are not exercisable within 60 days of March 31, 2026. Dr. Heyman has voting and investment power with respect to the shares held of record by RAHD Capital, LLC.</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177,966 shares subject to options held by Mr. Hoerter, which are vested and exercisable within 60 days of March 31, 2026. Excludes 26,667 shares subject to options which are not exercisable within 60 days of March 31, 2026.</w:t>
      </w:r>
    </w:p>
    <w:p>
      <w:pPr>
        <w:ind w:left="540" w:right="22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84,200 shares held of record by Dr. Kunkel and (b) 109,073 shares subject to options held by Dr. Kunkel, which are vested and exercisable within 60 days of March 31, 2026. Excludes 26,667 shares subject to options which are not exercisable within 60 days of March 31, 2026.</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28,000 shares held of record by Dr. You and (b) 172,841 shares subject to options held by Dr. You, which are vested and exercisable within 60 days of March 31, 2026. Excludes 26,667 shares subject to options which are not exercisable within 60 days of March 31, 2026.</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1,085,080 shares beneficially owned by our current executive officers and directors as of March 31, 2026, and (b) 5,108,917 shares subject to options, which are vested and exercisable within 60 days of March 31, 2026. Excludes 2,774,277 shares subject to options which are not exercisable or restricted stock units that do not vest within 60 days of March 31, 2026.</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since the beginning of 2024,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and restated certificate of incorporation and bylaws require us to indemnify our directors, executive officers and certain controlling persons to the fullest extent permitted by Delaware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February 2020, our board of directors adopted a formal written policy providing that we are not permitted to enter into any transaction that exceeds $120,000 and in which any related person has a direct or indirect material interest without the consent of our audit committee, subject to limited exceptions.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82"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2025 Annual Report and SEC Filings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Annual Report on Form 10-K filed with the SEC on February 23, 2026 (File No. 001-39269). This proxy statement and our annual report are posted in the SEC Filings section of our Investor Relations webpage at www.oricpharma.com and are available from the SEC at its website at www.sec.gov. </w:t>
      </w:r>
      <w:r>
        <w:rPr>
          <w:rFonts w:ascii="Times New Roman" w:cs="Times New Roman" w:eastAsia="Times New Roman" w:hAnsi="Times New Roman"/>
          <w:sz w:val="18"/>
          <w:szCs w:val="18"/>
          <w:b w:val="1"/>
          <w:bCs w:val="1"/>
          <w:color w:val="auto"/>
        </w:rPr>
        <w:t>You may also obtain a copy of our annual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without charge by sending a written request to ORIC Pharmaceuticals, Inc., Attention: Investor Relations, 240 E. Grand Ave, 2nd Floor, South San Francisco, California 94080.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Website</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maintain a website at www.oricpharma.com.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April 28, 2026</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(as amended and restated effective as of June [   ], 2026)</w:t>
      </w:r>
    </w:p>
    <w:p>
      <w:pPr>
        <w:spacing w:after="0" w:line="256"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left="120" w:right="5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Performance Units and Performance Shares.</w:t>
      </w:r>
    </w:p>
    <w:p>
      <w:pPr>
        <w:spacing w:after="0" w:line="67"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61" w:lineRule="auto"/>
        <w:tabs>
          <w:tab w:leader="none" w:pos="136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without limitation the related issuance of shares of Common Stock, including without limitation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6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between the Company and Participant setting forth the terms and provisions applicable to an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left="120" w:right="20" w:firstLine="1208"/>
        <w:spacing w:after="0" w:line="268" w:lineRule="auto"/>
        <w:tabs>
          <w:tab w:leader="none" w:pos="1546"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Ownership of the Company</w:t>
      </w:r>
      <w:r>
        <w:rPr>
          <w:rFonts w:ascii="Times New Roman" w:cs="Times New Roman" w:eastAsia="Times New Roman" w:hAnsi="Times New Roman"/>
          <w:sz w:val="17"/>
          <w:szCs w:val="17"/>
          <w:color w:val="auto"/>
        </w:rPr>
        <w:t>. A change in the ownership of the Company which occurs on the date that any one person, or more than one person acting as a group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w:t>
      </w:r>
    </w:p>
    <w:p>
      <w:pPr>
        <w:jc w:val="both"/>
        <w:ind w:left="12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5" w:lineRule="exact"/>
        <w:rPr>
          <w:rFonts w:ascii="Times New Roman" w:cs="Times New Roman" w:eastAsia="Times New Roman" w:hAnsi="Times New Roman"/>
          <w:sz w:val="17"/>
          <w:szCs w:val="17"/>
          <w:color w:val="auto"/>
        </w:rPr>
      </w:pPr>
    </w:p>
    <w:p>
      <w:pPr>
        <w:ind w:left="120" w:right="160" w:firstLine="1428"/>
        <w:spacing w:after="0" w:line="282" w:lineRule="auto"/>
        <w:tabs>
          <w:tab w:leader="none" w:pos="1817"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A change in the effective control of the Company which occurs on the date that a majority of members of the Board is replaced during any twelve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hanging="4"/>
        <w:spacing w:after="0" w:line="266" w:lineRule="auto"/>
        <w:tabs>
          <w:tab w:leader="none" w:pos="4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53" w:lineRule="auto"/>
        <w:tabs>
          <w:tab w:leader="none" w:pos="186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0" w:lineRule="exact"/>
        <w:rPr>
          <w:sz w:val="20"/>
          <w:szCs w:val="20"/>
          <w:color w:val="auto"/>
        </w:rPr>
      </w:pPr>
    </w:p>
    <w:p>
      <w:pPr>
        <w:jc w:val="both"/>
        <w:ind w:left="120" w:right="4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left="120" w:right="280" w:firstLine="1983"/>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jc w:val="both"/>
        <w:ind w:left="120" w:right="20" w:firstLine="1983"/>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120" w:right="20" w:firstLine="1428"/>
        <w:spacing w:after="0" w:line="266" w:lineRule="auto"/>
        <w:tabs>
          <w:tab w:leader="none" w:pos="18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Any reference to a section of the Code or regulation thereunder will include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120" w:right="220" w:firstLine="1428"/>
        <w:spacing w:after="0" w:line="282" w:lineRule="auto"/>
        <w:tabs>
          <w:tab w:leader="none" w:pos="18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ORIC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120" w:firstLine="1428"/>
        <w:spacing w:after="0" w:line="258" w:lineRule="auto"/>
        <w:tabs>
          <w:tab w:leader="none" w:pos="18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80"/>
          </w:cols>
          <w:pgMar w:left="320" w:top="482"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760" w:hanging="212"/>
        <w:spacing w:after="0"/>
        <w:tabs>
          <w:tab w:leader="none" w:pos="1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jc w:val="both"/>
        <w:ind w:left="120" w:firstLine="1428"/>
        <w:spacing w:after="0" w:line="266" w:lineRule="auto"/>
        <w:tabs>
          <w:tab w:leader="none" w:pos="18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jc w:val="both"/>
        <w:ind w:left="120" w:right="100" w:firstLine="1428"/>
        <w:spacing w:after="0" w:line="312" w:lineRule="auto"/>
        <w:tabs>
          <w:tab w:leader="none" w:pos="180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9" w:lineRule="exact"/>
        <w:rPr>
          <w:rFonts w:ascii="Times New Roman" w:cs="Times New Roman" w:eastAsia="Times New Roman" w:hAnsi="Times New Roman"/>
          <w:sz w:val="17"/>
          <w:szCs w:val="17"/>
          <w:color w:val="auto"/>
        </w:rPr>
      </w:pPr>
    </w:p>
    <w:p>
      <w:pPr>
        <w:ind w:left="1800" w:hanging="252"/>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61" w:lineRule="auto"/>
        <w:tabs>
          <w:tab w:leader="none" w:pos="18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The Administrator may not implement an Exchange Program under the Plan.</w:t>
      </w:r>
    </w:p>
    <w:p>
      <w:pPr>
        <w:spacing w:after="0" w:line="179"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jc w:val="both"/>
        <w:ind w:left="120" w:right="20" w:firstLine="1648"/>
        <w:spacing w:after="0" w:line="258" w:lineRule="auto"/>
        <w:tabs>
          <w:tab w:leader="none" w:pos="19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83" w:lineRule="exact"/>
        <w:rPr>
          <w:rFonts w:ascii="Times New Roman" w:cs="Times New Roman" w:eastAsia="Times New Roman" w:hAnsi="Times New Roman"/>
          <w:sz w:val="18"/>
          <w:szCs w:val="18"/>
          <w:color w:val="auto"/>
        </w:rPr>
      </w:pPr>
    </w:p>
    <w:p>
      <w:pPr>
        <w:jc w:val="both"/>
        <w:ind w:left="120" w:right="40" w:firstLine="1648"/>
        <w:spacing w:after="0" w:line="261" w:lineRule="auto"/>
        <w:tabs>
          <w:tab w:leader="none" w:pos="203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left="120" w:right="20" w:firstLine="1648"/>
        <w:spacing w:after="0" w:line="266" w:lineRule="auto"/>
        <w:tabs>
          <w:tab w:leader="none" w:pos="20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75" w:lineRule="exact"/>
        <w:rPr>
          <w:rFonts w:ascii="Times New Roman" w:cs="Times New Roman" w:eastAsia="Times New Roman" w:hAnsi="Times New Roman"/>
          <w:sz w:val="18"/>
          <w:szCs w:val="18"/>
          <w:color w:val="auto"/>
        </w:rPr>
      </w:pPr>
    </w:p>
    <w:p>
      <w:pPr>
        <w:ind w:left="2080" w:hanging="312"/>
        <w:spacing w:after="0"/>
        <w:tabs>
          <w:tab w:leader="none" w:pos="20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 the</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2" w:lineRule="exact"/>
        <w:rPr>
          <w:sz w:val="20"/>
          <w:szCs w:val="20"/>
          <w:color w:val="auto"/>
        </w:rPr>
      </w:pPr>
    </w:p>
    <w:p>
      <w:pPr>
        <w:ind w:left="1780" w:hanging="232"/>
        <w:spacing w:after="0"/>
        <w:tabs>
          <w:tab w:leader="none" w:pos="1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left="120" w:right="360" w:firstLine="1428"/>
        <w:spacing w:after="0" w:line="282" w:lineRule="auto"/>
        <w:tabs>
          <w:tab w:leader="none" w:pos="17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and actually qualifies, as an incentive stock option within the meaning of Section 422 of the Code and the regulations promulgated thereunder.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760" w:hanging="212"/>
        <w:spacing w:after="0"/>
        <w:tabs>
          <w:tab w:leader="none" w:pos="1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Option.</w:t>
      </w:r>
    </w:p>
    <w:p>
      <w:pPr>
        <w:spacing w:after="0" w:line="207" w:lineRule="exact"/>
        <w:rPr>
          <w:sz w:val="20"/>
          <w:szCs w:val="20"/>
          <w:color w:val="auto"/>
        </w:rPr>
      </w:pPr>
    </w:p>
    <w:p>
      <w:pPr>
        <w:ind w:left="120" w:firstLine="1428"/>
        <w:spacing w:after="0" w:line="282" w:lineRule="auto"/>
        <w:tabs>
          <w:tab w:leader="none" w:pos="18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840" w:hanging="292"/>
        <w:spacing w:after="0"/>
        <w:tabs>
          <w:tab w:leader="none" w:pos="1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left="120" w:right="340" w:firstLine="1428"/>
        <w:spacing w:after="0" w:line="282" w:lineRule="auto"/>
        <w:tabs>
          <w:tab w:leader="none" w:pos="18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1" w:lineRule="exact"/>
        <w:rPr>
          <w:rFonts w:ascii="Times New Roman" w:cs="Times New Roman" w:eastAsia="Times New Roman" w:hAnsi="Times New Roman"/>
          <w:sz w:val="18"/>
          <w:szCs w:val="18"/>
          <w:color w:val="auto"/>
        </w:rPr>
      </w:pPr>
    </w:p>
    <w:p>
      <w:pPr>
        <w:ind w:left="120" w:right="540" w:firstLine="1428"/>
        <w:spacing w:after="0" w:line="266" w:lineRule="auto"/>
        <w:tabs>
          <w:tab w:leader="none" w:pos="18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5" w:lineRule="exact"/>
        <w:rPr>
          <w:rFonts w:ascii="Times New Roman" w:cs="Times New Roman" w:eastAsia="Times New Roman" w:hAnsi="Times New Roman"/>
          <w:sz w:val="18"/>
          <w:szCs w:val="18"/>
          <w:color w:val="auto"/>
        </w:rPr>
      </w:pPr>
    </w:p>
    <w:p>
      <w:pPr>
        <w:ind w:left="120" w:right="620" w:firstLine="1428"/>
        <w:spacing w:after="0" w:line="266" w:lineRule="auto"/>
        <w:tabs>
          <w:tab w:leader="none" w:pos="18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ORIC Pharmaceuticals, Inc. 2020 Equity Incentive Plan.</w:t>
      </w:r>
    </w:p>
    <w:p>
      <w:pPr>
        <w:spacing w:after="0" w:line="225" w:lineRule="exact"/>
        <w:rPr>
          <w:rFonts w:ascii="Times New Roman" w:cs="Times New Roman" w:eastAsia="Times New Roman" w:hAnsi="Times New Roman"/>
          <w:sz w:val="18"/>
          <w:szCs w:val="18"/>
          <w:color w:val="auto"/>
        </w:rPr>
      </w:pPr>
    </w:p>
    <w:p>
      <w:pPr>
        <w:ind w:left="120" w:right="500" w:firstLine="1428"/>
        <w:spacing w:after="0" w:line="282" w:lineRule="auto"/>
        <w:tabs>
          <w:tab w:leader="none" w:pos="18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61" w:lineRule="exact"/>
        <w:rPr>
          <w:rFonts w:ascii="Times New Roman" w:cs="Times New Roman" w:eastAsia="Times New Roman" w:hAnsi="Times New Roman"/>
          <w:sz w:val="18"/>
          <w:szCs w:val="18"/>
          <w:color w:val="auto"/>
        </w:rPr>
      </w:pPr>
    </w:p>
    <w:p>
      <w:pPr>
        <w:ind w:left="120" w:right="60" w:firstLine="1428"/>
        <w:spacing w:after="0" w:line="282" w:lineRule="auto"/>
        <w:tabs>
          <w:tab w:leader="none" w:pos="18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left="120" w:right="420" w:firstLine="1428"/>
        <w:spacing w:after="0" w:line="282" w:lineRule="auto"/>
        <w:tabs>
          <w:tab w:leader="none" w:pos="18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left="120" w:right="340" w:firstLine="1428"/>
        <w:spacing w:after="0" w:line="282" w:lineRule="auto"/>
        <w:tabs>
          <w:tab w:leader="none" w:pos="18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jc w:val="both"/>
        <w:ind w:left="120" w:right="100" w:firstLine="1428"/>
        <w:spacing w:after="0" w:line="266" w:lineRule="auto"/>
        <w:tabs>
          <w:tab w:leader="none" w:pos="18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Section 409A of the Code, as it has been and may be amended from time to time, and any proposed or final Treasury Regulations and Internal Revenue Service guidance that has been promulgated or may be promulgated thereunder from time to time, or any state law equivalent.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320" w:top="482" w:right="5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900" w:hanging="352"/>
        <w:spacing w:after="0"/>
        <w:tabs>
          <w:tab w:leader="none" w:pos="19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of the Plan.</w:t>
      </w:r>
    </w:p>
    <w:p>
      <w:pPr>
        <w:spacing w:after="0" w:line="225" w:lineRule="exact"/>
        <w:rPr>
          <w:rFonts w:ascii="Times New Roman" w:cs="Times New Roman" w:eastAsia="Times New Roman" w:hAnsi="Times New Roman"/>
          <w:sz w:val="18"/>
          <w:szCs w:val="18"/>
          <w:color w:val="auto"/>
        </w:rPr>
      </w:pPr>
    </w:p>
    <w:p>
      <w:pPr>
        <w:ind w:left="120" w:right="480" w:firstLine="1428"/>
        <w:spacing w:after="0" w:line="282" w:lineRule="auto"/>
        <w:tabs>
          <w:tab w:leader="none" w:pos="189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1"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89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is open for trading.</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79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14 of the Plan and the automatic increase set forth in Section 3(b), the maximum aggregate number of Shares that may be issued under the Plan is 2,656,500 Shares, plus (i) any Shares that, as of the Trading Day immediately prior to the Registration Date, have been reserved but not issued pursuant to any awards granted under the 2014 Equity Incentive Plan, as amended (the “Existing Plan”) and are not subject to any awards thereunder, plus (ii) any Shares subject to awards granted under the Existing Plan that, on or after the Registration Date, expire or otherwise terminate without having been exercised or issued in full, are tendered to or withheld by the Company for payment of an exercise price or for tax withholding obligations, or are forfeited to or repurchased by the Company due to failure to vest, with the maximum number of Shares to be added to the Plan pursuant to the foregoing clauses (i) and (ii) equal to 3,000,000 Shares. In addition, Shares may become available for issuance under the Plan pursuant to Sections 3(b) and 3(c). The Shares may be authorized, but unissued, or reacquired Common Stock.</w:t>
      </w:r>
    </w:p>
    <w:p>
      <w:pPr>
        <w:spacing w:after="0" w:line="188" w:lineRule="exact"/>
        <w:rPr>
          <w:rFonts w:ascii="Times New Roman" w:cs="Times New Roman" w:eastAsia="Times New Roman" w:hAnsi="Times New Roman"/>
          <w:sz w:val="18"/>
          <w:szCs w:val="18"/>
          <w:color w:val="auto"/>
        </w:rPr>
      </w:pPr>
    </w:p>
    <w:p>
      <w:pPr>
        <w:ind w:left="120" w:right="340" w:firstLine="1428"/>
        <w:spacing w:after="0" w:line="276" w:lineRule="auto"/>
        <w:tabs>
          <w:tab w:leader="none" w:pos="1807"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Share Reserve Increase</w:t>
      </w:r>
      <w:r>
        <w:rPr>
          <w:rFonts w:ascii="Times New Roman" w:cs="Times New Roman" w:eastAsia="Times New Roman" w:hAnsi="Times New Roman"/>
          <w:sz w:val="17"/>
          <w:szCs w:val="17"/>
          <w:color w:val="auto"/>
        </w:rPr>
        <w:t>. Subject to the provisions of Section 14 of the Plan, the number of Shares available for issuance under the Plan will be increased on the first day of each Fiscal Year beginning with the 2021 Fiscal Year, in an amount equal to the least of</w:t>
      </w:r>
    </w:p>
    <w:p>
      <w:pPr>
        <w:ind w:left="120" w:right="60" w:hanging="4"/>
        <w:spacing w:after="0" w:line="253" w:lineRule="auto"/>
        <w:tabs>
          <w:tab w:leader="none" w:pos="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Fiscal Years beginning prior to the 2027 Fiscal Year, the least of (1) 2,656,500 Shares, and (2) five percent (5%) of the outstanding Shares on the last day of the immediately preceding Fiscal Year; (B) beginning with the 2027 Fiscal Year, four percent (4%) of the outstanding Shares on the last day of the immediately preceding Fiscal Year, or (ii) such number of Shares determined by the Administrator no later than the last day of the immediately preceding Fiscal Year.</w:t>
      </w:r>
    </w:p>
    <w:p>
      <w:pPr>
        <w:spacing w:after="0" w:line="188" w:lineRule="exact"/>
        <w:rPr>
          <w:rFonts w:ascii="Times New Roman" w:cs="Times New Roman" w:eastAsia="Times New Roman" w:hAnsi="Times New Roman"/>
          <w:sz w:val="18"/>
          <w:szCs w:val="18"/>
          <w:color w:val="auto"/>
        </w:rPr>
      </w:pPr>
    </w:p>
    <w:p>
      <w:pPr>
        <w:ind w:left="120" w:firstLine="1428"/>
        <w:spacing w:after="0" w:line="253" w:lineRule="auto"/>
        <w:tabs>
          <w:tab w:leader="none" w:pos="179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of an Award or to satisfy the tax withholding obligations related to an Award will become available for future grant or sale under the Plan. To the extent an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Award under the Plan is paid out in cash rather than Shares, the cash payment will not result in reducing the number of Shares available for issuance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Plan. Notwithstanding the foregoing and, subject to adjustment as provided in Section 14, the maximum number of Shares that may be issued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the exercise of Incentive Stock Options will equal the aggregate Share number stated in Section 3(a), plus, to the extent allowable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422 of the Code and the Treasury Regulations promulgated thereunder, any Shares that become available for issuance under the Plan pursuant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Sections 3(b) and 3(c).</w:t>
      </w:r>
    </w:p>
    <w:p>
      <w:pPr>
        <w:spacing w:after="0" w:line="207" w:lineRule="exact"/>
        <w:rPr>
          <w:sz w:val="20"/>
          <w:szCs w:val="20"/>
          <w:color w:val="auto"/>
        </w:rPr>
      </w:pPr>
    </w:p>
    <w:p>
      <w:pPr>
        <w:ind w:left="120" w:right="580" w:firstLine="1428"/>
        <w:spacing w:after="0" w:line="282" w:lineRule="auto"/>
        <w:tabs>
          <w:tab w:leader="none" w:pos="180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Limit</w:t>
      </w:r>
      <w:r>
        <w:rPr>
          <w:rFonts w:ascii="Times New Roman" w:cs="Times New Roman" w:eastAsia="Times New Roman" w:hAnsi="Times New Roman"/>
          <w:sz w:val="18"/>
          <w:szCs w:val="18"/>
          <w:color w:val="auto"/>
        </w:rPr>
        <w:t>. Subject to the foregoing limits and to adjustment as provided in Section 14 of the Plan, the aggregate maximum number of Shares that may be issued pursuant to the exercise of Incentive Stock Options shall be 10,000,000 Shares.</w:t>
      </w:r>
    </w:p>
    <w:p>
      <w:pPr>
        <w:spacing w:after="0" w:line="161"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79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at all times during the term of this Plan, will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212"/>
        <w:spacing w:after="0"/>
        <w:tabs>
          <w:tab w:leader="none" w:pos="19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left="120" w:right="840" w:firstLine="1648"/>
        <w:spacing w:after="0" w:line="282" w:lineRule="auto"/>
        <w:tabs>
          <w:tab w:leader="none" w:pos="203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120" w:right="320" w:firstLine="1648"/>
        <w:spacing w:after="0" w:line="282" w:lineRule="auto"/>
        <w:tabs>
          <w:tab w:leader="none" w:pos="208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80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the specific duties delegated by the Board to such Committee, the Administrator will have the authority, in its discretion, to:</w:t>
      </w:r>
    </w:p>
    <w:p>
      <w:pPr>
        <w:spacing w:after="0" w:line="161" w:lineRule="exact"/>
        <w:rPr>
          <w:rFonts w:ascii="Times New Roman" w:cs="Times New Roman" w:eastAsia="Times New Roman" w:hAnsi="Times New Roman"/>
          <w:sz w:val="18"/>
          <w:szCs w:val="18"/>
          <w:color w:val="auto"/>
        </w:rPr>
      </w:pPr>
    </w:p>
    <w:p>
      <w:pPr>
        <w:ind w:left="1980" w:hanging="212"/>
        <w:spacing w:after="0"/>
        <w:tabs>
          <w:tab w:leader="none" w:pos="19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w:t>
      </w:r>
    </w:p>
    <w:p>
      <w:pPr>
        <w:spacing w:after="0" w:line="225" w:lineRule="exact"/>
        <w:rPr>
          <w:rFonts w:ascii="Times New Roman" w:cs="Times New Roman" w:eastAsia="Times New Roman" w:hAnsi="Times New Roman"/>
          <w:sz w:val="18"/>
          <w:szCs w:val="18"/>
          <w:color w:val="auto"/>
        </w:rPr>
      </w:pPr>
    </w:p>
    <w:p>
      <w:pPr>
        <w:ind w:left="2040" w:hanging="272"/>
        <w:spacing w:after="0"/>
        <w:tabs>
          <w:tab w:leader="none" w:pos="204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2080" w:hanging="312"/>
        <w:spacing w:after="0"/>
        <w:tabs>
          <w:tab w:leader="none" w:pos="20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2080" w:hanging="312"/>
        <w:spacing w:after="0"/>
        <w:tabs>
          <w:tab w:leader="none" w:pos="20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forms of Award Agreement for use under the Plan;</w:t>
      </w:r>
    </w:p>
    <w:p>
      <w:pPr>
        <w:spacing w:after="0" w:line="225" w:lineRule="exact"/>
        <w:rPr>
          <w:rFonts w:ascii="Times New Roman" w:cs="Times New Roman" w:eastAsia="Times New Roman" w:hAnsi="Times New Roman"/>
          <w:sz w:val="18"/>
          <w:szCs w:val="18"/>
          <w:color w:val="auto"/>
        </w:rPr>
      </w:pPr>
    </w:p>
    <w:p>
      <w:pPr>
        <w:ind w:left="120" w:firstLine="1648"/>
        <w:spacing w:after="0" w:line="261" w:lineRule="auto"/>
        <w:tabs>
          <w:tab w:leader="none" w:pos="202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120" w:right="140" w:firstLine="1648"/>
        <w:spacing w:after="0" w:line="282" w:lineRule="auto"/>
        <w:tabs>
          <w:tab w:leader="none" w:pos="207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61" w:lineRule="exact"/>
        <w:rPr>
          <w:rFonts w:ascii="Times New Roman" w:cs="Times New Roman" w:eastAsia="Times New Roman" w:hAnsi="Times New Roman"/>
          <w:sz w:val="18"/>
          <w:szCs w:val="18"/>
          <w:color w:val="auto"/>
        </w:rPr>
      </w:pPr>
    </w:p>
    <w:p>
      <w:pPr>
        <w:ind w:left="2120" w:hanging="352"/>
        <w:spacing w:after="0"/>
        <w:tabs>
          <w:tab w:leader="none" w:pos="212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Plan and Awards granted under the Plan;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1648"/>
        <w:spacing w:after="0" w:line="266" w:lineRule="auto"/>
        <w:tabs>
          <w:tab w:leader="none" w:pos="2177"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amend each Award (subject to Section 19(c) of the Plan), including without limitation the discretionary authority to extend the post-termination exercisability period of Awards; provided, however, that in no event will the term of an Option or Stock Appreciation Right be extended beyond its original maximum term;</w:t>
      </w:r>
    </w:p>
    <w:p>
      <w:pPr>
        <w:spacing w:after="0" w:line="175" w:lineRule="exact"/>
        <w:rPr>
          <w:rFonts w:ascii="Times New Roman" w:cs="Times New Roman" w:eastAsia="Times New Roman" w:hAnsi="Times New Roman"/>
          <w:sz w:val="18"/>
          <w:szCs w:val="18"/>
          <w:color w:val="auto"/>
        </w:rPr>
      </w:pPr>
    </w:p>
    <w:p>
      <w:pPr>
        <w:ind w:left="2080" w:hanging="312"/>
        <w:spacing w:after="0"/>
        <w:tabs>
          <w:tab w:leader="none" w:pos="2080"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Participants to satisfy tax withholding obligations in a manner prescribed in Section 15 of the Plan;</w:t>
      </w:r>
    </w:p>
    <w:p>
      <w:pPr>
        <w:spacing w:after="0" w:line="225" w:lineRule="exact"/>
        <w:rPr>
          <w:rFonts w:ascii="Times New Roman" w:cs="Times New Roman" w:eastAsia="Times New Roman" w:hAnsi="Times New Roman"/>
          <w:sz w:val="18"/>
          <w:szCs w:val="18"/>
          <w:color w:val="auto"/>
        </w:rPr>
      </w:pPr>
    </w:p>
    <w:p>
      <w:pPr>
        <w:ind w:left="120" w:right="80" w:firstLine="1648"/>
        <w:spacing w:after="0" w:line="282" w:lineRule="auto"/>
        <w:tabs>
          <w:tab w:leader="none" w:pos="2027"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120" w:right="840" w:firstLine="1648"/>
        <w:spacing w:after="0" w:line="282" w:lineRule="auto"/>
        <w:tabs>
          <w:tab w:leader="none" w:pos="2077"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 the exercisability of an Award if the Administrator deems such suspension to be necessary or appropriate for administrative purposes;</w:t>
      </w:r>
    </w:p>
    <w:p>
      <w:pPr>
        <w:spacing w:after="0" w:line="161" w:lineRule="exact"/>
        <w:rPr>
          <w:rFonts w:ascii="Times New Roman" w:cs="Times New Roman" w:eastAsia="Times New Roman" w:hAnsi="Times New Roman"/>
          <w:sz w:val="18"/>
          <w:szCs w:val="18"/>
          <w:color w:val="auto"/>
        </w:rPr>
      </w:pPr>
    </w:p>
    <w:p>
      <w:pPr>
        <w:ind w:left="120" w:right="220" w:firstLine="1648"/>
        <w:spacing w:after="0" w:line="282" w:lineRule="auto"/>
        <w:tabs>
          <w:tab w:leader="none" w:pos="2127"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a Participant to defer the receipt of the payment of cash or the delivery of Shares that otherwise would be due to the Participant under an Award; and</w:t>
      </w:r>
    </w:p>
    <w:p>
      <w:pPr>
        <w:spacing w:after="0" w:line="161" w:lineRule="exact"/>
        <w:rPr>
          <w:rFonts w:ascii="Times New Roman" w:cs="Times New Roman" w:eastAsia="Times New Roman" w:hAnsi="Times New Roman"/>
          <w:sz w:val="18"/>
          <w:szCs w:val="18"/>
          <w:color w:val="auto"/>
        </w:rPr>
      </w:pPr>
    </w:p>
    <w:p>
      <w:pPr>
        <w:ind w:left="2180" w:hanging="412"/>
        <w:spacing w:after="0"/>
        <w:tabs>
          <w:tab w:leader="none" w:pos="2180" w:val="left"/>
        </w:tabs>
        <w:numPr>
          <w:ilvl w:val="3"/>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120" w:right="200" w:firstLine="1208"/>
        <w:spacing w:after="0" w:line="282" w:lineRule="auto"/>
        <w:tabs>
          <w:tab w:leader="none" w:pos="157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&amp;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500" w:firstLine="1428"/>
        <w:spacing w:after="0" w:line="282" w:lineRule="auto"/>
        <w:tabs>
          <w:tab w:leader="none" w:pos="179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6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Exchange Program</w:t>
      </w:r>
      <w:r>
        <w:rPr>
          <w:rFonts w:ascii="Times New Roman" w:cs="Times New Roman" w:eastAsia="Times New Roman" w:hAnsi="Times New Roman"/>
          <w:sz w:val="18"/>
          <w:szCs w:val="18"/>
          <w:color w:val="auto"/>
        </w:rPr>
        <w:t>. The Administrator may not implement an Exchange Program.</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0" w:firstLine="1428"/>
        <w:spacing w:after="0" w:line="282" w:lineRule="auto"/>
        <w:tabs>
          <w:tab w:leader="none" w:pos="179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left="120" w:right="220" w:firstLine="1428"/>
        <w:spacing w:after="0" w:line="266" w:lineRule="auto"/>
        <w:tabs>
          <w:tab w:leader="none" w:pos="180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Agreement</w:t>
      </w:r>
      <w:r>
        <w:rPr>
          <w:rFonts w:ascii="Times New Roman" w:cs="Times New Roman" w:eastAsia="Times New Roman" w:hAnsi="Times New Roman"/>
          <w:sz w:val="18"/>
          <w:szCs w:val="18"/>
          <w:color w:val="auto"/>
        </w:rPr>
        <w:t>. Each Award of an Option will be evidenced by an Award Agreement that will specify the exercise price, the number of Shares subject to the Option, the exercise restrictions, if any, applicable to the Option,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left="120" w:firstLine="1428"/>
        <w:spacing w:after="0" w:line="256" w:lineRule="auto"/>
        <w:tabs>
          <w:tab w:leader="none" w:pos="179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spacing w:after="0" w:line="187"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80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0" w:lineRule="exact"/>
        <w:rPr>
          <w:sz w:val="20"/>
          <w:szCs w:val="20"/>
          <w:color w:val="auto"/>
        </w:rPr>
      </w:pPr>
    </w:p>
    <w:p>
      <w:pPr>
        <w:ind w:left="1800" w:hanging="252"/>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648"/>
        <w:spacing w:after="0" w:line="282" w:lineRule="auto"/>
        <w:tabs>
          <w:tab w:leader="none" w:pos="19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161"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ind w:left="120" w:firstLine="2199"/>
        <w:spacing w:after="0" w:line="266" w:lineRule="auto"/>
        <w:tabs>
          <w:tab w:leader="none" w:pos="2618"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5" w:lineRule="exact"/>
        <w:rPr>
          <w:rFonts w:ascii="Times New Roman" w:cs="Times New Roman" w:eastAsia="Times New Roman" w:hAnsi="Times New Roman"/>
          <w:sz w:val="18"/>
          <w:szCs w:val="18"/>
          <w:color w:val="auto"/>
        </w:rPr>
      </w:pPr>
    </w:p>
    <w:p>
      <w:pPr>
        <w:ind w:left="120" w:right="520" w:firstLine="2199"/>
        <w:spacing w:after="0" w:line="282" w:lineRule="auto"/>
        <w:tabs>
          <w:tab w:leader="none" w:pos="2608"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62" w:lineRule="exact"/>
        <w:rPr>
          <w:sz w:val="20"/>
          <w:szCs w:val="20"/>
          <w:color w:val="auto"/>
        </w:rPr>
      </w:pPr>
    </w:p>
    <w:p>
      <w:pPr>
        <w:ind w:left="120" w:right="220" w:firstLine="1648"/>
        <w:spacing w:after="0" w:line="282" w:lineRule="auto"/>
        <w:tabs>
          <w:tab w:leader="none" w:pos="202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20" w:right="40" w:firstLine="1648"/>
        <w:spacing w:after="0" w:line="266" w:lineRule="auto"/>
        <w:tabs>
          <w:tab w:leader="none" w:pos="2027"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5" w:lineRule="exact"/>
        <w:rPr>
          <w:rFonts w:ascii="Times New Roman" w:cs="Times New Roman" w:eastAsia="Times New Roman" w:hAnsi="Times New Roman"/>
          <w:sz w:val="18"/>
          <w:szCs w:val="18"/>
          <w:color w:val="auto"/>
        </w:rPr>
      </w:pPr>
    </w:p>
    <w:p>
      <w:pPr>
        <w:ind w:left="120" w:right="440" w:firstLine="1428"/>
        <w:spacing w:after="0" w:line="282" w:lineRule="auto"/>
        <w:tabs>
          <w:tab w:leader="none" w:pos="181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72" w:lineRule="auto"/>
        <w:tabs>
          <w:tab w:leader="none" w:pos="186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98"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1428"/>
        <w:spacing w:after="0" w:line="266" w:lineRule="auto"/>
        <w:tabs>
          <w:tab w:leader="none" w:pos="17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1652"/>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8" w:lineRule="exact"/>
        <w:rPr>
          <w:sz w:val="20"/>
          <w:szCs w:val="20"/>
          <w:color w:val="auto"/>
        </w:rPr>
      </w:pPr>
    </w:p>
    <w:p>
      <w:pPr>
        <w:ind w:left="120" w:right="26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left="120" w:firstLine="1428"/>
        <w:spacing w:after="0" w:line="254" w:lineRule="auto"/>
        <w:tabs>
          <w:tab w:leader="none" w:pos="18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twelve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40" w:lineRule="exact"/>
        <w:rPr>
          <w:sz w:val="20"/>
          <w:szCs w:val="20"/>
          <w:color w:val="auto"/>
        </w:rPr>
      </w:pPr>
    </w:p>
    <w:p>
      <w:pPr>
        <w:ind w:left="1800" w:hanging="252"/>
        <w:spacing w:after="0"/>
        <w:tabs>
          <w:tab w:leader="none" w:pos="1800"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117" w:lineRule="exact"/>
        <w:rPr>
          <w:rFonts w:ascii="Times New Roman" w:cs="Times New Roman" w:eastAsia="Times New Roman" w:hAnsi="Times New Roman"/>
          <w:sz w:val="18"/>
          <w:szCs w:val="18"/>
          <w:color w:val="auto"/>
        </w:rPr>
      </w:pPr>
    </w:p>
    <w:p>
      <w:pPr>
        <w:ind w:left="120" w:right="80" w:firstLine="1979"/>
        <w:spacing w:after="0" w:line="230" w:lineRule="auto"/>
        <w:tabs>
          <w:tab w:leader="none" w:pos="2358" w:val="left"/>
        </w:tabs>
        <w:numPr>
          <w:ilvl w:val="4"/>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98" w:lineRule="exact"/>
        <w:rPr>
          <w:rFonts w:ascii="Times New Roman" w:cs="Times New Roman" w:eastAsia="Times New Roman" w:hAnsi="Times New Roman"/>
          <w:sz w:val="18"/>
          <w:szCs w:val="18"/>
          <w:color w:val="auto"/>
        </w:rPr>
      </w:pPr>
    </w:p>
    <w:p>
      <w:pPr>
        <w:ind w:left="120" w:firstLine="1979"/>
        <w:spacing w:after="0" w:line="272" w:lineRule="auto"/>
        <w:tabs>
          <w:tab w:leader="none" w:pos="2358" w:val="left"/>
        </w:tabs>
        <w:numPr>
          <w:ilvl w:val="4"/>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w:t>
      </w:r>
    </w:p>
    <w:p>
      <w:pPr>
        <w:spacing w:after="0" w:line="1" w:lineRule="exact"/>
        <w:rPr>
          <w:rFonts w:ascii="Times New Roman" w:cs="Times New Roman" w:eastAsia="Times New Roman" w:hAnsi="Times New Roman"/>
          <w:sz w:val="17"/>
          <w:szCs w:val="17"/>
          <w:color w:val="auto"/>
        </w:rPr>
      </w:pPr>
    </w:p>
    <w:p>
      <w:pPr>
        <w:ind w:left="120" w:right="240" w:hanging="4"/>
        <w:spacing w:after="0" w:line="260" w:lineRule="auto"/>
        <w:tabs>
          <w:tab w:leader="none" w:pos="4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18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5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left="120" w:firstLine="987"/>
        <w:spacing w:after="0" w:line="289" w:lineRule="auto"/>
        <w:tabs>
          <w:tab w:leader="none" w:pos="1366"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any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7" w:lineRule="exact"/>
        <w:rPr>
          <w:rFonts w:ascii="Times New Roman" w:cs="Times New Roman" w:eastAsia="Times New Roman" w:hAnsi="Times New Roman"/>
          <w:sz w:val="17"/>
          <w:szCs w:val="17"/>
          <w:color w:val="auto"/>
        </w:rPr>
      </w:pPr>
    </w:p>
    <w:p>
      <w:pPr>
        <w:ind w:left="120" w:right="100" w:firstLine="987"/>
        <w:spacing w:after="0" w:line="282" w:lineRule="auto"/>
        <w:tabs>
          <w:tab w:leader="none" w:pos="135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any applicable Period of Restriction.</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6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left="120" w:right="160" w:firstLine="987"/>
        <w:spacing w:after="0" w:line="261" w:lineRule="auto"/>
        <w:tabs>
          <w:tab w:leader="none" w:pos="135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w:t>
      </w:r>
    </w:p>
    <w:p>
      <w:pPr>
        <w:spacing w:after="0" w:line="179"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3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any applicable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312" w:lineRule="auto"/>
        <w:tabs>
          <w:tab w:leader="none" w:pos="1366"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Other Distributions</w:t>
      </w:r>
      <w:r>
        <w:rPr>
          <w:rFonts w:ascii="Times New Roman" w:cs="Times New Roman" w:eastAsia="Times New Roman" w:hAnsi="Times New Roman"/>
          <w:sz w:val="17"/>
          <w:szCs w:val="17"/>
          <w:color w:val="auto"/>
        </w:rPr>
        <w:t>. During any applicable Period of Restriction, Service Providers holding Shares of Restricted Stock will not be entitled to receive all dividends and other distributions paid with respect to such Shares, unless the Administrator provides otherwise.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82" w:lineRule="auto"/>
        <w:tabs>
          <w:tab w:leader="none" w:pos="136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0" w:firstLine="987"/>
        <w:spacing w:after="0" w:line="266" w:lineRule="auto"/>
        <w:tabs>
          <w:tab w:leader="none" w:pos="135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35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w:t>
      </w:r>
    </w:p>
    <w:p>
      <w:pPr>
        <w:spacing w:after="0" w:line="27"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date(s) determined by the Administrator and set forth in the Award Agreement. The Administrator, in its sole discretion, may settle earned Restricted Stock Units only in cash, Shares, or a combination of both.</w:t>
      </w:r>
    </w:p>
    <w:p>
      <w:pPr>
        <w:spacing w:after="0" w:line="181" w:lineRule="exact"/>
        <w:rPr>
          <w:sz w:val="20"/>
          <w:szCs w:val="20"/>
          <w:color w:val="auto"/>
        </w:rPr>
      </w:pPr>
    </w:p>
    <w:p>
      <w:pPr>
        <w:ind w:left="1360" w:hanging="253"/>
        <w:spacing w:after="0"/>
        <w:tabs>
          <w:tab w:leader="none" w:pos="13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1" w:lineRule="exact"/>
        <w:rPr>
          <w:rFonts w:ascii="Times New Roman" w:cs="Times New Roman" w:eastAsia="Times New Roman" w:hAnsi="Times New Roman"/>
          <w:sz w:val="18"/>
          <w:szCs w:val="18"/>
          <w:color w:val="auto"/>
        </w:rPr>
      </w:pPr>
    </w:p>
    <w:p>
      <w:pPr>
        <w:jc w:val="both"/>
        <w:ind w:left="120" w:right="160" w:firstLine="987"/>
        <w:spacing w:after="0" w:line="261" w:lineRule="auto"/>
        <w:tabs>
          <w:tab w:leader="none" w:pos="13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as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987"/>
        <w:spacing w:after="0" w:line="282" w:lineRule="auto"/>
        <w:tabs>
          <w:tab w:leader="none" w:pos="13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as the product of:</w:t>
      </w:r>
    </w:p>
    <w:p>
      <w:pPr>
        <w:spacing w:after="0" w:line="161" w:lineRule="exact"/>
        <w:rPr>
          <w:rFonts w:ascii="Times New Roman" w:cs="Times New Roman" w:eastAsia="Times New Roman" w:hAnsi="Times New Roman"/>
          <w:sz w:val="18"/>
          <w:szCs w:val="18"/>
          <w:color w:val="auto"/>
        </w:rPr>
      </w:pPr>
    </w:p>
    <w:p>
      <w:pPr>
        <w:ind w:left="2320" w:hanging="221"/>
        <w:spacing w:after="0"/>
        <w:tabs>
          <w:tab w:leader="none" w:pos="23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and</w:t>
      </w:r>
    </w:p>
    <w:p>
      <w:pPr>
        <w:spacing w:after="0" w:line="225"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exercise of a Stock Appreciation Right may be in cash, in Shares of equivalent value, or in some combination of both.</w:t>
      </w:r>
    </w:p>
    <w:p>
      <w:pPr>
        <w:spacing w:after="0" w:line="162" w:lineRule="exact"/>
        <w:rPr>
          <w:sz w:val="20"/>
          <w:szCs w:val="20"/>
          <w:color w:val="auto"/>
        </w:rPr>
      </w:pPr>
    </w:p>
    <w:p>
      <w:pPr>
        <w:ind w:left="820" w:hanging="264"/>
        <w:spacing w:after="0"/>
        <w:tabs>
          <w:tab w:leader="none" w:pos="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5"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9"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Award Limitations</w:t>
      </w:r>
      <w:r>
        <w:rPr>
          <w:rFonts w:ascii="Times New Roman" w:cs="Times New Roman" w:eastAsia="Times New Roman" w:hAnsi="Times New Roman"/>
          <w:sz w:val="18"/>
          <w:szCs w:val="18"/>
          <w:color w:val="auto"/>
        </w:rPr>
        <w:t>. No Outside Director may be paid, issued, or granted, in any Fiscal Year, equity awards (including any Awards issued under this Plan) with an aggregate value (the value of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will be based on their grant date fair value determined in accordance with U.S. generally accepted accounting principles) and any other compensation (including without limitation any cash retainers or fees) that, in the aggregate, exceed $500,000 increased to $750,000 for such Outside Director for the Fiscal Year in which he or she joins the Board as an Outside Director. Any Awards or other compensation paid or provided to an individual for his or her services as an Employee, or for his or her services as a Consultant (other than as an Outside Director), will not count for purposes of the limitation under this Section 11.</w:t>
      </w:r>
    </w:p>
    <w:p>
      <w:pPr>
        <w:spacing w:after="0" w:line="183" w:lineRule="exact"/>
        <w:rPr>
          <w:sz w:val="20"/>
          <w:szCs w:val="20"/>
          <w:color w:val="auto"/>
        </w:rPr>
      </w:pPr>
    </w:p>
    <w:p>
      <w:pPr>
        <w:ind w:left="120" w:right="100" w:firstLine="436"/>
        <w:spacing w:after="0" w:line="255" w:lineRule="auto"/>
        <w:tabs>
          <w:tab w:leader="none" w:pos="8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88"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spacing w:after="0" w:line="188"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70" w:lineRule="auto"/>
        <w:rPr>
          <w:sz w:val="20"/>
          <w:szCs w:val="20"/>
          <w:color w:val="auto"/>
        </w:rPr>
      </w:pPr>
      <w:r>
        <w:rPr>
          <w:rFonts w:ascii="Times New Roman" w:cs="Times New Roman" w:eastAsia="Times New Roman" w:hAnsi="Times New Roman"/>
          <w:sz w:val="17"/>
          <w:szCs w:val="17"/>
          <w:color w:val="auto"/>
        </w:rPr>
        <w:t>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Section 14(c), the Administrator will not be obligated to treat all Awards, all Awards held by a Participant, all Awards of the same type, or all portions of Awards, similarly.</w:t>
      </w:r>
    </w:p>
    <w:p>
      <w:pPr>
        <w:spacing w:after="0" w:line="181"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92"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subsection (c)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3"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subsection (c)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56" w:lineRule="auto"/>
        <w:tabs>
          <w:tab w:leader="none" w:pos="136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With respect to Awards granted to an Outside Director, in the event of a Change in Control, the Participant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w:t>
      </w:r>
    </w:p>
    <w:p>
      <w:pPr>
        <w:spacing w:after="0" w:line="18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58" w:lineRule="auto"/>
        <w:tabs>
          <w:tab w:leader="none" w:pos="135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U.S. federal, state, and local, non-U.S., and other taxes (including the Participant’s FICA obligation) required to be withheld with respect to such Award (or exercise thereof).</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2" w:lineRule="auto"/>
        <w:tabs>
          <w:tab w:leader="none" w:pos="136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withholding amount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97"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436"/>
        <w:spacing w:after="0" w:line="266" w:lineRule="auto"/>
        <w:tabs>
          <w:tab w:leader="none" w:pos="83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3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22 of the Plan, the Plan will become effective upon the later to occur of (i) its adoption by the Board or</w:t>
      </w:r>
    </w:p>
    <w:p>
      <w:pPr>
        <w:spacing w:after="0" w:line="27" w:lineRule="exact"/>
        <w:rPr>
          <w:rFonts w:ascii="Times New Roman" w:cs="Times New Roman" w:eastAsia="Times New Roman" w:hAnsi="Times New Roman"/>
          <w:sz w:val="18"/>
          <w:szCs w:val="18"/>
          <w:color w:val="auto"/>
        </w:rPr>
      </w:pPr>
    </w:p>
    <w:p>
      <w:pPr>
        <w:ind w:left="120" w:right="20" w:hanging="4"/>
        <w:spacing w:after="0" w:line="260" w:lineRule="auto"/>
        <w:tabs>
          <w:tab w:leader="none" w:pos="3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prior to the Registration Date. It will continue in effect for a term of ten (10) years from the date adopted by the Board, unless terminated earlier under Section 19 of the Plan.</w:t>
      </w:r>
    </w:p>
    <w:p>
      <w:pPr>
        <w:spacing w:after="0" w:line="18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at any time, may amend, alter, suspend or terminate the Plan.</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5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3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3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82"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3" w:lineRule="auto"/>
        <w:tabs>
          <w:tab w:leader="none" w:pos="83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will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lvl w:ilvl="1">
      <w:lvlJc w:val="left"/>
      <w:lvlText w:val="(%2)"/>
      <w:numFmt w:val="lowerRoman"/>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lvl w:ilvl="1">
      <w:lvlJc w:val="left"/>
      <w:lvlText w:val="•"/>
      <w:numFmt w:val="bullet"/>
      <w:start w:val="1"/>
    </w:lvl>
  </w:abstractNum>
  <w:abstractNum w:abstractNumId="26">
    <w:nsid w:val="235BA861"/>
    <w:multiLevelType w:val="hybridMultilevel"/>
    <w:lvl w:ilvl="0">
      <w:lvlJc w:val="left"/>
      <w:lvlText w:val="•"/>
      <w:numFmt w:val="bullet"/>
      <w:start w:val="1"/>
    </w:lvl>
    <w:lvl w:ilvl="1">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upperLetter"/>
      <w:start w:val="1"/>
    </w:lvl>
  </w:abstractNum>
  <w:abstractNum w:abstractNumId="33">
    <w:nsid w:val="3F6AB60F"/>
    <w:multiLevelType w:val="hybridMultilevel"/>
    <w:lvl w:ilvl="0">
      <w:lvlJc w:val="left"/>
      <w:lvlText w:val="(%1)"/>
      <w:numFmt w:val="upperLetter"/>
      <w:start w:val="4"/>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2"/>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2"/>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2"/>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1)"/>
      <w:numFmt w:val="decimal"/>
      <w:start w:val="2"/>
    </w:lvl>
  </w:abstractNum>
  <w:abstractNum w:abstractNumId="46">
    <w:nsid w:val="5DB70AE5"/>
    <w:multiLevelType w:val="hybridMultilevel"/>
    <w:lvl w:ilvl="0">
      <w:lvlJc w:val="left"/>
      <w:lvlText w:val="(%1)"/>
      <w:numFmt w:val="decimal"/>
      <w:start w:val="4"/>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2"/>
    </w:lvl>
  </w:abstractNum>
  <w:abstractNum w:abstractNumId="51">
    <w:nsid w:val="98A3148"/>
    <w:multiLevelType w:val="hybridMultilevel"/>
    <w:lvl w:ilvl="0">
      <w:lvlJc w:val="left"/>
      <w:lvlText w:val="(%1)"/>
      <w:numFmt w:val="decimal"/>
      <w:start w:val="6"/>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lvl w:ilvl="1">
      <w:lvlJc w:val="left"/>
      <w:lvlText w:val="•"/>
      <w:numFmt w:val="bullet"/>
      <w:start w:val="1"/>
    </w:lvl>
  </w:abstractNum>
  <w:abstractNum w:abstractNumId="54">
    <w:nsid w:val="42C296B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55">
    <w:nsid w:val="168E121F"/>
    <w:multiLevelType w:val="hybridMultilevel"/>
    <w:lvl w:ilvl="0">
      <w:lvlJc w:val="left"/>
      <w:lvlText w:val="(%1)"/>
      <w:numFmt w:val="decimal"/>
      <w:start w:val="12"/>
    </w:lvl>
    <w:lvl w:ilvl="1">
      <w:lvlJc w:val="left"/>
      <w:lvlText w:val="(%2)"/>
      <w:numFmt w:val="lowerRoman"/>
      <w:start w:val="3"/>
    </w:lvl>
  </w:abstractNum>
  <w:abstractNum w:abstractNumId="56">
    <w:nsid w:val="1EBA5D23"/>
    <w:multiLevelType w:val="hybridMultilevel"/>
    <w:lvl w:ilvl="0">
      <w:lvlJc w:val="left"/>
      <w:lvlText w:val="(%1)"/>
      <w:numFmt w:val="lowerLetter"/>
      <w:start w:val="7"/>
    </w:lvl>
  </w:abstractNum>
  <w:abstractNum w:abstractNumId="57">
    <w:nsid w:val="661E3F1E"/>
    <w:multiLevelType w:val="hybridMultilevel"/>
    <w:lvl w:ilvl="0">
      <w:lvlJc w:val="left"/>
      <w:lvlText w:val="(%1)"/>
      <w:numFmt w:val="lowerLetter"/>
      <w:start w:val="12"/>
    </w:lvl>
    <w:lvl w:ilvl="1">
      <w:lvlJc w:val="left"/>
      <w:lvlText w:val="(%2)"/>
      <w:numFmt w:val="lowerRoman"/>
      <w:start w:val="1"/>
    </w:lvl>
  </w:abstractNum>
  <w:abstractNum w:abstractNumId="58">
    <w:nsid w:val="5DC79EA8"/>
    <w:multiLevelType w:val="hybridMultilevel"/>
    <w:lvl w:ilvl="0">
      <w:lvlJc w:val="left"/>
      <w:lvlText w:val="(%1)"/>
      <w:numFmt w:val="lowerLetter"/>
      <w:start w:val="18"/>
    </w:lvl>
  </w:abstractNum>
  <w:abstractNum w:abstractNumId="59">
    <w:nsid w:val="540A471C"/>
    <w:multiLevelType w:val="hybridMultilevel"/>
    <w:lvl w:ilvl="0">
      <w:lvlJc w:val="left"/>
      <w:lvlText w:val="(%1)"/>
      <w:numFmt w:val="lowerLetter"/>
      <w:start w:val="20"/>
    </w:lvl>
  </w:abstractNum>
  <w:abstractNum w:abstractNumId="60">
    <w:nsid w:val="7BD3EE7B"/>
    <w:multiLevelType w:val="hybridMultilevel"/>
    <w:lvl w:ilvl="0">
      <w:lvlJc w:val="left"/>
      <w:lvlText w:val="(%1)"/>
      <w:numFmt w:val="lowerLetter"/>
      <w:start w:val="22"/>
    </w:lvl>
  </w:abstractNum>
  <w:abstractNum w:abstractNumId="61">
    <w:nsid w:val="51D9C564"/>
    <w:multiLevelType w:val="hybridMultilevel"/>
    <w:lvl w:ilvl="0">
      <w:lvlJc w:val="left"/>
      <w:lvlText w:val="(%1)"/>
      <w:numFmt w:val="lowerLetter"/>
      <w:start w:val="27"/>
    </w:lvl>
  </w:abstractNum>
  <w:abstractNum w:abstractNumId="62">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7"/>
    </w:lvl>
  </w:abstractNum>
  <w:abstractNum w:abstractNumId="63">
    <w:nsid w:val="BF72B1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4">
    <w:nsid w:val="11447B7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65">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A0382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7">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8"/>
    </w:lvl>
  </w:abstractNum>
  <w:abstractNum w:abstractNumId="68">
    <w:nsid w:val="1A32234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69">
    <w:nsid w:val="3B0FD37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0">
    <w:nsid w:val="68EB2F63"/>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1">
    <w:nsid w:val="4962813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72">
    <w:nsid w:val="60B6DF70"/>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73">
    <w:nsid w:val="6A5EE64"/>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74">
    <w:nsid w:val="14330624"/>
    <w:multiLevelType w:val="hybridMultilevel"/>
    <w:lvl w:ilvl="0">
      <w:lvlJc w:val="left"/>
      <w:lvlText w:val="(%1)"/>
      <w:numFmt w:val="lowerRoman"/>
      <w:start w:val="2"/>
    </w:lvl>
  </w:abstractNum>
  <w:abstractNum w:abstractNumId="75">
    <w:nsid w:val="7FFFCA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2"/>
    </w:lvl>
    <w:lvl w:ilvl="4">
      <w:lvlJc w:val="left"/>
      <w:lvlText w:val="(%5)"/>
      <w:numFmt w:val="decimal"/>
      <w:start w:val="1"/>
    </w:lvl>
  </w:abstractNum>
  <w:abstractNum w:abstractNumId="76">
    <w:nsid w:val="1A27709E"/>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77">
    <w:nsid w:val="71EA1109"/>
    <w:multiLevelType w:val="hybridMultilevel"/>
    <w:lvl w:ilvl="0">
      <w:lvlJc w:val="left"/>
      <w:lvlText w:val="%1"/>
      <w:numFmt w:val="decimal"/>
      <w:start w:val="1"/>
    </w:lvl>
    <w:lvl w:ilvl="1">
      <w:lvlJc w:val="left"/>
      <w:lvlText w:val="(%2)"/>
      <w:numFmt w:val="lowerLetter"/>
      <w:start w:val="8"/>
    </w:lvl>
  </w:abstractNum>
  <w:abstractNum w:abstractNumId="78">
    <w:nsid w:val="100F59DC"/>
    <w:multiLevelType w:val="hybridMultilevel"/>
    <w:lvl w:ilvl="0">
      <w:lvlJc w:val="left"/>
      <w:lvlText w:val="%1."/>
      <w:numFmt w:val="decimal"/>
      <w:start w:val="8"/>
    </w:lvl>
    <w:lvl w:ilvl="1">
      <w:lvlJc w:val="left"/>
      <w:lvlText w:val="(%2)"/>
      <w:numFmt w:val="lowerLetter"/>
      <w:start w:val="1"/>
    </w:lvl>
  </w:abstractNum>
  <w:abstractNum w:abstractNumId="79">
    <w:nsid w:val="7FB7E0AA"/>
    <w:multiLevelType w:val="hybridMultilevel"/>
    <w:lvl w:ilvl="0">
      <w:lvlJc w:val="left"/>
      <w:lvlText w:val="%1"/>
      <w:numFmt w:val="decimal"/>
      <w:start w:val="1"/>
    </w:lvl>
    <w:lvl w:ilvl="1">
      <w:lvlJc w:val="left"/>
      <w:lvlText w:val="(%2)"/>
      <w:numFmt w:val="lowerLetter"/>
      <w:start w:val="5"/>
    </w:lvl>
  </w:abstractNum>
  <w:abstractNum w:abstractNumId="80">
    <w:nsid w:val="6EB5BD4"/>
    <w:multiLevelType w:val="hybridMultilevel"/>
    <w:lvl w:ilvl="0">
      <w:lvlJc w:val="left"/>
      <w:lvlText w:val="%1."/>
      <w:numFmt w:val="decimal"/>
      <w:start w:val="9"/>
    </w:lvl>
    <w:lvl w:ilvl="1">
      <w:lvlJc w:val="left"/>
      <w:lvlText w:val="(%2)"/>
      <w:numFmt w:val="lowerLetter"/>
      <w:start w:val="1"/>
    </w:lvl>
  </w:abstractNum>
  <w:abstractNum w:abstractNumId="81">
    <w:nsid w:val="6F6DD9AC"/>
    <w:multiLevelType w:val="hybridMultilevel"/>
    <w:lvl w:ilvl="0">
      <w:lvlJc w:val="left"/>
      <w:lvlText w:val="(%1)"/>
      <w:numFmt w:val="lowerLetter"/>
      <w:start w:val="6"/>
    </w:lvl>
    <w:lvl w:ilvl="1">
      <w:lvlJc w:val="left"/>
      <w:lvlText w:val="(%2)"/>
      <w:numFmt w:val="lowerRoman"/>
      <w:start w:val="1"/>
    </w:lvl>
  </w:abstractNum>
  <w:abstractNum w:abstractNumId="82">
    <w:nsid w:val="94211F2"/>
    <w:multiLevelType w:val="hybridMultilevel"/>
    <w:lvl w:ilvl="0">
      <w:lvlJc w:val="left"/>
      <w:lvlText w:val="%1."/>
      <w:numFmt w:val="decimal"/>
      <w:start w:val="10"/>
    </w:lvl>
    <w:lvl w:ilvl="1">
      <w:lvlJc w:val="left"/>
      <w:lvlText w:val="(%2)"/>
      <w:numFmt w:val="lowerLetter"/>
      <w:start w:val="1"/>
    </w:lvl>
  </w:abstractNum>
  <w:abstractNum w:abstractNumId="83">
    <w:nsid w:val="885E1B"/>
    <w:multiLevelType w:val="hybridMultilevel"/>
    <w:lvl w:ilvl="0">
      <w:lvlJc w:val="left"/>
      <w:lvlText w:val="%1."/>
      <w:numFmt w:val="decimal"/>
      <w:start w:val="12"/>
    </w:lvl>
    <w:lvl w:ilvl="1">
      <w:lvlJc w:val="left"/>
      <w:lvlText w:val="(%2)"/>
      <w:numFmt w:val="lowerLetter"/>
      <w:start w:val="1"/>
    </w:lvl>
  </w:abstractNum>
  <w:abstractNum w:abstractNumId="84">
    <w:nsid w:val="76272110"/>
    <w:multiLevelType w:val="hybridMultilevel"/>
    <w:lvl w:ilvl="0">
      <w:lvlJc w:val="left"/>
      <w:lvlText w:val="%1"/>
      <w:numFmt w:val="decimal"/>
      <w:start w:val="1"/>
    </w:lvl>
    <w:lvl w:ilvl="1">
      <w:lvlJc w:val="left"/>
      <w:lvlText w:val="(%2)"/>
      <w:numFmt w:val="lowerLetter"/>
      <w:start w:val="4"/>
    </w:lvl>
  </w:abstractNum>
  <w:abstractNum w:abstractNumId="85">
    <w:nsid w:val="4C04A8AF"/>
    <w:multiLevelType w:val="hybridMultilevel"/>
    <w:lvl w:ilvl="0">
      <w:lvlJc w:val="left"/>
      <w:lvlText w:val="%1."/>
      <w:numFmt w:val="decimal"/>
      <w:start w:val="15"/>
    </w:lvl>
    <w:lvl w:ilvl="1">
      <w:lvlJc w:val="left"/>
      <w:lvlText w:val="(%2)"/>
      <w:numFmt w:val="lowerLetter"/>
      <w:start w:val="1"/>
    </w:lvl>
  </w:abstractNum>
  <w:abstractNum w:abstractNumId="86">
    <w:nsid w:val="1716703B"/>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87">
    <w:nsid w:val="14E17E33"/>
    <w:multiLevelType w:val="hybridMultilevel"/>
    <w:lvl w:ilvl="0">
      <w:lvlJc w:val="left"/>
      <w:lvlText w:val="(%1)"/>
      <w:numFmt w:val="lowerLetter"/>
      <w:start w:val="35"/>
    </w:lvl>
    <w:lvl w:ilvl="1">
      <w:lvlJc w:val="left"/>
      <w:lvlText w:val="%2."/>
      <w:numFmt w:val="decimal"/>
      <w:start w:val="19"/>
    </w:lvl>
    <w:lvl w:ilvl="2">
      <w:lvlJc w:val="left"/>
      <w:lvlText w:val="(%3)"/>
      <w:numFmt w:val="lowerLetter"/>
      <w:start w:val="1"/>
    </w:lvl>
  </w:abstractNum>
  <w:abstractNum w:abstractNumId="88">
    <w:nsid w:val="3222E7C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2026-04-28T15:24:39Z</dcterms:created>
  <dcterms:modified xsi:type="dcterms:W3CDTF">2026-04-28T15:24:39Z</dcterms:modified>
</cp:coreProperties>
</file>