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40" w:hanging="3859"/>
        <w:spacing w:after="0" w:line="383"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158" w:lineRule="exact"/>
        <w:rPr>
          <w:sz w:val="24"/>
          <w:szCs w:val="24"/>
          <w:color w:val="auto"/>
        </w:rPr>
      </w:pPr>
    </w:p>
    <w:p>
      <w:pPr>
        <w:ind w:left="3520" w:right="1620" w:hanging="3499"/>
        <w:spacing w:after="0" w:line="383" w:lineRule="auto"/>
        <w:tabs>
          <w:tab w:leader="none" w:pos="504"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001-39269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ORIC PHARMACEUTICALS,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6" w:lineRule="exact"/>
        <w:rPr>
          <w:sz w:val="24"/>
          <w:szCs w:val="24"/>
          <w:color w:val="auto"/>
        </w:rPr>
      </w:pPr>
    </w:p>
    <w:tbl>
      <w:tblPr>
        <w:tblLayout w:type="fixed"/>
        <w:tblInd w:w="1200" w:type="dxa"/>
        <w:tblCellMar>
          <w:top w:w="0" w:type="dxa"/>
          <w:left w:w="0" w:type="dxa"/>
          <w:bottom w:w="0" w:type="dxa"/>
          <w:right w:w="0" w:type="dxa"/>
        </w:tblCellMar>
      </w:tblPr>
      <w:tr>
        <w:trPr>
          <w:trHeight w:val="180"/>
        </w:trPr>
        <w:tc>
          <w:tcPr>
            <w:tcW w:w="4760" w:type="dxa"/>
            <w:vAlign w:val="bottom"/>
          </w:tcPr>
          <w:p>
            <w:pPr>
              <w:jc w:val="center"/>
              <w:ind w:right="1472"/>
              <w:spacing w:after="0"/>
              <w:rPr>
                <w:sz w:val="20"/>
                <w:szCs w:val="20"/>
                <w:color w:val="auto"/>
              </w:rPr>
            </w:pPr>
            <w:r>
              <w:rPr>
                <w:rFonts w:ascii="Arial" w:cs="Arial" w:eastAsia="Arial" w:hAnsi="Arial"/>
                <w:sz w:val="14"/>
                <w:szCs w:val="14"/>
                <w:b w:val="1"/>
                <w:bCs w:val="1"/>
                <w:color w:val="auto"/>
                <w:w w:val="94"/>
              </w:rPr>
              <w:t>Delaware</w:t>
            </w:r>
          </w:p>
        </w:tc>
        <w:tc>
          <w:tcPr>
            <w:tcW w:w="3440" w:type="dxa"/>
            <w:vAlign w:val="bottom"/>
          </w:tcPr>
          <w:p>
            <w:pPr>
              <w:jc w:val="right"/>
              <w:ind w:right="553"/>
              <w:spacing w:after="0"/>
              <w:rPr>
                <w:sz w:val="20"/>
                <w:szCs w:val="20"/>
                <w:color w:val="auto"/>
              </w:rPr>
            </w:pPr>
            <w:r>
              <w:rPr>
                <w:rFonts w:ascii="Arial" w:cs="Arial" w:eastAsia="Arial" w:hAnsi="Arial"/>
                <w:sz w:val="14"/>
                <w:szCs w:val="14"/>
                <w:b w:val="1"/>
                <w:bCs w:val="1"/>
                <w:color w:val="auto"/>
              </w:rPr>
              <w:t>47-1787157</w:t>
            </w:r>
          </w:p>
        </w:tc>
        <w:tc>
          <w:tcPr>
            <w:tcW w:w="0" w:type="dxa"/>
            <w:vAlign w:val="bottom"/>
          </w:tcPr>
          <w:p>
            <w:pPr>
              <w:spacing w:after="0"/>
              <w:rPr>
                <w:sz w:val="1"/>
                <w:szCs w:val="1"/>
                <w:color w:val="auto"/>
              </w:rPr>
            </w:pPr>
          </w:p>
        </w:tc>
      </w:tr>
      <w:tr>
        <w:trPr>
          <w:trHeight w:val="164"/>
        </w:trPr>
        <w:tc>
          <w:tcPr>
            <w:tcW w:w="4760" w:type="dxa"/>
            <w:vAlign w:val="bottom"/>
          </w:tcPr>
          <w:p>
            <w:pPr>
              <w:jc w:val="center"/>
              <w:ind w:right="1452"/>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3440" w:type="dxa"/>
            <w:vAlign w:val="bottom"/>
          </w:tcPr>
          <w:p>
            <w:pPr>
              <w:jc w:val="center"/>
              <w:ind w:left="1433"/>
              <w:spacing w:after="0"/>
              <w:rPr>
                <w:sz w:val="20"/>
                <w:szCs w:val="20"/>
                <w:color w:val="auto"/>
              </w:rPr>
            </w:pPr>
            <w:r>
              <w:rPr>
                <w:rFonts w:ascii="Arial" w:cs="Arial" w:eastAsia="Arial" w:hAnsi="Arial"/>
                <w:sz w:val="13"/>
                <w:szCs w:val="13"/>
                <w:b w:val="1"/>
                <w:bCs w:val="1"/>
                <w:color w:val="auto"/>
                <w:w w:val="91"/>
              </w:rPr>
              <w:t>(I.R.S. Employer Identification No.)</w:t>
            </w:r>
          </w:p>
        </w:tc>
        <w:tc>
          <w:tcPr>
            <w:tcW w:w="0" w:type="dxa"/>
            <w:vAlign w:val="bottom"/>
          </w:tcPr>
          <w:p>
            <w:pPr>
              <w:spacing w:after="0"/>
              <w:rPr>
                <w:sz w:val="1"/>
                <w:szCs w:val="1"/>
                <w:color w:val="auto"/>
              </w:rPr>
            </w:pPr>
          </w:p>
        </w:tc>
      </w:tr>
      <w:tr>
        <w:trPr>
          <w:trHeight w:val="196"/>
        </w:trPr>
        <w:tc>
          <w:tcPr>
            <w:tcW w:w="4760" w:type="dxa"/>
            <w:vAlign w:val="bottom"/>
          </w:tcPr>
          <w:p>
            <w:pPr>
              <w:jc w:val="center"/>
              <w:ind w:right="1492"/>
              <w:spacing w:after="0"/>
              <w:rPr>
                <w:sz w:val="20"/>
                <w:szCs w:val="20"/>
                <w:color w:val="auto"/>
              </w:rPr>
            </w:pPr>
            <w:r>
              <w:rPr>
                <w:rFonts w:ascii="Arial" w:cs="Arial" w:eastAsia="Arial" w:hAnsi="Arial"/>
                <w:sz w:val="14"/>
                <w:szCs w:val="14"/>
                <w:b w:val="1"/>
                <w:bCs w:val="1"/>
                <w:color w:val="auto"/>
                <w:w w:val="91"/>
              </w:rPr>
              <w:t>240 E. Grand Ave, 2</w:t>
            </w:r>
            <w:r>
              <w:rPr>
                <w:rFonts w:ascii="Arial" w:cs="Arial" w:eastAsia="Arial" w:hAnsi="Arial"/>
                <w:sz w:val="16"/>
                <w:szCs w:val="16"/>
                <w:b w:val="1"/>
                <w:bCs w:val="1"/>
                <w:color w:val="auto"/>
                <w:w w:val="91"/>
                <w:vertAlign w:val="superscript"/>
              </w:rPr>
              <w:t>nd</w:t>
            </w:r>
            <w:r>
              <w:rPr>
                <w:rFonts w:ascii="Arial" w:cs="Arial" w:eastAsia="Arial" w:hAnsi="Arial"/>
                <w:sz w:val="14"/>
                <w:szCs w:val="14"/>
                <w:b w:val="1"/>
                <w:bCs w:val="1"/>
                <w:color w:val="auto"/>
                <w:w w:val="91"/>
              </w:rPr>
              <w:t xml:space="preserve"> Floor</w:t>
            </w:r>
          </w:p>
        </w:tc>
        <w:tc>
          <w:tcPr>
            <w:tcW w:w="3440" w:type="dxa"/>
            <w:vAlign w:val="bottom"/>
            <w:vMerge w:val="restart"/>
          </w:tcPr>
          <w:p>
            <w:pPr>
              <w:jc w:val="right"/>
              <w:ind w:right="713"/>
              <w:spacing w:after="0"/>
              <w:rPr>
                <w:sz w:val="20"/>
                <w:szCs w:val="20"/>
                <w:color w:val="auto"/>
              </w:rPr>
            </w:pPr>
            <w:r>
              <w:rPr>
                <w:rFonts w:ascii="Arial" w:cs="Arial" w:eastAsia="Arial" w:hAnsi="Arial"/>
                <w:sz w:val="14"/>
                <w:szCs w:val="14"/>
                <w:b w:val="1"/>
                <w:bCs w:val="1"/>
                <w:color w:val="auto"/>
              </w:rPr>
              <w:t>94080</w:t>
            </w:r>
          </w:p>
        </w:tc>
        <w:tc>
          <w:tcPr>
            <w:tcW w:w="0" w:type="dxa"/>
            <w:vAlign w:val="bottom"/>
          </w:tcPr>
          <w:p>
            <w:pPr>
              <w:spacing w:after="0"/>
              <w:rPr>
                <w:sz w:val="1"/>
                <w:szCs w:val="1"/>
                <w:color w:val="auto"/>
              </w:rPr>
            </w:pPr>
          </w:p>
        </w:tc>
      </w:tr>
      <w:tr>
        <w:trPr>
          <w:trHeight w:val="180"/>
        </w:trPr>
        <w:tc>
          <w:tcPr>
            <w:tcW w:w="4760" w:type="dxa"/>
            <w:vAlign w:val="bottom"/>
          </w:tcPr>
          <w:p>
            <w:pPr>
              <w:jc w:val="center"/>
              <w:ind w:right="1472"/>
              <w:spacing w:after="0"/>
              <w:rPr>
                <w:sz w:val="20"/>
                <w:szCs w:val="20"/>
                <w:color w:val="auto"/>
              </w:rPr>
            </w:pPr>
            <w:r>
              <w:rPr>
                <w:rFonts w:ascii="Arial" w:cs="Arial" w:eastAsia="Arial" w:hAnsi="Arial"/>
                <w:sz w:val="14"/>
                <w:szCs w:val="14"/>
                <w:b w:val="1"/>
                <w:bCs w:val="1"/>
                <w:color w:val="auto"/>
                <w:w w:val="92"/>
              </w:rPr>
              <w:t>South San Francisco, CA</w:t>
            </w:r>
          </w:p>
        </w:tc>
        <w:tc>
          <w:tcPr>
            <w:tcW w:w="3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760" w:type="dxa"/>
            <w:vAlign w:val="bottom"/>
          </w:tcPr>
          <w:p>
            <w:pPr>
              <w:jc w:val="center"/>
              <w:ind w:right="1452"/>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440" w:type="dxa"/>
            <w:vAlign w:val="bottom"/>
          </w:tcPr>
          <w:p>
            <w:pPr>
              <w:jc w:val="center"/>
              <w:ind w:left="1433"/>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388-5600</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8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60" w:type="dxa"/>
            <w:vAlign w:val="bottom"/>
          </w:tcPr>
          <w:p>
            <w:pPr>
              <w:spacing w:after="0"/>
              <w:rPr>
                <w:sz w:val="14"/>
                <w:szCs w:val="14"/>
                <w:color w:val="auto"/>
              </w:rPr>
            </w:pPr>
          </w:p>
        </w:tc>
        <w:tc>
          <w:tcPr>
            <w:tcW w:w="4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60" w:type="dxa"/>
            <w:vAlign w:val="bottom"/>
          </w:tcPr>
          <w:p>
            <w:pPr>
              <w:spacing w:after="0"/>
              <w:rPr>
                <w:sz w:val="16"/>
                <w:szCs w:val="16"/>
                <w:color w:val="auto"/>
              </w:rPr>
            </w:pPr>
          </w:p>
        </w:tc>
        <w:tc>
          <w:tcPr>
            <w:tcW w:w="4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2"/>
              </w:rPr>
              <w:t>Common Stock, $0.0001 par value per share</w:t>
            </w:r>
          </w:p>
        </w:tc>
        <w:tc>
          <w:tcPr>
            <w:tcW w:w="14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ORIC</w:t>
            </w:r>
          </w:p>
        </w:tc>
        <w:tc>
          <w:tcPr>
            <w:tcW w:w="160" w:type="dxa"/>
            <w:vAlign w:val="bottom"/>
          </w:tcPr>
          <w:p>
            <w:pPr>
              <w:spacing w:after="0"/>
              <w:rPr>
                <w:sz w:val="15"/>
                <w:szCs w:val="15"/>
                <w:color w:val="auto"/>
              </w:rPr>
            </w:pPr>
          </w:p>
        </w:tc>
        <w:tc>
          <w:tcPr>
            <w:tcW w:w="4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The Nasdaq Global Select Market</w:t>
            </w:r>
          </w:p>
        </w:tc>
        <w:tc>
          <w:tcPr>
            <w:tcW w:w="0" w:type="dxa"/>
            <w:vAlign w:val="bottom"/>
          </w:tcPr>
          <w:p>
            <w:pPr>
              <w:spacing w:after="0"/>
              <w:rPr>
                <w:sz w:val="1"/>
                <w:szCs w:val="1"/>
                <w:color w:val="auto"/>
              </w:rPr>
            </w:pPr>
          </w:p>
        </w:tc>
      </w:tr>
      <w:tr>
        <w:trPr>
          <w:trHeight w:val="45"/>
        </w:trPr>
        <w:tc>
          <w:tcPr>
            <w:tcW w:w="4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97" w:lineRule="exact"/>
        <w:rPr>
          <w:sz w:val="24"/>
          <w:szCs w:val="24"/>
          <w:color w:val="auto"/>
        </w:rPr>
      </w:pPr>
    </w:p>
    <w:p>
      <w:pPr>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2"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73"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40"/>
        <w:spacing w:after="0" w:line="25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3, 2023, the registrant had 54,532,614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40" w:type="dxa"/>
            <w:vAlign w:val="bottom"/>
            <w:gridSpan w:val="4"/>
          </w:tcPr>
          <w:p>
            <w:pPr>
              <w:ind w:left="6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2240" w:type="dxa"/>
            <w:vAlign w:val="bottom"/>
            <w:tcBorders>
              <w:bottom w:val="single" w:sz="8" w:color="0563C1"/>
            </w:tcBorders>
            <w:gridSpan w:val="9"/>
          </w:tcPr>
          <w:p>
            <w:pPr>
              <w:spacing w:after="0" w:line="182" w:lineRule="exact"/>
              <w:rPr>
                <w:sz w:val="20"/>
                <w:szCs w:val="20"/>
                <w:color w:val="auto"/>
              </w:rPr>
            </w:pPr>
            <w:r>
              <w:rPr>
                <w:rFonts w:ascii="Arial" w:cs="Arial" w:eastAsia="Arial" w:hAnsi="Arial"/>
                <w:sz w:val="18"/>
                <w:szCs w:val="18"/>
                <w:color w:val="0563C1"/>
                <w:w w:val="98"/>
              </w:rPr>
              <w:t>FINANCIAL INFORMATION</w:t>
            </w:r>
          </w:p>
        </w:tc>
        <w:tc>
          <w:tcPr>
            <w:tcW w:w="6980" w:type="dxa"/>
            <w:vAlign w:val="bottom"/>
            <w:gridSpan w:val="9"/>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563C1"/>
            </w:tcBorders>
            <w:gridSpan w:val="11"/>
          </w:tcPr>
          <w:p>
            <w:pPr>
              <w:spacing w:after="0"/>
              <w:rPr>
                <w:sz w:val="20"/>
                <w:szCs w:val="20"/>
                <w:color w:val="auto"/>
              </w:rPr>
            </w:pPr>
            <w:r>
              <w:rPr>
                <w:rFonts w:ascii="Arial" w:cs="Arial" w:eastAsia="Arial" w:hAnsi="Arial"/>
                <w:sz w:val="18"/>
                <w:szCs w:val="18"/>
                <w:color w:val="0563C1"/>
                <w:w w:val="89"/>
              </w:rPr>
              <w:t>Financial Statements (Unaudited)</w:t>
            </w:r>
          </w:p>
        </w:tc>
        <w:tc>
          <w:tcPr>
            <w:tcW w:w="6800" w:type="dxa"/>
            <w:vAlign w:val="bottom"/>
            <w:gridSpan w:val="7"/>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20" w:type="dxa"/>
            <w:vAlign w:val="bottom"/>
            <w:gridSpan w:val="18"/>
          </w:tcPr>
          <w:p>
            <w:pPr>
              <w:spacing w:after="0"/>
              <w:rPr>
                <w:sz w:val="20"/>
                <w:szCs w:val="20"/>
                <w:color w:val="auto"/>
              </w:rPr>
            </w:pPr>
            <w:r>
              <w:rPr>
                <w:rFonts w:ascii="Arial" w:cs="Arial" w:eastAsia="Arial" w:hAnsi="Arial"/>
                <w:sz w:val="18"/>
                <w:szCs w:val="18"/>
                <w:color w:val="0563C1"/>
              </w:rPr>
              <w:t>Balance Sheets</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80" w:type="dxa"/>
            <w:vAlign w:val="bottom"/>
            <w:tcBorders>
              <w:bottom w:val="single" w:sz="8" w:color="0563C1"/>
            </w:tcBorders>
            <w:gridSpan w:val="14"/>
          </w:tcPr>
          <w:p>
            <w:pPr>
              <w:spacing w:after="0"/>
              <w:rPr>
                <w:sz w:val="20"/>
                <w:szCs w:val="20"/>
                <w:color w:val="auto"/>
              </w:rPr>
            </w:pPr>
            <w:r>
              <w:rPr>
                <w:rFonts w:ascii="Arial" w:cs="Arial" w:eastAsia="Arial" w:hAnsi="Arial"/>
                <w:sz w:val="18"/>
                <w:szCs w:val="18"/>
                <w:color w:val="0563C1"/>
                <w:w w:val="88"/>
              </w:rPr>
              <w:t>Statements of Operations and Comprehensive Loss</w:t>
            </w:r>
          </w:p>
        </w:tc>
        <w:tc>
          <w:tcPr>
            <w:tcW w:w="5540" w:type="dxa"/>
            <w:vAlign w:val="bottom"/>
            <w:gridSpan w:val="4"/>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40" w:type="dxa"/>
            <w:vAlign w:val="bottom"/>
            <w:tcBorders>
              <w:bottom w:val="single" w:sz="8" w:color="0563C1"/>
            </w:tcBorders>
            <w:gridSpan w:val="12"/>
          </w:tcPr>
          <w:p>
            <w:pPr>
              <w:spacing w:after="0"/>
              <w:rPr>
                <w:sz w:val="20"/>
                <w:szCs w:val="20"/>
                <w:color w:val="auto"/>
              </w:rPr>
            </w:pPr>
            <w:r>
              <w:rPr>
                <w:rFonts w:ascii="Arial" w:cs="Arial" w:eastAsia="Arial" w:hAnsi="Arial"/>
                <w:sz w:val="18"/>
                <w:szCs w:val="18"/>
                <w:color w:val="0563C1"/>
                <w:w w:val="90"/>
              </w:rPr>
              <w:t>Statements of Stockholders’ Equity</w:t>
            </w:r>
          </w:p>
        </w:tc>
        <w:tc>
          <w:tcPr>
            <w:tcW w:w="6680" w:type="dxa"/>
            <w:vAlign w:val="bottom"/>
            <w:gridSpan w:val="6"/>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20" w:type="dxa"/>
            <w:vAlign w:val="bottom"/>
            <w:gridSpan w:val="18"/>
          </w:tcPr>
          <w:p>
            <w:pPr>
              <w:spacing w:after="0"/>
              <w:rPr>
                <w:sz w:val="20"/>
                <w:szCs w:val="20"/>
                <w:color w:val="auto"/>
              </w:rPr>
            </w:pPr>
            <w:r>
              <w:rPr>
                <w:rFonts w:ascii="Arial" w:cs="Arial" w:eastAsia="Arial" w:hAnsi="Arial"/>
                <w:sz w:val="18"/>
                <w:szCs w:val="18"/>
                <w:color w:val="0563C1"/>
              </w:rPr>
              <w:t>Statements of Cash Flows</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tcBorders>
              <w:bottom w:val="single" w:sz="8" w:color="0563C1"/>
            </w:tcBorders>
            <w:gridSpan w:val="13"/>
          </w:tcPr>
          <w:p>
            <w:pPr>
              <w:spacing w:after="0"/>
              <w:rPr>
                <w:sz w:val="20"/>
                <w:szCs w:val="20"/>
                <w:color w:val="auto"/>
              </w:rPr>
            </w:pPr>
            <w:r>
              <w:rPr>
                <w:rFonts w:ascii="Arial" w:cs="Arial" w:eastAsia="Arial" w:hAnsi="Arial"/>
                <w:sz w:val="18"/>
                <w:szCs w:val="18"/>
                <w:color w:val="0563C1"/>
                <w:w w:val="89"/>
              </w:rPr>
              <w:t>Notes to Unaudited Financial Statements</w:t>
            </w:r>
          </w:p>
        </w:tc>
        <w:tc>
          <w:tcPr>
            <w:tcW w:w="6280" w:type="dxa"/>
            <w:vAlign w:val="bottom"/>
            <w:gridSpan w:val="5"/>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563C1"/>
            </w:tcBorders>
            <w:gridSpan w:val="17"/>
          </w:tcPr>
          <w:p>
            <w:pPr>
              <w:spacing w:after="0"/>
              <w:rPr>
                <w:sz w:val="20"/>
                <w:szCs w:val="20"/>
                <w:color w:val="auto"/>
              </w:rPr>
            </w:pPr>
            <w:r>
              <w:rPr>
                <w:rFonts w:ascii="Arial" w:cs="Arial" w:eastAsia="Arial" w:hAnsi="Arial"/>
                <w:sz w:val="18"/>
                <w:szCs w:val="18"/>
                <w:color w:val="0563C1"/>
                <w:w w:val="90"/>
              </w:rPr>
              <w:t>Management’s Discussion and Analysis of Financial Condition and Results of Operations</w:t>
            </w:r>
          </w:p>
        </w:tc>
        <w:tc>
          <w:tcPr>
            <w:tcW w:w="2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563C1"/>
            </w:tcBorders>
            <w:gridSpan w:val="16"/>
          </w:tcPr>
          <w:p>
            <w:pPr>
              <w:spacing w:after="0"/>
              <w:rPr>
                <w:sz w:val="20"/>
                <w:szCs w:val="20"/>
                <w:color w:val="auto"/>
              </w:rPr>
            </w:pPr>
            <w:r>
              <w:rPr>
                <w:rFonts w:ascii="Arial" w:cs="Arial" w:eastAsia="Arial" w:hAnsi="Arial"/>
                <w:sz w:val="18"/>
                <w:szCs w:val="18"/>
                <w:color w:val="0563C1"/>
                <w:w w:val="92"/>
              </w:rPr>
              <w:t>Quantitative and Qualitative Disclosures About Market Risk</w:t>
            </w:r>
          </w:p>
        </w:tc>
        <w:tc>
          <w:tcPr>
            <w:tcW w:w="4860" w:type="dxa"/>
            <w:vAlign w:val="bottom"/>
            <w:gridSpan w:val="2"/>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20" w:type="dxa"/>
            <w:vAlign w:val="bottom"/>
            <w:gridSpan w:val="18"/>
          </w:tcPr>
          <w:p>
            <w:pPr>
              <w:spacing w:after="0"/>
              <w:rPr>
                <w:sz w:val="20"/>
                <w:szCs w:val="20"/>
                <w:color w:val="auto"/>
              </w:rPr>
            </w:pPr>
            <w:r>
              <w:rPr>
                <w:rFonts w:ascii="Arial" w:cs="Arial" w:eastAsia="Arial" w:hAnsi="Arial"/>
                <w:sz w:val="18"/>
                <w:szCs w:val="18"/>
                <w:color w:val="0563C1"/>
              </w:rPr>
              <w:t>Controls and Procedures</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2"/>
            <w:vMerge w:val="continue"/>
          </w:tcPr>
          <w:p>
            <w:pPr>
              <w:spacing w:after="0"/>
              <w:rPr>
                <w:sz w:val="24"/>
                <w:szCs w:val="24"/>
                <w:color w:val="auto"/>
              </w:rPr>
            </w:pPr>
          </w:p>
        </w:tc>
        <w:tc>
          <w:tcPr>
            <w:tcW w:w="1880" w:type="dxa"/>
            <w:vAlign w:val="bottom"/>
            <w:tcBorders>
              <w:bottom w:val="single" w:sz="8" w:color="0563C1"/>
            </w:tcBorders>
            <w:gridSpan w:val="8"/>
          </w:tcPr>
          <w:p>
            <w:pPr>
              <w:spacing w:after="0"/>
              <w:rPr>
                <w:sz w:val="20"/>
                <w:szCs w:val="20"/>
                <w:color w:val="auto"/>
              </w:rPr>
            </w:pPr>
            <w:r>
              <w:rPr>
                <w:rFonts w:ascii="Arial" w:cs="Arial" w:eastAsia="Arial" w:hAnsi="Arial"/>
                <w:sz w:val="18"/>
                <w:szCs w:val="18"/>
                <w:color w:val="0563C1"/>
                <w:w w:val="95"/>
              </w:rPr>
              <w:t>OTHER INFORMATION</w:t>
            </w:r>
          </w:p>
        </w:tc>
        <w:tc>
          <w:tcPr>
            <w:tcW w:w="734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18"/>
          </w:tcPr>
          <w:p>
            <w:pPr>
              <w:spacing w:after="0"/>
              <w:rPr>
                <w:sz w:val="20"/>
                <w:szCs w:val="20"/>
                <w:color w:val="auto"/>
              </w:rPr>
            </w:pPr>
            <w:r>
              <w:rPr>
                <w:rFonts w:ascii="Arial" w:cs="Arial" w:eastAsia="Arial" w:hAnsi="Arial"/>
                <w:sz w:val="18"/>
                <w:szCs w:val="18"/>
                <w:color w:val="0563C1"/>
              </w:rPr>
              <w:t>Legal Proceedings</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563C1"/>
              <w:bottom w:val="single" w:sz="8" w:color="0563C1"/>
            </w:tcBorders>
            <w:gridSpan w:val="2"/>
          </w:tcPr>
          <w:p>
            <w:pPr>
              <w:spacing w:after="0"/>
              <w:rPr>
                <w:sz w:val="20"/>
                <w:szCs w:val="20"/>
                <w:color w:val="auto"/>
              </w:rPr>
            </w:pPr>
            <w:r>
              <w:rPr>
                <w:rFonts w:ascii="Arial" w:cs="Arial" w:eastAsia="Arial" w:hAnsi="Arial"/>
                <w:sz w:val="18"/>
                <w:szCs w:val="18"/>
                <w:color w:val="0563C1"/>
                <w:w w:val="87"/>
              </w:rPr>
              <w:t>Risk Factors</w:t>
            </w:r>
          </w:p>
        </w:tc>
        <w:tc>
          <w:tcPr>
            <w:tcW w:w="420" w:type="dxa"/>
            <w:vAlign w:val="bottom"/>
            <w:tcBorders>
              <w:top w:val="single" w:sz="8" w:color="0563C1"/>
            </w:tcBorders>
            <w:gridSpan w:val="3"/>
          </w:tcPr>
          <w:p>
            <w:pPr>
              <w:spacing w:after="0"/>
              <w:rPr>
                <w:sz w:val="19"/>
                <w:szCs w:val="19"/>
                <w:color w:val="auto"/>
              </w:rPr>
            </w:pPr>
          </w:p>
        </w:tc>
        <w:tc>
          <w:tcPr>
            <w:tcW w:w="7900" w:type="dxa"/>
            <w:vAlign w:val="bottom"/>
            <w:gridSpan w:val="13"/>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563C1"/>
            </w:tcBorders>
            <w:gridSpan w:val="15"/>
          </w:tcPr>
          <w:p>
            <w:pPr>
              <w:spacing w:after="0"/>
              <w:rPr>
                <w:sz w:val="20"/>
                <w:szCs w:val="20"/>
                <w:color w:val="auto"/>
              </w:rPr>
            </w:pPr>
            <w:r>
              <w:rPr>
                <w:rFonts w:ascii="Arial" w:cs="Arial" w:eastAsia="Arial" w:hAnsi="Arial"/>
                <w:sz w:val="18"/>
                <w:szCs w:val="18"/>
                <w:color w:val="0563C1"/>
                <w:w w:val="89"/>
              </w:rPr>
              <w:t>Unregistered Sales of Equity Securities and Use of Proceeds</w:t>
            </w:r>
          </w:p>
        </w:tc>
        <w:tc>
          <w:tcPr>
            <w:tcW w:w="4880" w:type="dxa"/>
            <w:vAlign w:val="bottom"/>
            <w:gridSpan w:val="3"/>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563C1"/>
            </w:tcBorders>
            <w:gridSpan w:val="10"/>
          </w:tcPr>
          <w:p>
            <w:pPr>
              <w:spacing w:after="0"/>
              <w:rPr>
                <w:sz w:val="20"/>
                <w:szCs w:val="20"/>
                <w:color w:val="auto"/>
              </w:rPr>
            </w:pPr>
            <w:r>
              <w:rPr>
                <w:rFonts w:ascii="Arial" w:cs="Arial" w:eastAsia="Arial" w:hAnsi="Arial"/>
                <w:sz w:val="18"/>
                <w:szCs w:val="18"/>
                <w:color w:val="0563C1"/>
                <w:w w:val="90"/>
              </w:rPr>
              <w:t>Defaults Upon Senior Securities</w:t>
            </w:r>
          </w:p>
        </w:tc>
        <w:tc>
          <w:tcPr>
            <w:tcW w:w="6900" w:type="dxa"/>
            <w:vAlign w:val="bottom"/>
            <w:gridSpan w:val="8"/>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20" w:type="dxa"/>
            <w:vAlign w:val="bottom"/>
            <w:gridSpan w:val="18"/>
          </w:tcPr>
          <w:p>
            <w:pPr>
              <w:spacing w:after="0"/>
              <w:rPr>
                <w:sz w:val="20"/>
                <w:szCs w:val="20"/>
                <w:color w:val="auto"/>
              </w:rPr>
            </w:pPr>
            <w:r>
              <w:rPr>
                <w:rFonts w:ascii="Arial" w:cs="Arial" w:eastAsia="Arial" w:hAnsi="Arial"/>
                <w:sz w:val="18"/>
                <w:szCs w:val="18"/>
                <w:color w:val="0563C1"/>
              </w:rPr>
              <w:t>Mine Safety Disclosures</w:t>
            </w: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563C1"/>
            </w:tcBorders>
            <w:gridSpan w:val="6"/>
          </w:tcPr>
          <w:p>
            <w:pPr>
              <w:spacing w:after="0"/>
              <w:rPr>
                <w:sz w:val="20"/>
                <w:szCs w:val="20"/>
                <w:color w:val="auto"/>
              </w:rPr>
            </w:pPr>
            <w:r>
              <w:rPr>
                <w:rFonts w:ascii="Arial" w:cs="Arial" w:eastAsia="Arial" w:hAnsi="Arial"/>
                <w:sz w:val="18"/>
                <w:szCs w:val="18"/>
                <w:color w:val="0563C1"/>
              </w:rPr>
              <w:t>Other Information</w:t>
            </w:r>
          </w:p>
        </w:tc>
        <w:tc>
          <w:tcPr>
            <w:tcW w:w="7460" w:type="dxa"/>
            <w:vAlign w:val="bottom"/>
            <w:gridSpan w:val="12"/>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563C1"/>
            </w:tcBorders>
            <w:gridSpan w:val="4"/>
          </w:tcPr>
          <w:p>
            <w:pPr>
              <w:spacing w:after="0"/>
              <w:rPr>
                <w:sz w:val="20"/>
                <w:szCs w:val="20"/>
                <w:color w:val="auto"/>
              </w:rPr>
            </w:pPr>
            <w:r>
              <w:rPr>
                <w:rFonts w:ascii="Arial" w:cs="Arial" w:eastAsia="Arial" w:hAnsi="Arial"/>
                <w:sz w:val="18"/>
                <w:szCs w:val="18"/>
                <w:color w:val="0563C1"/>
              </w:rPr>
              <w:t>Exhibits</w:t>
            </w:r>
          </w:p>
        </w:tc>
        <w:tc>
          <w:tcPr>
            <w:tcW w:w="7920" w:type="dxa"/>
            <w:vAlign w:val="bottom"/>
            <w:gridSpan w:val="14"/>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0563C1"/>
                <w:w w:val="97"/>
              </w:rPr>
              <w:t>SIGNATURES</w:t>
            </w:r>
          </w:p>
        </w:tc>
        <w:tc>
          <w:tcPr>
            <w:tcW w:w="600" w:type="dxa"/>
            <w:vAlign w:val="bottom"/>
            <w:tcBorders>
              <w:top w:val="single" w:sz="8" w:color="0563C1"/>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10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This quarterly report on Form 10-Q contains forward-looking statements. All statements other than statements of historical facts contained in this quarterly report on Form10-Q,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69" w:lineRule="exact"/>
        <w:rPr>
          <w:sz w:val="20"/>
          <w:szCs w:val="20"/>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positive results;</w:t>
      </w:r>
    </w:p>
    <w:p>
      <w:pPr>
        <w:spacing w:after="0" w:line="117" w:lineRule="exact"/>
        <w:rPr>
          <w:rFonts w:ascii="Arial" w:cs="Arial" w:eastAsia="Arial" w:hAnsi="Arial"/>
          <w:sz w:val="18"/>
          <w:szCs w:val="18"/>
          <w:color w:val="auto"/>
        </w:rPr>
      </w:pPr>
    </w:p>
    <w:p>
      <w:pPr>
        <w:ind w:left="1260" w:hanging="503"/>
        <w:spacing w:after="0" w:line="311" w:lineRule="auto"/>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progress and results of preclinical studies and clinical trials for ORIC-114, ORIC-533, ORIC-944 and other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40" w:lineRule="exact"/>
        <w:rPr>
          <w:rFonts w:ascii="Arial" w:cs="Arial" w:eastAsia="Arial" w:hAnsi="Arial"/>
          <w:sz w:val="16"/>
          <w:szCs w:val="16"/>
          <w:color w:val="auto"/>
        </w:rPr>
      </w:pPr>
    </w:p>
    <w:p>
      <w:pPr>
        <w:ind w:left="1260" w:right="140" w:hanging="503"/>
        <w:spacing w:after="0" w:line="263"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timing of Investigational New Drug, or IND, or Clinical Trial Application, or CTA, applications and final Food and Drug Administration, or FDA, approval of ORIC-114, ORIC-533, ORIC-944 and any other future product candidates;</w:t>
      </w:r>
    </w:p>
    <w:p>
      <w:pPr>
        <w:spacing w:after="0" w:line="75"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and activity under the company’s collaboration, licenses and other third-party agreements;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or likelihood of foreign regulatory filings and approvals;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advance our current product candidates and programs into, and successfully complete, clinical studies;</w:t>
      </w:r>
    </w:p>
    <w:p>
      <w:pPr>
        <w:spacing w:after="0" w:line="128" w:lineRule="exact"/>
        <w:rPr>
          <w:rFonts w:ascii="Arial" w:cs="Arial" w:eastAsia="Arial" w:hAnsi="Arial"/>
          <w:sz w:val="17"/>
          <w:szCs w:val="17"/>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relating to commercializing our product candidates, if approved, including the geographic areas of focus and sales strategy;</w:t>
      </w:r>
    </w:p>
    <w:p>
      <w:pPr>
        <w:spacing w:after="0" w:line="140" w:lineRule="exact"/>
        <w:rPr>
          <w:rFonts w:ascii="Arial" w:cs="Arial" w:eastAsia="Arial" w:hAnsi="Arial"/>
          <w:sz w:val="16"/>
          <w:szCs w:val="16"/>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a global pandemic or other public health emergencies on our business;</w:t>
      </w:r>
    </w:p>
    <w:p>
      <w:pPr>
        <w:spacing w:after="0" w:line="117" w:lineRule="exact"/>
        <w:rPr>
          <w:rFonts w:ascii="Arial" w:cs="Arial" w:eastAsia="Arial" w:hAnsi="Arial"/>
          <w:sz w:val="18"/>
          <w:szCs w:val="18"/>
          <w:color w:val="auto"/>
        </w:rPr>
      </w:pPr>
    </w:p>
    <w:p>
      <w:pPr>
        <w:ind w:left="1260" w:right="480" w:hanging="503"/>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including our estimates of the number of patients who suffer from the diseases we are targeting;</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approval and use of our product candidates in combination with other drugs;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of our product candidates, including additional indications we may pursue;</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Europe and other jurisdictions;</w:t>
      </w:r>
    </w:p>
    <w:p>
      <w:pPr>
        <w:spacing w:after="0" w:line="117" w:lineRule="exact"/>
        <w:rPr>
          <w:rFonts w:ascii="Arial" w:cs="Arial" w:eastAsia="Arial" w:hAnsi="Arial"/>
          <w:sz w:val="18"/>
          <w:szCs w:val="18"/>
          <w:color w:val="auto"/>
        </w:rPr>
      </w:pPr>
    </w:p>
    <w:p>
      <w:pPr>
        <w:ind w:left="1260" w:right="220" w:hanging="503"/>
        <w:spacing w:after="0" w:line="259"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and maintain for intellectual property rights covering ORIC-114, ORIC-533, ORIC-944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8" w:lineRule="exact"/>
        <w:rPr>
          <w:rFonts w:ascii="Arial" w:cs="Arial" w:eastAsia="Arial" w:hAnsi="Arial"/>
          <w:sz w:val="18"/>
          <w:szCs w:val="18"/>
          <w:color w:val="auto"/>
        </w:rPr>
      </w:pPr>
    </w:p>
    <w:p>
      <w:pPr>
        <w:ind w:left="1260" w:right="500" w:hanging="503"/>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62" w:lineRule="exact"/>
        <w:rPr>
          <w:rFonts w:ascii="Arial" w:cs="Arial" w:eastAsia="Arial" w:hAnsi="Arial"/>
          <w:sz w:val="18"/>
          <w:szCs w:val="18"/>
          <w:color w:val="auto"/>
        </w:rPr>
      </w:pPr>
    </w:p>
    <w:p>
      <w:pPr>
        <w:ind w:left="1260" w:right="580" w:hanging="503"/>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left="1260" w:hanging="503"/>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pricing and reimbursement of ORIC-114, ORIC-533, ORIC-944 and other product candidates we may develop, if approved;</w:t>
      </w:r>
    </w:p>
    <w:p>
      <w:pPr>
        <w:spacing w:after="0" w:line="128" w:lineRule="exact"/>
        <w:rPr>
          <w:rFonts w:ascii="Arial" w:cs="Arial" w:eastAsia="Arial" w:hAnsi="Arial"/>
          <w:sz w:val="17"/>
          <w:szCs w:val="17"/>
          <w:color w:val="auto"/>
        </w:rPr>
      </w:pPr>
    </w:p>
    <w:p>
      <w:pPr>
        <w:ind w:left="1260" w:right="260" w:hanging="503"/>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ORIC-114, ORIC-533, ORIC-944 and other product candidates we may develop;</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period over which we estimate our existing cash, cash equivalents and investments will be sufficient to fund our operating plan;</w:t>
      </w:r>
    </w:p>
    <w:p>
      <w:pPr>
        <w:spacing w:after="0" w:line="128" w:lineRule="exact"/>
        <w:rPr>
          <w:rFonts w:ascii="Arial" w:cs="Arial" w:eastAsia="Arial" w:hAnsi="Arial"/>
          <w:sz w:val="17"/>
          <w:szCs w:val="17"/>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17" w:lineRule="exact"/>
        <w:rPr>
          <w:rFonts w:ascii="Arial" w:cs="Arial" w:eastAsia="Arial" w:hAnsi="Arial"/>
          <w:sz w:val="18"/>
          <w:szCs w:val="18"/>
          <w:color w:val="auto"/>
        </w:rPr>
      </w:pPr>
    </w:p>
    <w:p>
      <w:pPr>
        <w:ind w:left="1260" w:right="280" w:hanging="503"/>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(JOBS Act);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use of our existing resources.</w:t>
      </w:r>
    </w:p>
    <w:p>
      <w:pPr>
        <w:spacing w:after="0" w:line="117"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73"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June 30, 2023</w:t>
            </w:r>
          </w:p>
        </w:tc>
        <w:tc>
          <w:tcPr>
            <w:tcW w:w="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40" w:type="dxa"/>
            <w:vAlign w:val="bottom"/>
            <w:gridSpan w:val="2"/>
          </w:tcPr>
          <w:p>
            <w:pPr>
              <w:jc w:val="right"/>
              <w:ind w:right="1120"/>
              <w:spacing w:after="0"/>
              <w:rPr>
                <w:sz w:val="20"/>
                <w:szCs w:val="20"/>
                <w:color w:val="auto"/>
              </w:rPr>
            </w:pPr>
            <w:r>
              <w:rPr>
                <w:rFonts w:ascii="Arial" w:cs="Arial" w:eastAsia="Arial" w:hAnsi="Arial"/>
                <w:sz w:val="16"/>
                <w:szCs w:val="16"/>
                <w:color w:val="auto"/>
              </w:rPr>
              <w:t>(unaudited)</w:t>
            </w:r>
          </w:p>
        </w:tc>
        <w:tc>
          <w:tcPr>
            <w:tcW w:w="2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780" w:type="dxa"/>
            <w:vAlign w:val="bottom"/>
            <w:shd w:val="clear" w:color="auto" w:fill="CFF0FC"/>
          </w:tcPr>
          <w:p>
            <w:pPr>
              <w:ind w:left="534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7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103,683</w:t>
            </w: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66,840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160,476</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139,432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4,199</w:t>
            </w:r>
          </w:p>
        </w:tc>
        <w:tc>
          <w:tcPr>
            <w:tcW w:w="5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4,185</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78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268,358</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210,457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200"/>
              <w:spacing w:after="0"/>
              <w:rPr>
                <w:sz w:val="20"/>
                <w:szCs w:val="20"/>
                <w:color w:val="auto"/>
              </w:rPr>
            </w:pPr>
            <w:r>
              <w:rPr>
                <w:rFonts w:ascii="Arial" w:cs="Arial" w:eastAsia="Arial" w:hAnsi="Arial"/>
                <w:sz w:val="16"/>
                <w:szCs w:val="16"/>
                <w:color w:val="auto"/>
              </w:rPr>
              <w:t>Long-term investments</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9,575</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21,951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w:t>
            </w: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20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10,633</w:t>
            </w:r>
          </w:p>
        </w:tc>
        <w:tc>
          <w:tcPr>
            <w:tcW w:w="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7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291,816</w:t>
            </w:r>
          </w:p>
        </w:tc>
        <w:tc>
          <w:tcPr>
            <w:tcW w:w="5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247,178</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FF0FC"/>
          </w:tcPr>
          <w:p>
            <w:pPr>
              <w:ind w:left="4320"/>
              <w:spacing w:after="0"/>
              <w:rPr>
                <w:sz w:val="20"/>
                <w:szCs w:val="20"/>
                <w:color w:val="auto"/>
              </w:rPr>
            </w:pPr>
            <w:r>
              <w:rPr>
                <w:rFonts w:ascii="Arial" w:cs="Arial" w:eastAsia="Arial" w:hAnsi="Arial"/>
                <w:sz w:val="16"/>
                <w:szCs w:val="16"/>
                <w:b w:val="1"/>
                <w:bCs w:val="1"/>
                <w:color w:val="auto"/>
              </w:rPr>
              <w:t>Liabilities and Stockholders' Equity</w:t>
            </w:r>
          </w:p>
        </w:tc>
        <w:tc>
          <w:tcPr>
            <w:tcW w:w="16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3,191</w:t>
            </w:r>
          </w:p>
        </w:tc>
        <w:tc>
          <w:tcPr>
            <w:tcW w:w="5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Accrued liabilities</w:t>
            </w:r>
          </w:p>
        </w:tc>
        <w:tc>
          <w:tcPr>
            <w:tcW w:w="3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11,343</w:t>
            </w:r>
          </w:p>
        </w:tc>
        <w:tc>
          <w:tcPr>
            <w:tcW w:w="5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14,068</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14,534</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20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8,483</w:t>
            </w:r>
          </w:p>
        </w:tc>
        <w:tc>
          <w:tcPr>
            <w:tcW w:w="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liabilities</w:t>
            </w:r>
          </w:p>
        </w:tc>
        <w:tc>
          <w:tcPr>
            <w:tcW w:w="3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23,017</w:t>
            </w: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w:t>
            </w: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Preferred stock, $0.0001 par value; 200,000,000 shares authorized; no shares issued and</w:t>
            </w:r>
          </w:p>
        </w:tc>
        <w:tc>
          <w:tcPr>
            <w:tcW w:w="320" w:type="dxa"/>
            <w:vAlign w:val="bottom"/>
            <w:shd w:val="clear" w:color="auto" w:fill="CFF0FC"/>
          </w:tcPr>
          <w:p>
            <w:pPr>
              <w:spacing w:after="0"/>
              <w:rPr>
                <w:sz w:val="18"/>
                <w:szCs w:val="18"/>
                <w:color w:val="auto"/>
              </w:rPr>
            </w:pPr>
          </w:p>
        </w:tc>
        <w:tc>
          <w:tcPr>
            <w:tcW w:w="2140" w:type="dxa"/>
            <w:vAlign w:val="bottom"/>
            <w:gridSpan w:val="2"/>
            <w:vMerge w:val="restart"/>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outstanding at June 30, 2023 and December 31, 2022</w:t>
            </w:r>
          </w:p>
        </w:tc>
        <w:tc>
          <w:tcPr>
            <w:tcW w:w="320" w:type="dxa"/>
            <w:vAlign w:val="bottom"/>
            <w:shd w:val="clear" w:color="auto" w:fill="CFF0FC"/>
          </w:tcPr>
          <w:p>
            <w:pPr>
              <w:spacing w:after="0"/>
              <w:rPr>
                <w:sz w:val="19"/>
                <w:szCs w:val="19"/>
                <w:color w:val="auto"/>
              </w:rPr>
            </w:pPr>
          </w:p>
        </w:tc>
        <w:tc>
          <w:tcPr>
            <w:tcW w:w="214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780" w:type="dxa"/>
            <w:vAlign w:val="bottom"/>
          </w:tcPr>
          <w:p>
            <w:pPr>
              <w:ind w:left="200"/>
              <w:spacing w:after="0"/>
              <w:rPr>
                <w:sz w:val="20"/>
                <w:szCs w:val="20"/>
                <w:color w:val="auto"/>
              </w:rPr>
            </w:pPr>
            <w:r>
              <w:rPr>
                <w:rFonts w:ascii="Arial" w:cs="Arial" w:eastAsia="Arial" w:hAnsi="Arial"/>
                <w:sz w:val="16"/>
                <w:szCs w:val="16"/>
                <w:color w:val="auto"/>
              </w:rPr>
              <w:t>Common stock, $0.0001 par value; 1,000,000,000 shares authorized; 54,532,171 and</w:t>
            </w:r>
          </w:p>
        </w:tc>
        <w:tc>
          <w:tcPr>
            <w:tcW w:w="32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80" w:type="dxa"/>
            <w:vAlign w:val="bottom"/>
          </w:tcPr>
          <w:p>
            <w:pPr>
              <w:ind w:left="200"/>
              <w:spacing w:after="0"/>
              <w:rPr>
                <w:sz w:val="20"/>
                <w:szCs w:val="20"/>
                <w:color w:val="auto"/>
              </w:rPr>
            </w:pPr>
            <w:r>
              <w:rPr>
                <w:rFonts w:ascii="Arial" w:cs="Arial" w:eastAsia="Arial" w:hAnsi="Arial"/>
                <w:sz w:val="16"/>
                <w:szCs w:val="16"/>
                <w:color w:val="auto"/>
                <w:w w:val="94"/>
              </w:rPr>
              <w:t>45,089,537 shares issued and outstanding at June 30, 2023 and December 31, 2022, respectively</w:t>
            </w:r>
          </w:p>
        </w:tc>
        <w:tc>
          <w:tcPr>
            <w:tcW w:w="3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650,479</w:t>
            </w: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557,867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320" w:type="dxa"/>
            <w:vAlign w:val="bottom"/>
          </w:tcPr>
          <w:p>
            <w:pPr>
              <w:spacing w:after="0"/>
              <w:rPr>
                <w:sz w:val="20"/>
                <w:szCs w:val="20"/>
                <w:color w:val="auto"/>
              </w:rPr>
            </w:pPr>
          </w:p>
        </w:tc>
        <w:tc>
          <w:tcPr>
            <w:tcW w:w="2140" w:type="dxa"/>
            <w:vAlign w:val="bottom"/>
            <w:gridSpan w:val="2"/>
          </w:tcPr>
          <w:p>
            <w:pPr>
              <w:jc w:val="right"/>
              <w:ind w:right="420"/>
              <w:spacing w:after="0"/>
              <w:rPr>
                <w:sz w:val="20"/>
                <w:szCs w:val="20"/>
                <w:color w:val="auto"/>
              </w:rPr>
            </w:pPr>
            <w:r>
              <w:rPr>
                <w:rFonts w:ascii="Arial" w:cs="Arial" w:eastAsia="Arial" w:hAnsi="Arial"/>
                <w:sz w:val="18"/>
                <w:szCs w:val="18"/>
                <w:color w:val="auto"/>
              </w:rPr>
              <w:t>(381,119 )</w:t>
            </w:r>
          </w:p>
        </w:tc>
        <w:tc>
          <w:tcPr>
            <w:tcW w:w="220" w:type="dxa"/>
            <w:vAlign w:val="bottom"/>
          </w:tcPr>
          <w:p>
            <w:pPr>
              <w:spacing w:after="0"/>
              <w:rPr>
                <w:sz w:val="20"/>
                <w:szCs w:val="20"/>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(334,230 )</w:t>
            </w:r>
          </w:p>
        </w:tc>
        <w:tc>
          <w:tcPr>
            <w:tcW w:w="0" w:type="dxa"/>
            <w:vAlign w:val="bottom"/>
          </w:tcPr>
          <w:p>
            <w:pPr>
              <w:spacing w:after="0"/>
              <w:rPr>
                <w:sz w:val="1"/>
                <w:szCs w:val="1"/>
                <w:color w:val="auto"/>
              </w:rPr>
            </w:pPr>
          </w:p>
        </w:tc>
      </w:tr>
      <w:tr>
        <w:trPr>
          <w:trHeight w:val="243"/>
        </w:trPr>
        <w:tc>
          <w:tcPr>
            <w:tcW w:w="6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shd w:val="clear" w:color="auto" w:fill="CFF0FC"/>
          </w:tcPr>
          <w:p>
            <w:pPr>
              <w:spacing w:after="0"/>
              <w:rPr>
                <w:sz w:val="21"/>
                <w:szCs w:val="21"/>
                <w:color w:val="auto"/>
              </w:rPr>
            </w:pPr>
          </w:p>
        </w:tc>
        <w:tc>
          <w:tcPr>
            <w:tcW w:w="21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(567 )</w:t>
            </w:r>
          </w:p>
        </w:tc>
        <w:tc>
          <w:tcPr>
            <w:tcW w:w="22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(1,291 )</w:t>
            </w:r>
          </w:p>
        </w:tc>
        <w:tc>
          <w:tcPr>
            <w:tcW w:w="0" w:type="dxa"/>
            <w:vAlign w:val="bottom"/>
          </w:tcPr>
          <w:p>
            <w:pPr>
              <w:spacing w:after="0"/>
              <w:rPr>
                <w:sz w:val="1"/>
                <w:szCs w:val="1"/>
                <w:color w:val="auto"/>
              </w:rPr>
            </w:pPr>
          </w:p>
        </w:tc>
      </w:tr>
      <w:tr>
        <w:trPr>
          <w:trHeight w:val="236"/>
        </w:trPr>
        <w:tc>
          <w:tcPr>
            <w:tcW w:w="678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268,799</w:t>
            </w:r>
          </w:p>
        </w:tc>
        <w:tc>
          <w:tcPr>
            <w:tcW w:w="5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222,351</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7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291,816</w:t>
            </w:r>
          </w:p>
        </w:tc>
        <w:tc>
          <w:tcPr>
            <w:tcW w:w="5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247,178</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-4285615</wp:posOffset>
            </wp:positionV>
            <wp:extent cx="8572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-4285615</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-3350895</wp:posOffset>
            </wp:positionV>
            <wp:extent cx="15862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86230" cy="17145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-2433955</wp:posOffset>
            </wp:positionV>
            <wp:extent cx="8572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-2433955</wp:posOffset>
            </wp:positionV>
            <wp:extent cx="8572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-350520</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-350520</wp:posOffset>
            </wp:positionV>
            <wp:extent cx="857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85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5"/>
          </w:tcPr>
          <w:p>
            <w:pPr>
              <w:jc w:val="right"/>
              <w:ind w:right="861"/>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62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68"/>
        </w:trPr>
        <w:tc>
          <w:tcPr>
            <w:tcW w:w="53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r>
      <w:tr>
        <w:trPr>
          <w:trHeight w:val="239"/>
        </w:trPr>
        <w:tc>
          <w:tcPr>
            <w:tcW w:w="5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41"/>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3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18,787</w:t>
            </w:r>
          </w:p>
        </w:tc>
        <w:tc>
          <w:tcPr>
            <w:tcW w:w="5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13,834</w:t>
            </w:r>
          </w:p>
        </w:tc>
        <w:tc>
          <w:tcPr>
            <w:tcW w:w="4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38,303</w:t>
            </w:r>
          </w:p>
        </w:tc>
        <w:tc>
          <w:tcPr>
            <w:tcW w:w="5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30,662</w:t>
            </w:r>
          </w:p>
        </w:tc>
        <w:tc>
          <w:tcPr>
            <w:tcW w:w="140" w:type="dxa"/>
            <w:vAlign w:val="bottom"/>
          </w:tcPr>
          <w:p>
            <w:pPr>
              <w:spacing w:after="0"/>
              <w:rPr>
                <w:sz w:val="20"/>
                <w:szCs w:val="20"/>
                <w:color w:val="auto"/>
              </w:rPr>
            </w:pPr>
          </w:p>
        </w:tc>
      </w:tr>
      <w:tr>
        <w:trPr>
          <w:trHeight w:val="249"/>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6,205</w:t>
            </w:r>
          </w:p>
        </w:tc>
        <w:tc>
          <w:tcPr>
            <w:tcW w:w="5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6,862</w:t>
            </w:r>
          </w:p>
        </w:tc>
        <w:tc>
          <w:tcPr>
            <w:tcW w:w="4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12,367</w:t>
            </w:r>
          </w:p>
        </w:tc>
        <w:tc>
          <w:tcPr>
            <w:tcW w:w="5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13,292</w:t>
            </w:r>
          </w:p>
        </w:tc>
        <w:tc>
          <w:tcPr>
            <w:tcW w:w="140" w:type="dxa"/>
            <w:vAlign w:val="bottom"/>
            <w:shd w:val="clear" w:color="auto" w:fill="CFF0FC"/>
          </w:tcPr>
          <w:p>
            <w:pPr>
              <w:spacing w:after="0"/>
              <w:rPr>
                <w:sz w:val="21"/>
                <w:szCs w:val="21"/>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24,992</w:t>
            </w:r>
          </w:p>
        </w:tc>
        <w:tc>
          <w:tcPr>
            <w:tcW w:w="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20,696</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50,670</w:t>
            </w: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43,954</w:t>
            </w:r>
          </w:p>
        </w:tc>
        <w:tc>
          <w:tcPr>
            <w:tcW w:w="140" w:type="dxa"/>
            <w:vAlign w:val="bottom"/>
          </w:tcPr>
          <w:p>
            <w:pPr>
              <w:spacing w:after="0"/>
              <w:rPr>
                <w:sz w:val="20"/>
                <w:szCs w:val="20"/>
                <w:color w:val="auto"/>
              </w:rPr>
            </w:pPr>
          </w:p>
        </w:tc>
      </w:tr>
      <w:tr>
        <w:trPr>
          <w:trHeight w:val="24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(24,992</w:t>
            </w:r>
          </w:p>
        </w:tc>
        <w:tc>
          <w:tcPr>
            <w:tcW w:w="5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(20,696</w:t>
            </w:r>
          </w:p>
        </w:tc>
        <w:tc>
          <w:tcPr>
            <w:tcW w:w="420" w:type="dxa"/>
            <w:vAlign w:val="bottom"/>
            <w:shd w:val="clear" w:color="auto" w:fill="CFF0FC"/>
          </w:tcPr>
          <w:p>
            <w:pPr>
              <w:jc w:val="right"/>
              <w:ind w:right="28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(50,670</w:t>
            </w:r>
          </w:p>
        </w:tc>
        <w:tc>
          <w:tcPr>
            <w:tcW w:w="500" w:type="dxa"/>
            <w:vAlign w:val="bottom"/>
            <w:shd w:val="clear" w:color="auto" w:fill="CFF0FC"/>
          </w:tcPr>
          <w:p>
            <w:pPr>
              <w:jc w:val="right"/>
              <w:ind w:right="36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(43,954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2,048</w:t>
            </w:r>
          </w:p>
        </w:tc>
        <w:tc>
          <w:tcPr>
            <w:tcW w:w="5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4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3,781</w:t>
            </w:r>
          </w:p>
        </w:tc>
        <w:tc>
          <w:tcPr>
            <w:tcW w:w="5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FF0FC"/>
          </w:tcPr>
          <w:p>
            <w:pPr>
              <w:spacing w:after="0"/>
              <w:rPr>
                <w:sz w:val="21"/>
                <w:szCs w:val="2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(22,944</w:t>
            </w:r>
          </w:p>
        </w:tc>
        <w:tc>
          <w:tcPr>
            <w:tcW w:w="52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(20,287</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(46,889</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 income:</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5360" w:type="dxa"/>
            <w:vAlign w:val="bottom"/>
          </w:tcPr>
          <w:p>
            <w:pPr>
              <w:ind w:left="240"/>
              <w:spacing w:after="0"/>
              <w:rPr>
                <w:sz w:val="20"/>
                <w:szCs w:val="20"/>
                <w:color w:val="auto"/>
              </w:rPr>
            </w:pPr>
            <w:r>
              <w:rPr>
                <w:rFonts w:ascii="Arial" w:cs="Arial" w:eastAsia="Arial" w:hAnsi="Arial"/>
                <w:sz w:val="18"/>
                <w:szCs w:val="18"/>
                <w:color w:val="auto"/>
              </w:rPr>
              <w:t>Unrealized (loss) gain on investments</w:t>
            </w:r>
          </w:p>
        </w:tc>
        <w:tc>
          <w:tcPr>
            <w:tcW w:w="160" w:type="dxa"/>
            <w:vAlign w:val="bottom"/>
          </w:tcPr>
          <w:p>
            <w:pPr>
              <w:spacing w:after="0"/>
              <w:rPr>
                <w:sz w:val="20"/>
                <w:szCs w:val="20"/>
                <w:color w:val="auto"/>
              </w:rPr>
            </w:pPr>
          </w:p>
        </w:tc>
        <w:tc>
          <w:tcPr>
            <w:tcW w:w="1420" w:type="dxa"/>
            <w:vAlign w:val="bottom"/>
            <w:gridSpan w:val="2"/>
          </w:tcPr>
          <w:p>
            <w:pPr>
              <w:jc w:val="right"/>
              <w:ind w:right="350"/>
              <w:spacing w:after="0"/>
              <w:rPr>
                <w:sz w:val="20"/>
                <w:szCs w:val="20"/>
                <w:color w:val="auto"/>
              </w:rPr>
            </w:pPr>
            <w:r>
              <w:rPr>
                <w:rFonts w:ascii="Arial" w:cs="Arial" w:eastAsia="Arial" w:hAnsi="Arial"/>
                <w:sz w:val="18"/>
                <w:szCs w:val="18"/>
                <w:color w:val="auto"/>
              </w:rPr>
              <w:t>(68 )</w:t>
            </w:r>
          </w:p>
        </w:tc>
        <w:tc>
          <w:tcPr>
            <w:tcW w:w="180" w:type="dxa"/>
            <w:vAlign w:val="bottom"/>
          </w:tcPr>
          <w:p>
            <w:pPr>
              <w:spacing w:after="0"/>
              <w:rPr>
                <w:sz w:val="20"/>
                <w:szCs w:val="20"/>
                <w:color w:val="auto"/>
              </w:rPr>
            </w:pPr>
          </w:p>
        </w:tc>
        <w:tc>
          <w:tcPr>
            <w:tcW w:w="1320" w:type="dxa"/>
            <w:vAlign w:val="bottom"/>
            <w:gridSpan w:val="2"/>
          </w:tcPr>
          <w:p>
            <w:pPr>
              <w:jc w:val="right"/>
              <w:ind w:right="281"/>
              <w:spacing w:after="0"/>
              <w:rPr>
                <w:sz w:val="20"/>
                <w:szCs w:val="20"/>
                <w:color w:val="auto"/>
              </w:rPr>
            </w:pPr>
            <w:r>
              <w:rPr>
                <w:rFonts w:ascii="Arial" w:cs="Arial" w:eastAsia="Arial" w:hAnsi="Arial"/>
                <w:sz w:val="18"/>
                <w:szCs w:val="18"/>
                <w:color w:val="auto"/>
              </w:rPr>
              <w:t>(429 )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724</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(1,128 )</w:t>
            </w:r>
          </w:p>
        </w:tc>
      </w:tr>
      <w:tr>
        <w:trPr>
          <w:trHeight w:val="277"/>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(23,012</w:t>
            </w:r>
          </w:p>
        </w:tc>
        <w:tc>
          <w:tcPr>
            <w:tcW w:w="52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(20,716</w:t>
            </w:r>
          </w:p>
        </w:tc>
        <w:tc>
          <w:tcPr>
            <w:tcW w:w="420" w:type="dxa"/>
            <w:vAlign w:val="bottom"/>
            <w:tcBorders>
              <w:bottom w:val="single" w:sz="8" w:color="CFF0FC"/>
            </w:tcBorders>
            <w:shd w:val="clear" w:color="auto" w:fill="CFF0FC"/>
          </w:tcPr>
          <w:p>
            <w:pPr>
              <w:jc w:val="right"/>
              <w:ind w:right="2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(46,165</w:t>
            </w:r>
          </w:p>
        </w:tc>
        <w:tc>
          <w:tcPr>
            <w:tcW w:w="500" w:type="dxa"/>
            <w:vAlign w:val="bottom"/>
            <w:tcBorders>
              <w:bottom w:val="single" w:sz="8" w:color="CFF0FC"/>
            </w:tcBorders>
            <w:shd w:val="clear" w:color="auto" w:fill="CFF0FC"/>
          </w:tcPr>
          <w:p>
            <w:pPr>
              <w:jc w:val="right"/>
              <w:ind w:right="3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(44,574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50"/>
              <w:spacing w:after="0"/>
              <w:rPr>
                <w:sz w:val="20"/>
                <w:szCs w:val="20"/>
                <w:color w:val="auto"/>
              </w:rPr>
            </w:pPr>
            <w:r>
              <w:rPr>
                <w:rFonts w:ascii="Arial" w:cs="Arial" w:eastAsia="Arial" w:hAnsi="Arial"/>
                <w:sz w:val="18"/>
                <w:szCs w:val="18"/>
                <w:color w:val="auto"/>
              </w:rPr>
              <w:t>(0.50 )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1"/>
              <w:spacing w:after="0"/>
              <w:rPr>
                <w:sz w:val="20"/>
                <w:szCs w:val="20"/>
                <w:color w:val="auto"/>
              </w:rPr>
            </w:pPr>
            <w:r>
              <w:rPr>
                <w:rFonts w:ascii="Arial" w:cs="Arial" w:eastAsia="Arial" w:hAnsi="Arial"/>
                <w:sz w:val="18"/>
                <w:szCs w:val="18"/>
                <w:color w:val="auto"/>
              </w:rPr>
              <w:t>(0.51 )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61"/>
              <w:spacing w:after="0"/>
              <w:rPr>
                <w:sz w:val="20"/>
                <w:szCs w:val="20"/>
                <w:color w:val="auto"/>
              </w:rPr>
            </w:pPr>
            <w:r>
              <w:rPr>
                <w:rFonts w:ascii="Arial" w:cs="Arial" w:eastAsia="Arial" w:hAnsi="Arial"/>
                <w:sz w:val="18"/>
                <w:szCs w:val="18"/>
                <w:color w:val="auto"/>
              </w:rPr>
              <w:t>(1.03 )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(1.10 )</w:t>
            </w:r>
          </w:p>
        </w:tc>
      </w:tr>
      <w:tr>
        <w:trPr>
          <w:trHeight w:val="20"/>
        </w:trPr>
        <w:tc>
          <w:tcPr>
            <w:tcW w:w="5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Weighted-average shares outstanding, basic and diluted</w:t>
            </w:r>
          </w:p>
        </w:tc>
        <w:tc>
          <w:tcPr>
            <w:tcW w:w="1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45,654,208</w:t>
            </w:r>
          </w:p>
        </w:tc>
        <w:tc>
          <w:tcPr>
            <w:tcW w:w="5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39,481,628</w:t>
            </w:r>
          </w:p>
        </w:tc>
        <w:tc>
          <w:tcPr>
            <w:tcW w:w="4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45,373,745</w:t>
            </w:r>
          </w:p>
        </w:tc>
        <w:tc>
          <w:tcPr>
            <w:tcW w:w="5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39,456,812</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-1692275</wp:posOffset>
            </wp:positionV>
            <wp:extent cx="308610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86100" cy="19685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-385445</wp:posOffset>
            </wp:positionV>
            <wp:extent cx="306070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60700" cy="20574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-25400</wp:posOffset>
            </wp:positionV>
            <wp:extent cx="3060700" cy="197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60700" cy="19748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760" w:type="dxa"/>
            <w:vAlign w:val="bottom"/>
            <w:gridSpan w:val="4"/>
            <w:vMerge w:val="restart"/>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Comprehensiv</w:t>
            </w: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4"/>
                <w:szCs w:val="14"/>
                <w:color w:val="auto"/>
              </w:rPr>
            </w:pPr>
          </w:p>
        </w:tc>
        <w:tc>
          <w:tcPr>
            <w:tcW w:w="1760" w:type="dxa"/>
            <w:vAlign w:val="bottom"/>
            <w:tcBorders>
              <w:bottom w:val="single" w:sz="8" w:color="auto"/>
            </w:tcBorders>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Paid-in</w:t>
            </w:r>
          </w:p>
        </w:tc>
        <w:tc>
          <w:tcPr>
            <w:tcW w:w="2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Capital</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Gain (Loss)</w:t>
            </w:r>
          </w:p>
        </w:tc>
        <w:tc>
          <w:tcPr>
            <w:tcW w:w="1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37"/>
        </w:trPr>
        <w:tc>
          <w:tcPr>
            <w:tcW w:w="3480" w:type="dxa"/>
            <w:vAlign w:val="bottom"/>
            <w:shd w:val="clear" w:color="auto" w:fill="CFF0FC"/>
          </w:tcPr>
          <w:p>
            <w:pPr>
              <w:spacing w:after="0" w:line="137" w:lineRule="exact"/>
              <w:rPr>
                <w:sz w:val="20"/>
                <w:szCs w:val="20"/>
                <w:color w:val="auto"/>
              </w:rPr>
            </w:pPr>
            <w:r>
              <w:rPr>
                <w:rFonts w:ascii="Arial" w:cs="Arial" w:eastAsia="Arial" w:hAnsi="Arial"/>
                <w:sz w:val="14"/>
                <w:szCs w:val="14"/>
                <w:b w:val="1"/>
                <w:bCs w:val="1"/>
                <w:color w:val="auto"/>
              </w:rPr>
              <w:t>Balance at December 31, 2022</w:t>
            </w:r>
          </w:p>
        </w:tc>
        <w:tc>
          <w:tcPr>
            <w:tcW w:w="78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45,089,53</w:t>
            </w:r>
          </w:p>
        </w:tc>
        <w:tc>
          <w:tcPr>
            <w:tcW w:w="2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4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557,867</w:t>
            </w:r>
          </w:p>
        </w:tc>
        <w:tc>
          <w:tcPr>
            <w:tcW w:w="4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(334,230 )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(1,291 )</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222,351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tcPr>
          <w:p>
            <w:pPr>
              <w:ind w:left="180"/>
              <w:spacing w:after="0"/>
              <w:rPr>
                <w:sz w:val="20"/>
                <w:szCs w:val="20"/>
                <w:color w:val="auto"/>
              </w:rPr>
            </w:pPr>
            <w:r>
              <w:rPr>
                <w:rFonts w:ascii="Arial" w:cs="Arial" w:eastAsia="Arial" w:hAnsi="Arial"/>
                <w:sz w:val="14"/>
                <w:szCs w:val="14"/>
                <w:color w:val="auto"/>
              </w:rPr>
              <w:t>Exercise of common 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4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Issuance of common stock upon vesting of RSUs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48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3,614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Unrealized gain on investments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792</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(23,945 )</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(23,945 )</w:t>
            </w:r>
          </w:p>
        </w:tc>
        <w:tc>
          <w:tcPr>
            <w:tcW w:w="0" w:type="dxa"/>
            <w:vAlign w:val="bottom"/>
          </w:tcPr>
          <w:p>
            <w:pPr>
              <w:spacing w:after="0"/>
              <w:rPr>
                <w:sz w:val="1"/>
                <w:szCs w:val="1"/>
                <w:color w:val="auto"/>
              </w:rPr>
            </w:pPr>
          </w:p>
        </w:tc>
      </w:tr>
      <w:tr>
        <w:trPr>
          <w:trHeight w:val="137"/>
        </w:trPr>
        <w:tc>
          <w:tcPr>
            <w:tcW w:w="3480" w:type="dxa"/>
            <w:vAlign w:val="bottom"/>
            <w:shd w:val="clear" w:color="auto" w:fill="CFF0FC"/>
          </w:tcPr>
          <w:p>
            <w:pPr>
              <w:spacing w:after="0" w:line="137" w:lineRule="exact"/>
              <w:rPr>
                <w:sz w:val="20"/>
                <w:szCs w:val="20"/>
                <w:color w:val="auto"/>
              </w:rPr>
            </w:pPr>
            <w:r>
              <w:rPr>
                <w:rFonts w:ascii="Arial" w:cs="Arial" w:eastAsia="Arial" w:hAnsi="Arial"/>
                <w:sz w:val="14"/>
                <w:szCs w:val="14"/>
                <w:b w:val="1"/>
                <w:bCs w:val="1"/>
                <w:color w:val="auto"/>
              </w:rPr>
              <w:t>Balance at March 31, 2023</w:t>
            </w:r>
          </w:p>
        </w:tc>
        <w:tc>
          <w:tcPr>
            <w:tcW w:w="78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45,091,21</w:t>
            </w:r>
          </w:p>
        </w:tc>
        <w:tc>
          <w:tcPr>
            <w:tcW w:w="2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34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561,481</w:t>
            </w:r>
          </w:p>
        </w:tc>
        <w:tc>
          <w:tcPr>
            <w:tcW w:w="4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(358,175 )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(499 )</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202,812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3480" w:type="dxa"/>
            <w:vAlign w:val="bottom"/>
            <w:tcBorders>
              <w:top w:val="single" w:sz="8" w:color="CFF0FC"/>
            </w:tcBorders>
          </w:tcPr>
          <w:p>
            <w:pPr>
              <w:ind w:left="180"/>
              <w:spacing w:after="0" w:line="124" w:lineRule="exact"/>
              <w:rPr>
                <w:sz w:val="20"/>
                <w:szCs w:val="20"/>
                <w:color w:val="auto"/>
              </w:rPr>
            </w:pPr>
            <w:r>
              <w:rPr>
                <w:rFonts w:ascii="Arial" w:cs="Arial" w:eastAsia="Arial" w:hAnsi="Arial"/>
                <w:sz w:val="14"/>
                <w:szCs w:val="14"/>
                <w:color w:val="auto"/>
              </w:rPr>
              <w:t>Issuance of common stock and pre-funded warrants,</w:t>
            </w:r>
          </w:p>
        </w:tc>
        <w:tc>
          <w:tcPr>
            <w:tcW w:w="78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480" w:type="dxa"/>
            <w:vAlign w:val="bottom"/>
          </w:tcPr>
          <w:p>
            <w:pPr>
              <w:ind w:left="180"/>
              <w:spacing w:after="0"/>
              <w:rPr>
                <w:sz w:val="20"/>
                <w:szCs w:val="20"/>
                <w:color w:val="auto"/>
              </w:rPr>
            </w:pPr>
            <w:r>
              <w:rPr>
                <w:rFonts w:ascii="Arial" w:cs="Arial" w:eastAsia="Arial" w:hAnsi="Arial"/>
                <w:sz w:val="14"/>
                <w:szCs w:val="14"/>
                <w:color w:val="auto"/>
              </w:rPr>
              <w:t>net</w:t>
            </w:r>
          </w:p>
        </w:tc>
        <w:tc>
          <w:tcPr>
            <w:tcW w:w="780" w:type="dxa"/>
            <w:vAlign w:val="bottom"/>
          </w:tcPr>
          <w:p>
            <w:pPr>
              <w:jc w:val="right"/>
              <w:spacing w:after="0"/>
              <w:rPr>
                <w:sz w:val="20"/>
                <w:szCs w:val="20"/>
                <w:color w:val="auto"/>
              </w:rPr>
            </w:pPr>
            <w:r>
              <w:rPr>
                <w:rFonts w:ascii="Arial" w:cs="Arial" w:eastAsia="Arial" w:hAnsi="Arial"/>
                <w:sz w:val="14"/>
                <w:szCs w:val="14"/>
                <w:color w:val="auto"/>
              </w:rPr>
              <w:t>9,285,710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84,773</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84,774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Issuance of common stock upon vesting of RSUs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9,308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480" w:type="dxa"/>
            <w:vAlign w:val="bottom"/>
          </w:tcPr>
          <w:p>
            <w:pPr>
              <w:ind w:left="180"/>
              <w:spacing w:after="0"/>
              <w:rPr>
                <w:sz w:val="20"/>
                <w:szCs w:val="20"/>
                <w:color w:val="auto"/>
              </w:rPr>
            </w:pPr>
            <w:r>
              <w:rPr>
                <w:rFonts w:ascii="Arial" w:cs="Arial" w:eastAsia="Arial" w:hAnsi="Arial"/>
                <w:sz w:val="14"/>
                <w:szCs w:val="14"/>
                <w:color w:val="auto"/>
              </w:rPr>
              <w:t>Issuance of common stock from ESPP</w:t>
            </w:r>
          </w:p>
        </w:tc>
        <w:tc>
          <w:tcPr>
            <w:tcW w:w="780" w:type="dxa"/>
            <w:vAlign w:val="bottom"/>
          </w:tcPr>
          <w:p>
            <w:pPr>
              <w:jc w:val="right"/>
              <w:spacing w:after="0"/>
              <w:rPr>
                <w:sz w:val="20"/>
                <w:szCs w:val="20"/>
                <w:color w:val="auto"/>
              </w:rPr>
            </w:pPr>
            <w:r>
              <w:rPr>
                <w:rFonts w:ascii="Arial" w:cs="Arial" w:eastAsia="Arial" w:hAnsi="Arial"/>
                <w:sz w:val="14"/>
                <w:szCs w:val="14"/>
                <w:color w:val="auto"/>
              </w:rPr>
              <w:t>145,938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3,825</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tcPr>
          <w:p>
            <w:pPr>
              <w:ind w:left="180"/>
              <w:spacing w:after="0"/>
              <w:rPr>
                <w:sz w:val="20"/>
                <w:szCs w:val="20"/>
                <w:color w:val="auto"/>
              </w:rPr>
            </w:pPr>
            <w:r>
              <w:rPr>
                <w:rFonts w:ascii="Arial" w:cs="Arial" w:eastAsia="Arial" w:hAnsi="Arial"/>
                <w:sz w:val="14"/>
                <w:szCs w:val="14"/>
                <w:color w:val="auto"/>
              </w:rPr>
              <w:t>Unrealized loss on investments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(68 )</w:t>
            </w:r>
          </w:p>
        </w:tc>
        <w:tc>
          <w:tcPr>
            <w:tcW w:w="1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176"/>
        </w:trPr>
        <w:tc>
          <w:tcPr>
            <w:tcW w:w="34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(22,944 )</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(22,944 )</w:t>
            </w:r>
          </w:p>
        </w:tc>
        <w:tc>
          <w:tcPr>
            <w:tcW w:w="0" w:type="dxa"/>
            <w:vAlign w:val="bottom"/>
          </w:tcPr>
          <w:p>
            <w:pPr>
              <w:spacing w:after="0"/>
              <w:rPr>
                <w:sz w:val="1"/>
                <w:szCs w:val="1"/>
                <w:color w:val="auto"/>
              </w:rPr>
            </w:pPr>
          </w:p>
        </w:tc>
      </w:tr>
      <w:tr>
        <w:trPr>
          <w:trHeight w:val="137"/>
        </w:trPr>
        <w:tc>
          <w:tcPr>
            <w:tcW w:w="3480" w:type="dxa"/>
            <w:vAlign w:val="bottom"/>
            <w:tcBorders>
              <w:top w:val="single" w:sz="8" w:color="CFF0FC"/>
            </w:tcBorders>
          </w:tcPr>
          <w:p>
            <w:pPr>
              <w:spacing w:after="0" w:line="137" w:lineRule="exact"/>
              <w:rPr>
                <w:sz w:val="20"/>
                <w:szCs w:val="20"/>
                <w:color w:val="auto"/>
              </w:rPr>
            </w:pPr>
            <w:r>
              <w:rPr>
                <w:rFonts w:ascii="Arial" w:cs="Arial" w:eastAsia="Arial" w:hAnsi="Arial"/>
                <w:sz w:val="14"/>
                <w:szCs w:val="14"/>
                <w:b w:val="1"/>
                <w:bCs w:val="1"/>
                <w:color w:val="auto"/>
              </w:rPr>
              <w:t>Balance at June 30, 2023</w:t>
            </w:r>
          </w:p>
        </w:tc>
        <w:tc>
          <w:tcPr>
            <w:tcW w:w="7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54,532,17</w:t>
            </w:r>
          </w:p>
        </w:tc>
        <w:tc>
          <w:tcPr>
            <w:tcW w:w="2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650,479</w:t>
            </w:r>
          </w:p>
        </w:tc>
        <w:tc>
          <w:tcPr>
            <w:tcW w:w="28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(381,119 )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(567 )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268,799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760" w:type="dxa"/>
            <w:vAlign w:val="bottom"/>
            <w:gridSpan w:val="4"/>
            <w:vMerge w:val="restart"/>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Comprehensiv</w:t>
            </w: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4"/>
                <w:szCs w:val="14"/>
                <w:color w:val="auto"/>
              </w:rPr>
            </w:pPr>
          </w:p>
        </w:tc>
        <w:tc>
          <w:tcPr>
            <w:tcW w:w="1760" w:type="dxa"/>
            <w:vAlign w:val="bottom"/>
            <w:tcBorders>
              <w:bottom w:val="single" w:sz="8" w:color="auto"/>
            </w:tcBorders>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Paid-in</w:t>
            </w:r>
          </w:p>
        </w:tc>
        <w:tc>
          <w:tcPr>
            <w:tcW w:w="2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Capital</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Gain (Loss)</w:t>
            </w:r>
          </w:p>
        </w:tc>
        <w:tc>
          <w:tcPr>
            <w:tcW w:w="1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37"/>
        </w:trPr>
        <w:tc>
          <w:tcPr>
            <w:tcW w:w="3480" w:type="dxa"/>
            <w:vAlign w:val="bottom"/>
            <w:shd w:val="clear" w:color="auto" w:fill="CFF0FC"/>
          </w:tcPr>
          <w:p>
            <w:pPr>
              <w:spacing w:after="0" w:line="137" w:lineRule="exact"/>
              <w:rPr>
                <w:sz w:val="20"/>
                <w:szCs w:val="20"/>
                <w:color w:val="auto"/>
              </w:rPr>
            </w:pPr>
            <w:r>
              <w:rPr>
                <w:rFonts w:ascii="Arial" w:cs="Arial" w:eastAsia="Arial" w:hAnsi="Arial"/>
                <w:sz w:val="14"/>
                <w:szCs w:val="14"/>
                <w:b w:val="1"/>
                <w:bCs w:val="1"/>
                <w:color w:val="auto"/>
              </w:rPr>
              <w:t>Balance at December 31, 2021</w:t>
            </w:r>
          </w:p>
        </w:tc>
        <w:tc>
          <w:tcPr>
            <w:tcW w:w="78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39,430,12</w:t>
            </w:r>
          </w:p>
        </w:tc>
        <w:tc>
          <w:tcPr>
            <w:tcW w:w="2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4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518,183</w:t>
            </w:r>
          </w:p>
        </w:tc>
        <w:tc>
          <w:tcPr>
            <w:tcW w:w="4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(245,108 )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(103 )</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272,976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tcPr>
          <w:p>
            <w:pPr>
              <w:ind w:left="180"/>
              <w:spacing w:after="0"/>
              <w:rPr>
                <w:sz w:val="20"/>
                <w:szCs w:val="20"/>
                <w:color w:val="auto"/>
              </w:rPr>
            </w:pPr>
            <w:r>
              <w:rPr>
                <w:rFonts w:ascii="Arial" w:cs="Arial" w:eastAsia="Arial" w:hAnsi="Arial"/>
                <w:sz w:val="14"/>
                <w:szCs w:val="14"/>
                <w:color w:val="auto"/>
              </w:rPr>
              <w:t>Exercise of common 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8,482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3,945</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80" w:type="dxa"/>
            <w:vAlign w:val="bottom"/>
          </w:tcPr>
          <w:p>
            <w:pPr>
              <w:ind w:left="180"/>
              <w:spacing w:after="0"/>
              <w:rPr>
                <w:sz w:val="20"/>
                <w:szCs w:val="20"/>
                <w:color w:val="auto"/>
              </w:rPr>
            </w:pPr>
            <w:r>
              <w:rPr>
                <w:rFonts w:ascii="Arial" w:cs="Arial" w:eastAsia="Arial" w:hAnsi="Arial"/>
                <w:sz w:val="14"/>
                <w:szCs w:val="14"/>
                <w:color w:val="auto"/>
              </w:rPr>
              <w:t>Unrealized loss on investments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(699 )</w:t>
            </w:r>
          </w:p>
        </w:tc>
        <w:tc>
          <w:tcPr>
            <w:tcW w:w="1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(699 )</w:t>
            </w:r>
          </w:p>
        </w:tc>
        <w:tc>
          <w:tcPr>
            <w:tcW w:w="0" w:type="dxa"/>
            <w:vAlign w:val="bottom"/>
          </w:tcPr>
          <w:p>
            <w:pPr>
              <w:spacing w:after="0"/>
              <w:rPr>
                <w:sz w:val="1"/>
                <w:szCs w:val="1"/>
                <w:color w:val="auto"/>
              </w:rPr>
            </w:pPr>
          </w:p>
        </w:tc>
      </w:tr>
      <w:tr>
        <w:trPr>
          <w:trHeight w:val="175"/>
        </w:trPr>
        <w:tc>
          <w:tcPr>
            <w:tcW w:w="34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(23,159 )</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(23,159 )</w:t>
            </w:r>
          </w:p>
        </w:tc>
        <w:tc>
          <w:tcPr>
            <w:tcW w:w="0" w:type="dxa"/>
            <w:vAlign w:val="bottom"/>
          </w:tcPr>
          <w:p>
            <w:pPr>
              <w:spacing w:after="0"/>
              <w:rPr>
                <w:sz w:val="1"/>
                <w:szCs w:val="1"/>
                <w:color w:val="auto"/>
              </w:rPr>
            </w:pPr>
          </w:p>
        </w:tc>
      </w:tr>
      <w:tr>
        <w:trPr>
          <w:trHeight w:val="137"/>
        </w:trPr>
        <w:tc>
          <w:tcPr>
            <w:tcW w:w="3480" w:type="dxa"/>
            <w:vAlign w:val="bottom"/>
            <w:tcBorders>
              <w:top w:val="single" w:sz="8" w:color="CFF0FC"/>
            </w:tcBorders>
          </w:tcPr>
          <w:p>
            <w:pPr>
              <w:spacing w:after="0" w:line="137" w:lineRule="exact"/>
              <w:rPr>
                <w:sz w:val="20"/>
                <w:szCs w:val="20"/>
                <w:color w:val="auto"/>
              </w:rPr>
            </w:pPr>
            <w:r>
              <w:rPr>
                <w:rFonts w:ascii="Arial" w:cs="Arial" w:eastAsia="Arial" w:hAnsi="Arial"/>
                <w:sz w:val="14"/>
                <w:szCs w:val="14"/>
                <w:b w:val="1"/>
                <w:bCs w:val="1"/>
                <w:color w:val="auto"/>
              </w:rPr>
              <w:t>Balance at March 31, 2022</w:t>
            </w:r>
          </w:p>
        </w:tc>
        <w:tc>
          <w:tcPr>
            <w:tcW w:w="7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39,438,60</w:t>
            </w:r>
          </w:p>
        </w:tc>
        <w:tc>
          <w:tcPr>
            <w:tcW w:w="2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522,144</w:t>
            </w:r>
          </w:p>
        </w:tc>
        <w:tc>
          <w:tcPr>
            <w:tcW w:w="28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(268,267 )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(802 )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253,079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80" w:type="dxa"/>
            <w:vAlign w:val="bottom"/>
            <w:shd w:val="clear" w:color="auto" w:fill="CFF0FC"/>
          </w:tcPr>
          <w:p>
            <w:pPr>
              <w:ind w:left="180"/>
              <w:spacing w:after="0" w:line="156" w:lineRule="exact"/>
              <w:rPr>
                <w:sz w:val="20"/>
                <w:szCs w:val="20"/>
                <w:color w:val="auto"/>
              </w:rPr>
            </w:pPr>
            <w:r>
              <w:rPr>
                <w:rFonts w:ascii="Arial" w:cs="Arial" w:eastAsia="Arial" w:hAnsi="Arial"/>
                <w:sz w:val="14"/>
                <w:szCs w:val="14"/>
                <w:color w:val="auto"/>
              </w:rPr>
              <w:t>Exercise of common stock options</w:t>
            </w: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38,407</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61</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80" w:type="dxa"/>
            <w:vAlign w:val="bottom"/>
          </w:tcPr>
          <w:p>
            <w:pPr>
              <w:ind w:left="180"/>
              <w:spacing w:after="0"/>
              <w:rPr>
                <w:sz w:val="20"/>
                <w:szCs w:val="20"/>
                <w:color w:val="auto"/>
              </w:rPr>
            </w:pPr>
            <w:r>
              <w:rPr>
                <w:rFonts w:ascii="Arial" w:cs="Arial" w:eastAsia="Arial" w:hAnsi="Arial"/>
                <w:sz w:val="14"/>
                <w:szCs w:val="14"/>
                <w:color w:val="auto"/>
              </w:rPr>
              <w:t>Issuance of common stock from ESPP</w:t>
            </w:r>
          </w:p>
        </w:tc>
        <w:tc>
          <w:tcPr>
            <w:tcW w:w="780" w:type="dxa"/>
            <w:vAlign w:val="bottom"/>
          </w:tcPr>
          <w:p>
            <w:pPr>
              <w:jc w:val="right"/>
              <w:spacing w:after="0"/>
              <w:rPr>
                <w:sz w:val="20"/>
                <w:szCs w:val="20"/>
                <w:color w:val="auto"/>
              </w:rPr>
            </w:pPr>
            <w:r>
              <w:rPr>
                <w:rFonts w:ascii="Arial" w:cs="Arial" w:eastAsia="Arial" w:hAnsi="Arial"/>
                <w:sz w:val="14"/>
                <w:szCs w:val="14"/>
                <w:color w:val="auto"/>
              </w:rPr>
              <w:t>98,445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4,092</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80" w:type="dxa"/>
            <w:vAlign w:val="bottom"/>
          </w:tcPr>
          <w:p>
            <w:pPr>
              <w:ind w:left="180"/>
              <w:spacing w:after="0"/>
              <w:rPr>
                <w:sz w:val="20"/>
                <w:szCs w:val="20"/>
                <w:color w:val="auto"/>
              </w:rPr>
            </w:pPr>
            <w:r>
              <w:rPr>
                <w:rFonts w:ascii="Arial" w:cs="Arial" w:eastAsia="Arial" w:hAnsi="Arial"/>
                <w:sz w:val="14"/>
                <w:szCs w:val="14"/>
                <w:color w:val="auto"/>
              </w:rPr>
              <w:t>Unrealized loss on investments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(429 )</w:t>
            </w:r>
          </w:p>
        </w:tc>
        <w:tc>
          <w:tcPr>
            <w:tcW w:w="1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(429 )</w:t>
            </w:r>
          </w:p>
        </w:tc>
        <w:tc>
          <w:tcPr>
            <w:tcW w:w="0" w:type="dxa"/>
            <w:vAlign w:val="bottom"/>
          </w:tcPr>
          <w:p>
            <w:pPr>
              <w:spacing w:after="0"/>
              <w:rPr>
                <w:sz w:val="1"/>
                <w:szCs w:val="1"/>
                <w:color w:val="auto"/>
              </w:rPr>
            </w:pPr>
          </w:p>
        </w:tc>
      </w:tr>
      <w:tr>
        <w:trPr>
          <w:trHeight w:val="175"/>
        </w:trPr>
        <w:tc>
          <w:tcPr>
            <w:tcW w:w="34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(20,287 )</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(20,287 )</w:t>
            </w:r>
          </w:p>
        </w:tc>
        <w:tc>
          <w:tcPr>
            <w:tcW w:w="0" w:type="dxa"/>
            <w:vAlign w:val="bottom"/>
          </w:tcPr>
          <w:p>
            <w:pPr>
              <w:spacing w:after="0"/>
              <w:rPr>
                <w:sz w:val="1"/>
                <w:szCs w:val="1"/>
                <w:color w:val="auto"/>
              </w:rPr>
            </w:pPr>
          </w:p>
        </w:tc>
      </w:tr>
      <w:tr>
        <w:trPr>
          <w:trHeight w:val="137"/>
        </w:trPr>
        <w:tc>
          <w:tcPr>
            <w:tcW w:w="3480" w:type="dxa"/>
            <w:vAlign w:val="bottom"/>
            <w:tcBorders>
              <w:top w:val="single" w:sz="8" w:color="CFF0FC"/>
            </w:tcBorders>
          </w:tcPr>
          <w:p>
            <w:pPr>
              <w:spacing w:after="0" w:line="137" w:lineRule="exact"/>
              <w:rPr>
                <w:sz w:val="20"/>
                <w:szCs w:val="20"/>
                <w:color w:val="auto"/>
              </w:rPr>
            </w:pPr>
            <w:r>
              <w:rPr>
                <w:rFonts w:ascii="Arial" w:cs="Arial" w:eastAsia="Arial" w:hAnsi="Arial"/>
                <w:sz w:val="14"/>
                <w:szCs w:val="14"/>
                <w:b w:val="1"/>
                <w:bCs w:val="1"/>
                <w:color w:val="auto"/>
              </w:rPr>
              <w:t>Balance at June 30, 2022</w:t>
            </w:r>
          </w:p>
        </w:tc>
        <w:tc>
          <w:tcPr>
            <w:tcW w:w="7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39,575,45</w:t>
            </w:r>
          </w:p>
        </w:tc>
        <w:tc>
          <w:tcPr>
            <w:tcW w:w="2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526,651</w:t>
            </w:r>
          </w:p>
        </w:tc>
        <w:tc>
          <w:tcPr>
            <w:tcW w:w="4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(288,554 )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(1,231 )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236,870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-3385185</wp:posOffset>
            </wp:positionV>
            <wp:extent cx="3703320" cy="2311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03320" cy="231140"/>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-2596515</wp:posOffset>
            </wp:positionV>
            <wp:extent cx="77470"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-2596515</wp:posOffset>
            </wp:positionV>
            <wp:extent cx="7747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-2596515</wp:posOffset>
            </wp:positionV>
            <wp:extent cx="7747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-2596515</wp:posOffset>
            </wp:positionV>
            <wp:extent cx="76835"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-2596515</wp:posOffset>
            </wp:positionV>
            <wp:extent cx="7747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-2596515</wp:posOffset>
            </wp:positionV>
            <wp:extent cx="7747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-1036320</wp:posOffset>
            </wp:positionV>
            <wp:extent cx="7747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-1036320</wp:posOffset>
            </wp:positionV>
            <wp:extent cx="7747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-1036320</wp:posOffset>
            </wp:positionV>
            <wp:extent cx="7747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-1036320</wp:posOffset>
            </wp:positionV>
            <wp:extent cx="76835"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-1036320</wp:posOffset>
            </wp:positionV>
            <wp:extent cx="7747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-1036320</wp:posOffset>
            </wp:positionV>
            <wp:extent cx="7747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-239395</wp:posOffset>
            </wp:positionV>
            <wp:extent cx="77470"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-239395</wp:posOffset>
            </wp:positionV>
            <wp:extent cx="77470"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-239395</wp:posOffset>
            </wp:positionV>
            <wp:extent cx="7747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-239395</wp:posOffset>
            </wp:positionV>
            <wp:extent cx="76835"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-239395</wp:posOffset>
            </wp:positionV>
            <wp:extent cx="7747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-239395</wp:posOffset>
            </wp:positionV>
            <wp:extent cx="7747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240030"/>
                    </a:xfrm>
                    <a:prstGeom prst="rect">
                      <a:avLst/>
                    </a:prstGeom>
                    <a:noFill/>
                  </pic:spPr>
                </pic:pic>
              </a:graphicData>
            </a:graphic>
          </wp:anchor>
        </w:drawing>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4"/>
              </w:rPr>
              <w:t>(46,889 )</w:t>
            </w:r>
          </w:p>
        </w:tc>
        <w:tc>
          <w:tcPr>
            <w:tcW w:w="2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(43,446 )</w:t>
            </w: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7,439</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8,037</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Loss on fixed asset disposals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Accretion of discount on investments, net</w:t>
            </w:r>
          </w:p>
        </w:tc>
        <w:tc>
          <w:tcPr>
            <w:tcW w:w="9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(2,124 )</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(52 )</w:t>
            </w: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(2,112 )</w:t>
            </w: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Accounts payable and accrued other liabilities</w:t>
            </w:r>
          </w:p>
        </w:tc>
        <w:tc>
          <w:tcPr>
            <w:tcW w:w="9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(1,612 )</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(3,419 )</w:t>
            </w:r>
          </w:p>
        </w:tc>
      </w:tr>
      <w:tr>
        <w:trPr>
          <w:trHeight w:val="237"/>
        </w:trPr>
        <w:tc>
          <w:tcPr>
            <w:tcW w:w="76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(41,773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(40,494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Acquisitions of property and equipment</w:t>
            </w:r>
          </w:p>
        </w:tc>
        <w:tc>
          <w:tcPr>
            <w:tcW w:w="9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(715 )</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(1,390 )</w:t>
            </w: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investments</w:t>
            </w:r>
          </w:p>
        </w:tc>
        <w:tc>
          <w:tcPr>
            <w:tcW w:w="9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(99,285 )</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(145,473 )</w:t>
            </w:r>
          </w:p>
        </w:tc>
      </w:tr>
      <w:tr>
        <w:trPr>
          <w:trHeight w:val="237"/>
        </w:trPr>
        <w:tc>
          <w:tcPr>
            <w:tcW w:w="764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Maturities of investments</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93,465</w:t>
            </w:r>
          </w:p>
        </w:tc>
        <w:tc>
          <w:tcPr>
            <w:tcW w:w="1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Borders>
              <w:bottom w:val="single" w:sz="8" w:color="CFF0FC"/>
            </w:tcBorders>
          </w:tcPr>
          <w:p>
            <w:pPr>
              <w:spacing w:after="0"/>
              <w:rPr>
                <w:sz w:val="20"/>
                <w:szCs w:val="20"/>
                <w:color w:val="auto"/>
              </w:rPr>
            </w:pPr>
          </w:p>
        </w:tc>
      </w:tr>
      <w:tr>
        <w:trPr>
          <w:trHeight w:val="237"/>
        </w:trPr>
        <w:tc>
          <w:tcPr>
            <w:tcW w:w="76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(136,863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and pre-funded warrants, net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84,774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under ESPP</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Proceeds from stock option exercises</w:t>
            </w:r>
          </w:p>
        </w:tc>
        <w:tc>
          <w:tcPr>
            <w:tcW w:w="940" w:type="dxa"/>
            <w:vAlign w:val="bottom"/>
          </w:tcPr>
          <w:p>
            <w:pPr>
              <w:spacing w:after="0"/>
              <w:rPr>
                <w:sz w:val="20"/>
                <w:szCs w:val="20"/>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0"/>
                <w:szCs w:val="20"/>
                <w:color w:val="auto"/>
              </w:rPr>
            </w:pPr>
          </w:p>
        </w:tc>
      </w:tr>
      <w:tr>
        <w:trPr>
          <w:trHeight w:val="237"/>
        </w:trPr>
        <w:tc>
          <w:tcPr>
            <w:tcW w:w="76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85,174</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43"/>
        </w:trPr>
        <w:tc>
          <w:tcPr>
            <w:tcW w:w="7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(176,926 )</w:t>
            </w:r>
          </w:p>
        </w:tc>
      </w:tr>
      <w:tr>
        <w:trPr>
          <w:trHeight w:val="243"/>
        </w:trPr>
        <w:tc>
          <w:tcPr>
            <w:tcW w:w="7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67,308</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226,474</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104,174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49,548</w:t>
            </w:r>
          </w:p>
        </w:tc>
        <w:tc>
          <w:tcPr>
            <w:tcW w:w="14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-2699385</wp:posOffset>
            </wp:positionV>
            <wp:extent cx="85725"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-2699385</wp:posOffset>
            </wp:positionV>
            <wp:extent cx="85725"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-1932305</wp:posOffset>
            </wp:positionV>
            <wp:extent cx="7145020" cy="3384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-814070</wp:posOffset>
            </wp:positionV>
            <wp:extent cx="8572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-814070</wp:posOffset>
            </wp:positionV>
            <wp:extent cx="8572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8572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within the balance sheets to the amounts shown in the statements of cash flows above,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43"/>
        </w:trPr>
        <w:tc>
          <w:tcPr>
            <w:tcW w:w="764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21"/>
                <w:szCs w:val="21"/>
                <w:color w:val="auto"/>
              </w:rPr>
            </w:pPr>
          </w:p>
        </w:tc>
      </w:tr>
      <w:tr>
        <w:trPr>
          <w:trHeight w:val="23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103,683</w:t>
            </w:r>
          </w:p>
        </w:tc>
        <w:tc>
          <w:tcPr>
            <w:tcW w:w="3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49,080</w:t>
            </w:r>
          </w:p>
        </w:tc>
        <w:tc>
          <w:tcPr>
            <w:tcW w:w="140" w:type="dxa"/>
            <w:vAlign w:val="bottom"/>
            <w:shd w:val="clear" w:color="auto" w:fill="CFF0FC"/>
          </w:tcPr>
          <w:p>
            <w:pPr>
              <w:spacing w:after="0"/>
              <w:rPr>
                <w:sz w:val="20"/>
                <w:szCs w:val="20"/>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21"/>
                <w:szCs w:val="21"/>
                <w:color w:val="auto"/>
              </w:rPr>
            </w:pPr>
          </w:p>
        </w:tc>
      </w:tr>
      <w:tr>
        <w:trPr>
          <w:trHeight w:val="276"/>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cash, cash equivalents and restricted cash</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104,174</w:t>
            </w:r>
          </w:p>
        </w:tc>
        <w:tc>
          <w:tcPr>
            <w:tcW w:w="3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49,548</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-24765</wp:posOffset>
            </wp:positionV>
            <wp:extent cx="857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99"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the Business</w:t>
      </w:r>
    </w:p>
    <w:p>
      <w:pPr>
        <w:spacing w:after="0" w:line="121" w:lineRule="exact"/>
        <w:rPr>
          <w:sz w:val="20"/>
          <w:szCs w:val="20"/>
          <w:color w:val="auto"/>
        </w:rPr>
      </w:pPr>
    </w:p>
    <w:p>
      <w:pPr>
        <w:jc w:val="both"/>
        <w:ind w:right="300" w:firstLine="749"/>
        <w:spacing w:after="0" w:line="286" w:lineRule="auto"/>
        <w:rPr>
          <w:sz w:val="20"/>
          <w:szCs w:val="20"/>
          <w:color w:val="auto"/>
        </w:rPr>
      </w:pPr>
      <w:r>
        <w:rPr>
          <w:rFonts w:ascii="Arial" w:cs="Arial" w:eastAsia="Arial" w:hAnsi="Arial"/>
          <w:sz w:val="17"/>
          <w:szCs w:val="17"/>
          <w:color w:val="auto"/>
        </w:rPr>
        <w:t xml:space="preserve">ORIC Pharmaceuticals, Inc. (ORIC or the Company) is a clinical-stage biopharmaceutical company dedicated to improving patients’ lives by </w:t>
      </w:r>
      <w:r>
        <w:rPr>
          <w:rFonts w:ascii="Arial" w:cs="Arial" w:eastAsia="Arial" w:hAnsi="Arial"/>
          <w:sz w:val="17"/>
          <w:szCs w:val="17"/>
          <w:i w:val="1"/>
          <w:iCs w:val="1"/>
          <w:u w:val="single" w:color="auto"/>
          <w:color w:val="auto"/>
        </w:rPr>
        <w:t>O</w:t>
      </w:r>
      <w:r>
        <w:rPr>
          <w:rFonts w:ascii="Arial" w:cs="Arial" w:eastAsia="Arial" w:hAnsi="Arial"/>
          <w:sz w:val="17"/>
          <w:szCs w:val="17"/>
          <w:i w:val="1"/>
          <w:iCs w:val="1"/>
          <w:color w:val="auto"/>
        </w:rPr>
        <w:t xml:space="preserve">vercoming </w:t>
      </w:r>
      <w:r>
        <w:rPr>
          <w:rFonts w:ascii="Arial" w:cs="Arial" w:eastAsia="Arial" w:hAnsi="Arial"/>
          <w:sz w:val="17"/>
          <w:szCs w:val="17"/>
          <w:i w:val="1"/>
          <w:iCs w:val="1"/>
          <w:u w:val="single" w:color="auto"/>
          <w:color w:val="auto"/>
        </w:rPr>
        <w:t>R</w:t>
      </w:r>
      <w:r>
        <w:rPr>
          <w:rFonts w:ascii="Arial" w:cs="Arial" w:eastAsia="Arial" w:hAnsi="Arial"/>
          <w:sz w:val="17"/>
          <w:szCs w:val="17"/>
          <w:i w:val="1"/>
          <w:iCs w:val="1"/>
          <w:color w:val="auto"/>
        </w:rPr>
        <w:t xml:space="preserve">esistance </w:t>
      </w:r>
      <w:r>
        <w:rPr>
          <w:rFonts w:ascii="Arial" w:cs="Arial" w:eastAsia="Arial" w:hAnsi="Arial"/>
          <w:sz w:val="17"/>
          <w:szCs w:val="17"/>
          <w:i w:val="1"/>
          <w:iCs w:val="1"/>
          <w:u w:val="single" w:color="auto"/>
          <w:color w:val="auto"/>
        </w:rPr>
        <w:t>I</w:t>
      </w:r>
      <w:r>
        <w:rPr>
          <w:rFonts w:ascii="Arial" w:cs="Arial" w:eastAsia="Arial" w:hAnsi="Arial"/>
          <w:sz w:val="17"/>
          <w:szCs w:val="17"/>
          <w:i w:val="1"/>
          <w:iCs w:val="1"/>
          <w:color w:val="auto"/>
        </w:rPr>
        <w:t xml:space="preserve">n </w:t>
      </w:r>
      <w:r>
        <w:rPr>
          <w:rFonts w:ascii="Arial" w:cs="Arial" w:eastAsia="Arial" w:hAnsi="Arial"/>
          <w:sz w:val="17"/>
          <w:szCs w:val="17"/>
          <w:i w:val="1"/>
          <w:iCs w:val="1"/>
          <w:u w:val="single" w:color="auto"/>
          <w:color w:val="auto"/>
        </w:rPr>
        <w:t>C</w:t>
      </w:r>
      <w:r>
        <w:rPr>
          <w:rFonts w:ascii="Arial" w:cs="Arial" w:eastAsia="Arial" w:hAnsi="Arial"/>
          <w:sz w:val="17"/>
          <w:szCs w:val="17"/>
          <w:i w:val="1"/>
          <w:iCs w:val="1"/>
          <w:color w:val="auto"/>
        </w:rPr>
        <w:t>ancer</w:t>
      </w:r>
      <w:r>
        <w:rPr>
          <w:rFonts w:ascii="Arial" w:cs="Arial" w:eastAsia="Arial" w:hAnsi="Arial"/>
          <w:sz w:val="17"/>
          <w:szCs w:val="17"/>
          <w:color w:val="auto"/>
        </w:rPr>
        <w:t>. The Company was incorporated in Delaware in August 2014 and has offices in South San Francisco and San Diego,</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The Company’s principal operations are in the United States and the Company operates in one segment.</w:t>
      </w:r>
    </w:p>
    <w:p>
      <w:pPr>
        <w:spacing w:after="0" w:line="57" w:lineRule="exact"/>
        <w:rPr>
          <w:sz w:val="20"/>
          <w:szCs w:val="20"/>
          <w:color w:val="auto"/>
        </w:rPr>
      </w:pPr>
    </w:p>
    <w:p>
      <w:pPr>
        <w:ind w:right="200" w:firstLine="749"/>
        <w:spacing w:after="0" w:line="273" w:lineRule="auto"/>
        <w:rPr>
          <w:sz w:val="20"/>
          <w:szCs w:val="20"/>
          <w:color w:val="auto"/>
        </w:rPr>
      </w:pPr>
      <w:r>
        <w:rPr>
          <w:rFonts w:ascii="Arial" w:cs="Arial" w:eastAsia="Arial" w:hAnsi="Arial"/>
          <w:sz w:val="17"/>
          <w:szCs w:val="17"/>
          <w:color w:val="auto"/>
        </w:rPr>
        <w:t>Since inception, the Company has devoted its primary efforts to raising capital, internal research and development activities and business development efforts, and has incurred significant operating losses and negative cash flows from operations. In August 2020, the Company licensed from Mirati Therapeutics, Inc. (Mirati) development and commercialization rights to an allosteric inhibitor program directed towards the polycomb repressive complex 2 (PRC2) and in October 2020, the Company licensed from Voronoi Inc. (Voronoi) development and commercialization rights to a brain penetrant, orally bioavailable, irreversible inhibitor designed to selectively target epidermal growth factor receptor (EGFR) and human epidermal growth factor receptor 2 (HER2) with high potency against exon 20 insertion mutations.</w:t>
      </w:r>
    </w:p>
    <w:p>
      <w:pPr>
        <w:spacing w:after="0" w:line="70"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As of June 30, 2023, the Company had an accumulated deficit of $381.1 million. Through June 30, 2023, all of the Company’s financial support has been provided by proceeds from the issuance of common stock, pre-funded warrants and convertible preferred stock.</w:t>
      </w:r>
    </w:p>
    <w:p>
      <w:pPr>
        <w:spacing w:after="0" w:line="62"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The accompanying financial statements do not include any adjustments that might be necessary if it were unable to continue as a going concern. Management believes that it has sufficient working capital on hand to fund operations through at least the next twelve months from the date of the issuance of these financial statements.</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117"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On June 24, 2023, the Company entered into a securities purchase agreement with a select group of institutional and accredited healthcare specialist investors for the private placement of 9,285,710 shares of common stock at a price of $7.00 per share and pre-funded warrants to purchase 2,857,142 shares of common stock at a purchase price of $6.9999 per pre-funded warrant, resulting in gross proceeds of $85.0 million. The pre-funded warrants have an exercise price of $0.0001 per share of common stock, were immediately exercisable and will remain exercisable until exercised in full. The purchase price per share represents a premium to the market price at the time of sale. After deducting expenses related to the private placement of $0.2 million, the net proceeds to the Company from the private placement were $84.8 million. The private placement closed on June 27, 2023.</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Registered Direct Offering</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December 21, 2022, the Company entered into a securities purchase agreement with Pfizer, Inc. (Pfizer) pursuant to which the Company sold</w:t>
      </w:r>
    </w:p>
    <w:p>
      <w:pPr>
        <w:spacing w:after="0" w:line="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5,376,344 shares of common stock at a price of $4.65 per share to Pfizer for gross proceeds of $25.0 million. The Company sold the shares to Pfizer in a registered direct offering conducted without an underwriter or placement agent and pursuant to an effective shelf registration statement. After deducting offering expenses of $0.4 million, the net proceeds received from the direct offering were $24.6 million. The transaction closed on December 23, 2022. The direct offering with Pfizer was entered into concurrently with a clinical development collaboration.</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At-The-Market Sales Agreement and Offering</w:t>
      </w:r>
    </w:p>
    <w:p>
      <w:pPr>
        <w:spacing w:after="0" w:line="117" w:lineRule="exact"/>
        <w:rPr>
          <w:sz w:val="20"/>
          <w:szCs w:val="20"/>
          <w:color w:val="auto"/>
        </w:rPr>
      </w:pPr>
    </w:p>
    <w:p>
      <w:pPr>
        <w:ind w:right="200" w:firstLine="749"/>
        <w:spacing w:after="0" w:line="293" w:lineRule="auto"/>
        <w:rPr>
          <w:sz w:val="20"/>
          <w:szCs w:val="20"/>
          <w:color w:val="auto"/>
        </w:rPr>
      </w:pPr>
      <w:r>
        <w:rPr>
          <w:rFonts w:ascii="Arial" w:cs="Arial" w:eastAsia="Arial" w:hAnsi="Arial"/>
          <w:sz w:val="16"/>
          <w:szCs w:val="16"/>
          <w:color w:val="auto"/>
        </w:rPr>
        <w:t>On May 6, 2021, the Company entered into an "at the market" (ATM) sales agreement with Jefferies LLC as the Company's sales agent, under which the Company may offer and sell from time to time up to $150 million of shares of the Company's common stock in negotiated transactions or transactions that are deemed to be an ATM offering. On July 8, 2021, the Company raised gross proceeds of $50.0 million through the sale of 2,597,402 shares in an ATM offering, with participation based on unsolicited interest received from a healthcare specialist fund. The Company sold such shares at a purchase price per share of $19.25, a premium to the market price at the time of sale. After deducting commissions and other offering expenses related to the ATM offering of $1.9 million, the net proceeds to the Company from the transaction were $48.1 million.</w:t>
      </w:r>
    </w:p>
    <w:p>
      <w:pPr>
        <w:spacing w:after="0" w:line="52" w:lineRule="exact"/>
        <w:rPr>
          <w:sz w:val="20"/>
          <w:szCs w:val="20"/>
          <w:color w:val="auto"/>
        </w:rPr>
      </w:pPr>
    </w:p>
    <w:p>
      <w:pPr>
        <w:ind w:left="760" w:right="5680" w:hanging="752"/>
        <w:spacing w:after="0" w:line="378" w:lineRule="auto"/>
        <w:tabs>
          <w:tab w:leader="none" w:pos="191"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Basis of Presentation and Summary of Significant Accounting Policies </w:t>
      </w:r>
      <w:r>
        <w:rPr>
          <w:rFonts w:ascii="Arial" w:cs="Arial" w:eastAsia="Arial" w:hAnsi="Arial"/>
          <w:sz w:val="18"/>
          <w:szCs w:val="18"/>
          <w:b w:val="1"/>
          <w:bCs w:val="1"/>
          <w:i w:val="1"/>
          <w:iCs w:val="1"/>
          <w:color w:val="auto"/>
        </w:rPr>
        <w:t>Basis of Presentation</w:t>
      </w:r>
    </w:p>
    <w:p>
      <w:pPr>
        <w:ind w:right="40" w:firstLine="749"/>
        <w:spacing w:after="0" w:line="263" w:lineRule="auto"/>
        <w:rPr>
          <w:sz w:val="20"/>
          <w:szCs w:val="20"/>
          <w:color w:val="auto"/>
        </w:rPr>
      </w:pPr>
      <w:r>
        <w:rPr>
          <w:rFonts w:ascii="Arial" w:cs="Arial" w:eastAsia="Arial" w:hAnsi="Arial"/>
          <w:sz w:val="18"/>
          <w:szCs w:val="18"/>
          <w:color w:val="auto"/>
        </w:rPr>
        <w:t>The accompanying unaudited financial statements have been prepared in accordance with accounting principles generally accepted in the United States (GAAP) for interim financial information and with the instructions of the Securities and Exchange Commission (SEC) on Form 10-Q and Rule 10-01 of Regulation S-X. Certain information and note disclosures normally included in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right="240"/>
        <w:spacing w:after="0" w:line="311" w:lineRule="auto"/>
        <w:rPr>
          <w:sz w:val="20"/>
          <w:szCs w:val="20"/>
          <w:color w:val="auto"/>
        </w:rPr>
      </w:pPr>
      <w:r>
        <w:rPr>
          <w:rFonts w:ascii="Arial" w:cs="Arial" w:eastAsia="Arial" w:hAnsi="Arial"/>
          <w:sz w:val="16"/>
          <w:szCs w:val="16"/>
          <w:color w:val="auto"/>
        </w:rPr>
        <w:t>annual financial statements prepared in accordance with GAAP, have been omitted. The accompanying unaudited financial statements include all known adjustments necessary for a fair presentation of the results as required by GAAP. These adjustments consist primarily of normal recurring accruals and estimates that impact the carrying value of assets and liabilities. Operating results for the interim period are not necessarily indicative of future results.</w:t>
      </w:r>
    </w:p>
    <w:p>
      <w:pPr>
        <w:spacing w:after="0" w:line="41"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The accompanying unaudited financial statements should be read in conjunction with the audited financial statements and the related notes thereto for the year ended December 31, 2022, which are included in the Company’s Annual Report on Form 10-K filed with the SEC. Furthermore, the Company’s significant accounting policies are disclosed in the audited financial statements for the periods ended December 31, 2022 and 2021, included in the Company’s Annual Report on Form 10-K. Since the date of those financial statements, there have been no changes to its significant accounting policies.</w:t>
      </w:r>
    </w:p>
    <w:p>
      <w:pPr>
        <w:spacing w:after="0" w:line="4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820" w:firstLine="749"/>
        <w:spacing w:after="0" w:line="277" w:lineRule="auto"/>
        <w:rPr>
          <w:sz w:val="20"/>
          <w:szCs w:val="20"/>
          <w:color w:val="auto"/>
        </w:rPr>
      </w:pPr>
      <w:r>
        <w:rPr>
          <w:rFonts w:ascii="Arial" w:cs="Arial" w:eastAsia="Arial" w:hAnsi="Arial"/>
          <w:sz w:val="18"/>
          <w:szCs w:val="18"/>
          <w:color w:val="auto"/>
        </w:rPr>
        <w:t>There are no recently issued accounting pronouncements that would materially impact the Company’s financial statements and related disclosures.</w:t>
      </w:r>
    </w:p>
    <w:p>
      <w:pPr>
        <w:spacing w:after="0" w:line="58"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 Agreements and Clinical Development Collaboration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Pfizer collaboration</w:t>
      </w:r>
    </w:p>
    <w:p>
      <w:pPr>
        <w:spacing w:after="0" w:line="117"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On December 21, 2022, the Company entered into a clinical development collaboration (the Pfizer Collaboration) for a potential Phase 2 study of ORIC-533 in multiple myeloma with Pfizer. Through the Pfizer Collaboration, the Company plans to potentially advance ORIC-533 into a Phase 2 combination study with elranatamab, Pfizer’s investigational B-cell maturation antigen (BCMA) CD3-targeted bispecific antibody in development for the treatment of multiple myeloma. The Company will maintain full economic ownership and control of ORIC-533.</w:t>
      </w:r>
    </w:p>
    <w:p>
      <w:pPr>
        <w:spacing w:after="0" w:line="63"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Concurrent with the Pfizer Collaboration, the Company sold 5,376,344 shares of common stock at a price of $4.65 per share to Pfizer for proceeds of $25.0 million. The common shares were sold to Pfizer in a registered direct offering conducted without an underwriter or placement agent. The transaction closed on December 23, 2022.</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Voronoi License Agreement</w:t>
      </w:r>
    </w:p>
    <w:p>
      <w:pPr>
        <w:spacing w:after="0" w:line="117"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On October 19, 2020, the Company entered into a license and collaboration agreement (Voronoi License Agreement) with Voronoi. The Voronoi License Agreement gives the Company access to Voronoi’s preclinical stage EGFR and HER2 exon 20 insertion mutation program, including a lead product candidate now designated as ORIC-114. Under the Voronoi License Agreement, Voronoi granted the Company an exclusive, sublicensable license under Voronoi’s rights to certain patent applications directed to certain small molecule compounds that bind to EGFR and HER2 with one or more exon 20 insertion mutations and certain related know-how, in each case, to develop and commercialize certain licensed compounds and licensed products incorporating any such compound in the ORIC Territory, defined as worldwide other than in the People’s Republic of China, Hong Kong, Macau and Taiwan. Under the Voronoi License Agreement, Voronoi had the right to perform certain mutually agreed upon development activities. Except for Voronoi's right to participate in such development activities, the Company is wholly responsible for development and commercialization of licensed products in the ORIC Territory. In addition, the Company is obligated to use commercially reasonable efforts to develop and commercialize at least one licensed product in certain major markets in the ORIC Territory.</w:t>
      </w:r>
    </w:p>
    <w:p>
      <w:pPr>
        <w:spacing w:after="0" w:line="77"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The Company’s financial obligations under the Voronoi License Agreement included an upfront payment of $5.0 million in cash and the issuance to Voronoi of 283,259 shares of the Company’s common stock, valued at approximately $6.8 million, issued pursuant to a stock issuance agreement entered into between the parties on October 19, 2020. The number of shares issued pursuant to the stock issuance agreement was based on a price of $28.24 per share, representing a premium of 25% to the 30-day trailing volume weighted average trading price of the Company’s common stock. The shares were issued in a private placement in reliance on Section 4(a)(2) of the Securities Act of 1933, as amended (Securities Act), for transactions by an issuer not involving any public offering.</w:t>
      </w:r>
    </w:p>
    <w:p>
      <w:pPr>
        <w:spacing w:after="0" w:line="84"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Under the Voronoi License Agreement, Voronoi was responsible for certain research and development costs up to a predetermined threshold. Upon achievement of the predetermined threshold in the second quarter of 2022, Voronoi chose to opt out of participation in and funding of future development activities. The Company is also obligated to make milestone payments to Voronoi upon the achievement of certain events. Upon the achievement of certain development and regulatory milestones with respect to the first licensed product, the Company is obligated to pay Voronoi up to a maximum of $111.0 million. Upon the achievement of certain commercial milestones with respect to the first licensed product, the Company is obligated to pay Voronoi up to a maximum of $225.0 million. If the Company pursues a second licensed product, the Company could pay Voronoi up to an additional $272.0 million in success-based milestones. In addition, the Company is obligated to pay royalties on net sales of licensed products in the ORIC Territory. In the third quarter of 2022, the Company made a development milestone payment to Voronoi in the amount of $5.0 million, which was recorded in acquired in-process research and development expense.</w:t>
      </w:r>
    </w:p>
    <w:p>
      <w:pPr>
        <w:spacing w:after="0" w:line="73"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Unless earlier terminated, the Voronoi License Agreement will continue in effect until the expiration of all royalty payment obligations. Following the expiration of the Voronoi License Agreement, the Company will retain its licenses under the intellectual property Voronoi licensed to it on a royalty-free basis. The Company and Voronoi may each terminate the Voronoi License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right="60"/>
        <w:spacing w:after="0" w:line="311" w:lineRule="auto"/>
        <w:rPr>
          <w:sz w:val="20"/>
          <w:szCs w:val="20"/>
          <w:color w:val="auto"/>
        </w:rPr>
      </w:pPr>
      <w:r>
        <w:rPr>
          <w:rFonts w:ascii="Arial" w:cs="Arial" w:eastAsia="Arial" w:hAnsi="Arial"/>
          <w:sz w:val="16"/>
          <w:szCs w:val="16"/>
          <w:color w:val="auto"/>
        </w:rPr>
        <w:t>Agreement if the other party materially breaches the terms of such agreement, subject to specified notice and cure provisions, or enters into bankruptcy or insolvency proceedings. Voronoi may also terminate the agreement if the Company discontinues development of licensed products for a specified period of time. The Company also has the right to terminate the Voronoi License Agreement without cause by providing prior notice to Voronoi.</w:t>
      </w:r>
    </w:p>
    <w:p>
      <w:pPr>
        <w:spacing w:after="0" w:line="41"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If Voronoi terminates the Voronoi License Agreement for cause, or if the Company terminates the Voronoi License Agreement without cause, then the Company is obligated to grant a nonexclusive license to Voronoi under certain of the Company’s patents and know-how and to assign to Voronoi certain of its regulatory filings for licensed compounds and licensed products.</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Mirati License Agreement</w:t>
      </w:r>
    </w:p>
    <w:p>
      <w:pPr>
        <w:spacing w:after="0" w:line="117"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On August 3, 2020, the Company entered into a license agreement (Mirati License Agreement) with Mirati. Under the Mirati License Agreement, Mirati granted the Company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compounds. Under the Mirati License Agreement, the Company is wholly responsible for development and commercialization of licensed products. In addition, the Company is obligated to use commercially reasonable efforts to develop and commercialize at least one licensed product in certain major markets.</w:t>
      </w:r>
    </w:p>
    <w:p>
      <w:pPr>
        <w:spacing w:after="0" w:line="70"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The Company’s financial obligation under the Mirati License Agreement was an upfront payment of 588,235 shares of ORIC common stock, valued at approximately $13.0 million based upon the closing price of the Company’s common stock on the acquisition date. The number of shares issued was based on a price of $34.00 per share, representing a premium of 10% to the 60-day trailing volume-weighted average trading price of the Company’s common stock. The shares were issued in a private placement in reliance on Section 4(a)(2) of the Securities Act for transactions by an issuer not involving any public offering. During the eighteen-month period following the date of the agreement, Mirati was subject to certain transfer restrictions, and the parties agreed to negotiate and enter into a registration rights agreement, with respect to the shares. The Company is not obligated to pay Mirati milestones or royalties.</w:t>
      </w:r>
    </w:p>
    <w:p>
      <w:pPr>
        <w:spacing w:after="0" w:line="87"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Unless earlier terminated, the Mirati License Agreement will continue in effect on a country-by-country and licensed product-by-licensed product basis until the later of (a) the expiration of the last valid claim of a licensed patent covering such licensed product in such country or (b) ten years after the first commercial sale of such licensed product in such country. Following the expiration of the Mirati License Agreement, the Company will retain its licenses under the intellectual property Mirati licensed to it on a royalty-free basis. ORIC and Mirati may each terminate the Mirati License Agreement if the other party materially breaches the terms of such agreement, subject to specified notice and cure provisions, or enters into bankruptcy or insolvency proceedings. Mirati may terminate the agreement if the Company challenges any of the patent rights licensed to the Company by Mirati or it discontinues development of licensed products for a specified period of time. The Company also has the right to terminate the Mirati License Agreement without cause by providing prior notice to Mirati.</w:t>
      </w:r>
    </w:p>
    <w:p>
      <w:pPr>
        <w:spacing w:after="0" w:line="80"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 net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December 31, 2022</w:t>
            </w:r>
          </w:p>
        </w:tc>
        <w:tc>
          <w:tcPr>
            <w:tcW w:w="1120" w:type="dxa"/>
            <w:vAlign w:val="bottom"/>
          </w:tcPr>
          <w:p>
            <w:pPr>
              <w:spacing w:after="0"/>
              <w:rPr>
                <w:sz w:val="16"/>
                <w:szCs w:val="16"/>
                <w:color w:val="auto"/>
              </w:rPr>
            </w:pPr>
          </w:p>
        </w:tc>
      </w:tr>
      <w:tr>
        <w:trPr>
          <w:trHeight w:val="237"/>
        </w:trPr>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Lab equipment</w:t>
            </w:r>
          </w:p>
        </w:tc>
        <w:tc>
          <w:tcPr>
            <w:tcW w:w="5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6,810</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6,249</w:t>
            </w:r>
          </w:p>
        </w:tc>
        <w:tc>
          <w:tcPr>
            <w:tcW w:w="12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Computer hardware and software</w:t>
            </w:r>
          </w:p>
        </w:tc>
        <w:tc>
          <w:tcPr>
            <w:tcW w:w="5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Total property and equipment, gross</w:t>
            </w:r>
          </w:p>
        </w:tc>
        <w:tc>
          <w:tcPr>
            <w:tcW w:w="5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9,554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9,046</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(6,304 )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(5,793 )</w:t>
            </w:r>
          </w:p>
        </w:tc>
        <w:tc>
          <w:tcPr>
            <w:tcW w:w="1120" w:type="dxa"/>
            <w:vAlign w:val="bottom"/>
          </w:tcPr>
          <w:p>
            <w:pPr>
              <w:spacing w:after="0"/>
              <w:rPr>
                <w:sz w:val="20"/>
                <w:szCs w:val="20"/>
                <w:color w:val="auto"/>
              </w:rPr>
            </w:pPr>
          </w:p>
        </w:tc>
      </w:tr>
      <w:tr>
        <w:trPr>
          <w:trHeight w:val="277"/>
        </w:trPr>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Total property and equipment, net</w:t>
            </w:r>
          </w:p>
        </w:tc>
        <w:tc>
          <w:tcPr>
            <w:tcW w:w="5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3,253</w:t>
            </w:r>
          </w:p>
        </w:tc>
        <w:tc>
          <w:tcPr>
            <w:tcW w:w="12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486"/>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5. Accrued Liabilities</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5160" w:type="dxa"/>
            <w:vAlign w:val="bottom"/>
            <w:gridSpan w:val="3"/>
          </w:tcPr>
          <w:p>
            <w:pPr>
              <w:ind w:left="580"/>
              <w:spacing w:after="0"/>
              <w:rPr>
                <w:sz w:val="20"/>
                <w:szCs w:val="20"/>
                <w:color w:val="auto"/>
              </w:rPr>
            </w:pPr>
            <w:r>
              <w:rPr>
                <w:rFonts w:ascii="Arial" w:cs="Arial" w:eastAsia="Arial" w:hAnsi="Arial"/>
                <w:sz w:val="18"/>
                <w:szCs w:val="18"/>
                <w:color w:val="auto"/>
                <w:w w:val="97"/>
              </w:rPr>
              <w:t>Accrued liabilities consisted of the following (in thousands):</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94"/>
        </w:trPr>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2"/>
              </w:rPr>
              <w:t>June 30, 2023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December 31, 2022</w:t>
            </w:r>
          </w:p>
        </w:tc>
        <w:tc>
          <w:tcPr>
            <w:tcW w:w="1120" w:type="dxa"/>
            <w:vAlign w:val="bottom"/>
          </w:tcPr>
          <w:p>
            <w:pPr>
              <w:spacing w:after="0"/>
              <w:rPr>
                <w:sz w:val="24"/>
                <w:szCs w:val="24"/>
                <w:color w:val="auto"/>
              </w:rPr>
            </w:pPr>
          </w:p>
        </w:tc>
      </w:tr>
      <w:tr>
        <w:trPr>
          <w:trHeight w:val="237"/>
        </w:trPr>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Accrued clinical and manufacturing costs</w:t>
            </w:r>
          </w:p>
        </w:tc>
        <w:tc>
          <w:tcPr>
            <w:tcW w:w="5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5,396</w:t>
            </w:r>
          </w:p>
        </w:tc>
        <w:tc>
          <w:tcPr>
            <w:tcW w:w="12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Accrued compensation</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3,314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5,318</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lease liabilities - short-term</w:t>
            </w:r>
          </w:p>
        </w:tc>
        <w:tc>
          <w:tcPr>
            <w:tcW w:w="5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2,659</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20" w:type="dxa"/>
            <w:vAlign w:val="bottom"/>
            <w:tcBorders>
              <w:bottom w:val="single" w:sz="8" w:color="CFF0FC"/>
            </w:tcBorders>
            <w:gridSpan w:val="2"/>
          </w:tcPr>
          <w:p>
            <w:pPr>
              <w:ind w:left="20"/>
              <w:spacing w:after="0"/>
              <w:rPr>
                <w:sz w:val="20"/>
                <w:szCs w:val="20"/>
                <w:color w:val="auto"/>
              </w:rPr>
            </w:pPr>
            <w:r>
              <w:rPr>
                <w:rFonts w:ascii="Arial" w:cs="Arial" w:eastAsia="Arial" w:hAnsi="Arial"/>
                <w:sz w:val="18"/>
                <w:szCs w:val="18"/>
                <w:color w:val="auto"/>
              </w:rPr>
              <w:t>Other accruals</w:t>
            </w:r>
          </w:p>
        </w:tc>
        <w:tc>
          <w:tcPr>
            <w:tcW w:w="50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FF0FC"/>
            </w:tcBorders>
          </w:tcPr>
          <w:p>
            <w:pPr>
              <w:spacing w:after="0"/>
              <w:rPr>
                <w:sz w:val="20"/>
                <w:szCs w:val="20"/>
                <w:color w:val="auto"/>
              </w:rPr>
            </w:pPr>
          </w:p>
        </w:tc>
        <w:tc>
          <w:tcPr>
            <w:tcW w:w="1120" w:type="dxa"/>
            <w:vAlign w:val="bottom"/>
          </w:tcPr>
          <w:p>
            <w:pPr>
              <w:spacing w:after="0"/>
              <w:rPr>
                <w:sz w:val="20"/>
                <w:szCs w:val="20"/>
                <w:color w:val="auto"/>
              </w:rPr>
            </w:pPr>
          </w:p>
        </w:tc>
      </w:tr>
      <w:tr>
        <w:trPr>
          <w:trHeight w:val="277"/>
        </w:trPr>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Total accrued liabilities</w:t>
            </w:r>
          </w:p>
        </w:tc>
        <w:tc>
          <w:tcPr>
            <w:tcW w:w="5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4"/>
                <w:szCs w:val="2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11,343</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24"/>
                <w:szCs w:val="2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14,068</w:t>
            </w:r>
          </w:p>
        </w:tc>
        <w:tc>
          <w:tcPr>
            <w:tcW w:w="12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35"/>
        </w:trPr>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2"/>
        </w:trPr>
        <w:tc>
          <w:tcPr>
            <w:tcW w:w="1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-2253615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-2236470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-2253615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-2236470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-513715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-496570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-676275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-513715</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-496570</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-676275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available-for-sale investments consisted of the following (in thousands):</w:t>
      </w:r>
    </w:p>
    <w:p>
      <w:pPr>
        <w:spacing w:after="0" w:line="24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June 30, 2023</w:t>
            </w:r>
          </w:p>
        </w:tc>
        <w:tc>
          <w:tcPr>
            <w:tcW w:w="160" w:type="dxa"/>
            <w:vAlign w:val="bottom"/>
          </w:tcPr>
          <w:p>
            <w:pPr>
              <w:spacing w:after="0"/>
              <w:rPr>
                <w:sz w:val="14"/>
                <w:szCs w:val="14"/>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auto"/>
                <w:w w:val="99"/>
              </w:rPr>
              <w:t>Amortized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Unrealized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4"/>
                <w:szCs w:val="14"/>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312"/>
              <w:spacing w:after="0" w:line="125" w:lineRule="exact"/>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272"/>
              <w:spacing w:after="0" w:line="125" w:lineRule="exact"/>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501"/>
              <w:spacing w:after="0" w:line="125"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2"/>
                <w:szCs w:val="12"/>
                <w:color w:val="auto"/>
              </w:rPr>
            </w:pPr>
          </w:p>
        </w:tc>
        <w:tc>
          <w:tcPr>
            <w:tcW w:w="920" w:type="dxa"/>
            <w:vAlign w:val="bottom"/>
          </w:tcPr>
          <w:p>
            <w:pPr>
              <w:jc w:val="right"/>
              <w:ind w:right="132"/>
              <w:spacing w:after="0" w:line="12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3800" w:type="dxa"/>
            <w:vAlign w:val="bottom"/>
            <w:gridSpan w:val="4"/>
            <w:shd w:val="clear" w:color="auto" w:fill="CFF0FC"/>
          </w:tcPr>
          <w:p>
            <w:pPr>
              <w:spacing w:after="0" w:line="182" w:lineRule="exact"/>
              <w:rPr>
                <w:sz w:val="20"/>
                <w:szCs w:val="20"/>
                <w:color w:val="auto"/>
              </w:rPr>
            </w:pPr>
            <w:r>
              <w:rPr>
                <w:rFonts w:ascii="Arial" w:cs="Arial" w:eastAsia="Arial" w:hAnsi="Arial"/>
                <w:sz w:val="18"/>
                <w:szCs w:val="18"/>
                <w:color w:val="auto"/>
              </w:rPr>
              <w:t>Short-term</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auto"/>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23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2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2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gridSpan w:val="4"/>
          </w:tcPr>
          <w:p>
            <w:pPr>
              <w:ind w:left="18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157,056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(515 )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156,543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80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U.S. agency bonds</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(21 )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gridSpan w:val="4"/>
          </w:tcPr>
          <w:p>
            <w:pPr>
              <w:ind w:left="18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(16 )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CFF0FC"/>
            </w:tcBorders>
            <w:shd w:val="clear" w:color="auto" w:fill="CFF0FC"/>
          </w:tcPr>
          <w:p>
            <w:pPr>
              <w:spacing w:after="0"/>
              <w:rPr>
                <w:sz w:val="24"/>
                <w:szCs w:val="24"/>
                <w:color w:val="auto"/>
              </w:rPr>
            </w:pPr>
          </w:p>
        </w:tc>
        <w:tc>
          <w:tcPr>
            <w:tcW w:w="3800" w:type="dxa"/>
            <w:vAlign w:val="bottom"/>
            <w:tcBorders>
              <w:bottom w:val="single" w:sz="8" w:color="CFF0FC"/>
            </w:tcBorders>
            <w:gridSpan w:val="4"/>
            <w:shd w:val="clear" w:color="auto" w:fill="CFF0FC"/>
          </w:tcPr>
          <w:p>
            <w:pPr>
              <w:ind w:left="36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161,026</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160,476</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color w:val="auto"/>
                <w:w w:val="92"/>
              </w:rPr>
              <w:t>Long-term</w:t>
            </w:r>
          </w:p>
        </w:tc>
        <w:tc>
          <w:tcPr>
            <w:tcW w:w="3020" w:type="dxa"/>
            <w:vAlign w:val="bottom"/>
            <w:tcBorders>
              <w:bottom w:val="single" w:sz="8" w:color="CFF0FC"/>
            </w:tcBorders>
            <w:gridSpan w:val="3"/>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gridSpan w:val="4"/>
          </w:tcPr>
          <w:p>
            <w:pPr>
              <w:ind w:left="18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9,592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(17 )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3800" w:type="dxa"/>
            <w:vAlign w:val="bottom"/>
            <w:tcBorders>
              <w:top w:val="single" w:sz="8" w:color="CFF0FC"/>
              <w:bottom w:val="single" w:sz="8" w:color="CFF0FC"/>
            </w:tcBorders>
            <w:gridSpan w:val="4"/>
            <w:shd w:val="clear" w:color="auto" w:fill="CFF0FC"/>
          </w:tcPr>
          <w:p>
            <w:pPr>
              <w:ind w:left="360"/>
              <w:spacing w:after="0"/>
              <w:rPr>
                <w:sz w:val="20"/>
                <w:szCs w:val="20"/>
                <w:color w:val="auto"/>
              </w:rPr>
            </w:pPr>
            <w:r>
              <w:rPr>
                <w:rFonts w:ascii="Arial" w:cs="Arial" w:eastAsia="Arial" w:hAnsi="Arial"/>
                <w:sz w:val="18"/>
                <w:szCs w:val="18"/>
                <w:color w:val="auto"/>
              </w:rPr>
              <w:t>Long-term investments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9,592</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9,575</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800" w:type="dxa"/>
            <w:vAlign w:val="bottom"/>
            <w:gridSpan w:val="4"/>
          </w:tcPr>
          <w:p>
            <w:pPr>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80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color w:val="auto"/>
              </w:rPr>
              <w:t>Short-term</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auto"/>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23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2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2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gridSpan w:val="4"/>
          </w:tcPr>
          <w:p>
            <w:pPr>
              <w:ind w:left="18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135,878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(1,094 )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134,784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80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U.S. agency bonds</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(11 )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gridSpan w:val="4"/>
          </w:tcPr>
          <w:p>
            <w:pPr>
              <w:ind w:left="18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(32 )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3800" w:type="dxa"/>
            <w:vAlign w:val="bottom"/>
            <w:tcBorders>
              <w:bottom w:val="single" w:sz="8" w:color="CFF0FC"/>
            </w:tcBorders>
            <w:gridSpan w:val="4"/>
            <w:shd w:val="clear" w:color="auto" w:fill="CFF0FC"/>
          </w:tcPr>
          <w:p>
            <w:pPr>
              <w:ind w:left="36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140,569</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139,432</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color w:val="auto"/>
                <w:w w:val="92"/>
              </w:rPr>
              <w:t>Long-term</w:t>
            </w:r>
          </w:p>
        </w:tc>
        <w:tc>
          <w:tcPr>
            <w:tcW w:w="3020" w:type="dxa"/>
            <w:vAlign w:val="bottom"/>
            <w:tcBorders>
              <w:bottom w:val="single" w:sz="8" w:color="CFF0FC"/>
            </w:tcBorders>
            <w:gridSpan w:val="3"/>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gridSpan w:val="4"/>
          </w:tcPr>
          <w:p>
            <w:pPr>
              <w:ind w:left="18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19,360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(126 )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80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U.S. agency bonds</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(24 )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gridSpan w:val="4"/>
          </w:tcPr>
          <w:p>
            <w:pPr>
              <w:ind w:left="18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CFF0FC"/>
            </w:tcBorders>
            <w:shd w:val="clear" w:color="auto" w:fill="CFF0FC"/>
          </w:tcPr>
          <w:p>
            <w:pPr>
              <w:spacing w:after="0"/>
              <w:rPr>
                <w:sz w:val="24"/>
                <w:szCs w:val="24"/>
                <w:color w:val="auto"/>
              </w:rPr>
            </w:pPr>
          </w:p>
        </w:tc>
        <w:tc>
          <w:tcPr>
            <w:tcW w:w="3800" w:type="dxa"/>
            <w:vAlign w:val="bottom"/>
            <w:tcBorders>
              <w:bottom w:val="single" w:sz="8" w:color="CFF0FC"/>
            </w:tcBorders>
            <w:gridSpan w:val="4"/>
            <w:shd w:val="clear" w:color="auto" w:fill="CFF0FC"/>
          </w:tcPr>
          <w:p>
            <w:pPr>
              <w:ind w:left="360"/>
              <w:spacing w:after="0"/>
              <w:rPr>
                <w:sz w:val="20"/>
                <w:szCs w:val="20"/>
                <w:color w:val="auto"/>
              </w:rPr>
            </w:pPr>
            <w:r>
              <w:rPr>
                <w:rFonts w:ascii="Arial" w:cs="Arial" w:eastAsia="Arial" w:hAnsi="Arial"/>
                <w:sz w:val="18"/>
                <w:szCs w:val="18"/>
                <w:color w:val="auto"/>
              </w:rPr>
              <w:t>Long-term investments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22,105</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21,951</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-2750820</wp:posOffset>
            </wp:positionV>
            <wp:extent cx="260604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6040" cy="17970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-2262505</wp:posOffset>
            </wp:positionV>
            <wp:extent cx="2606040" cy="4972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6040" cy="49720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-985520</wp:posOffset>
            </wp:positionV>
            <wp:extent cx="260604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6040" cy="17970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The Company has determined that there were no material declines in fair value of its investments due to credit-related factors as of June 30, 2023 and December 31, 2022. Credit loss is limited due to the nature of the investments.</w:t>
      </w:r>
    </w:p>
    <w:p>
      <w:pPr>
        <w:spacing w:after="0" w:line="58"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121"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fair-value hierarchy, which prioritizes the inputs used in measuring fair value as follows:</w:t>
      </w:r>
    </w:p>
    <w:p>
      <w:pPr>
        <w:spacing w:after="0" w:line="8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129" w:lineRule="exact"/>
        <w:rPr>
          <w:sz w:val="20"/>
          <w:szCs w:val="20"/>
          <w:color w:val="auto"/>
        </w:rPr>
      </w:pPr>
    </w:p>
    <w:p>
      <w:pPr>
        <w:ind w:right="80" w:firstLine="749"/>
        <w:spacing w:after="0" w:line="301" w:lineRule="auto"/>
        <w:rPr>
          <w:sz w:val="20"/>
          <w:szCs w:val="20"/>
          <w:color w:val="auto"/>
        </w:rPr>
      </w:pPr>
      <w:r>
        <w:rPr>
          <w:rFonts w:ascii="Arial" w:cs="Arial" w:eastAsia="Arial" w:hAnsi="Arial"/>
          <w:sz w:val="16"/>
          <w:szCs w:val="16"/>
          <w:color w:val="auto"/>
        </w:rPr>
        <w:t>The carrying amounts of the Company’s interest receivable, included in prepaid expenses and other current assets, accounts payable and accrued liabilities are generally considered to be representative of their fair value because of their short-term nature. The Company’s investments, which may include money market funds and available-for-sale investments consisting of U.S. treasury securities, certificates of deposit and high-quality, marketable debt instruments of corporations and government sponsored enterprises, are measured at fair value in accordance with the fair value hierarchy.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ind w:left="760"/>
        <w:spacing w:after="0"/>
        <w:rPr>
          <w:sz w:val="20"/>
          <w:szCs w:val="20"/>
          <w:color w:val="auto"/>
        </w:rPr>
      </w:pPr>
      <w:r>
        <w:rPr>
          <w:rFonts w:ascii="Arial" w:cs="Arial" w:eastAsia="Arial" w:hAnsi="Arial"/>
          <w:sz w:val="18"/>
          <w:szCs w:val="18"/>
          <w:color w:val="auto"/>
        </w:rPr>
        <w:t>Following are the major categories of assets measured at fair value on a recurring basis (in thousands):</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w w:val="97"/>
              </w:rPr>
              <w:t>Fair Value Measurements</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83"/>
        </w:trPr>
        <w:tc>
          <w:tcPr>
            <w:tcW w:w="20" w:type="dxa"/>
            <w:vAlign w:val="bottom"/>
            <w:shd w:val="clear" w:color="auto" w:fill="CFF0FC"/>
          </w:tcPr>
          <w:p>
            <w:pPr>
              <w:spacing w:after="0"/>
              <w:rPr>
                <w:sz w:val="15"/>
                <w:szCs w:val="15"/>
                <w:color w:val="auto"/>
              </w:rPr>
            </w:pPr>
          </w:p>
        </w:tc>
        <w:tc>
          <w:tcPr>
            <w:tcW w:w="3280" w:type="dxa"/>
            <w:vAlign w:val="bottom"/>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June 30, 2023</w:t>
            </w: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auto"/>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8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7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3280" w:type="dxa"/>
            <w:vAlign w:val="bottom"/>
            <w:gridSpan w:val="3"/>
          </w:tcPr>
          <w:p>
            <w:pPr>
              <w:ind w:left="180"/>
              <w:spacing w:after="0" w:line="243" w:lineRule="exact"/>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4"/>
                <w:szCs w:val="24"/>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103,683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103,683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103,683</w:t>
            </w:r>
          </w:p>
        </w:tc>
        <w:tc>
          <w:tcPr>
            <w:tcW w:w="100" w:type="dxa"/>
            <w:vAlign w:val="bottom"/>
          </w:tcPr>
          <w:p>
            <w:pPr>
              <w:spacing w:after="0"/>
              <w:rPr>
                <w:sz w:val="21"/>
                <w:szCs w:val="21"/>
                <w:color w:val="auto"/>
              </w:rPr>
            </w:pPr>
          </w:p>
        </w:tc>
      </w:tr>
      <w:tr>
        <w:trPr>
          <w:trHeight w:val="243"/>
        </w:trPr>
        <w:tc>
          <w:tcPr>
            <w:tcW w:w="20" w:type="dxa"/>
            <w:vAlign w:val="bottom"/>
            <w:shd w:val="clear" w:color="auto" w:fill="CFF0FC"/>
          </w:tcPr>
          <w:p>
            <w:pPr>
              <w:spacing w:after="0"/>
              <w:rPr>
                <w:sz w:val="21"/>
                <w:szCs w:val="21"/>
                <w:color w:val="auto"/>
              </w:rPr>
            </w:pPr>
          </w:p>
        </w:tc>
        <w:tc>
          <w:tcPr>
            <w:tcW w:w="32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166,118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166,118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166,118</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280" w:type="dxa"/>
            <w:vAlign w:val="bottom"/>
            <w:gridSpan w:val="3"/>
          </w:tcPr>
          <w:p>
            <w:pPr>
              <w:ind w:left="180"/>
              <w:spacing w:after="0"/>
              <w:rPr>
                <w:sz w:val="20"/>
                <w:szCs w:val="20"/>
                <w:color w:val="auto"/>
              </w:rPr>
            </w:pPr>
            <w:r>
              <w:rPr>
                <w:rFonts w:ascii="Arial" w:cs="Arial" w:eastAsia="Arial" w:hAnsi="Arial"/>
                <w:sz w:val="18"/>
                <w:szCs w:val="18"/>
                <w:color w:val="auto"/>
              </w:rPr>
              <w:t>U.S. agency bonds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3280" w:type="dxa"/>
            <w:vAlign w:val="bottom"/>
            <w:tcBorders>
              <w:bottom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328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273,734</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271,255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2,479</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273,734</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spacing w:after="0" w:line="176" w:lineRule="exact"/>
              <w:rPr>
                <w:sz w:val="20"/>
                <w:szCs w:val="20"/>
                <w:color w:val="auto"/>
              </w:rPr>
            </w:pPr>
            <w:r>
              <w:rPr>
                <w:rFonts w:ascii="Arial" w:cs="Arial" w:eastAsia="Arial" w:hAnsi="Arial"/>
                <w:sz w:val="18"/>
                <w:szCs w:val="18"/>
                <w:b w:val="1"/>
                <w:bCs w:val="1"/>
                <w:color w:val="auto"/>
                <w:w w:val="88"/>
              </w:rPr>
              <w:t>December 31, 2022</w:t>
            </w:r>
          </w:p>
        </w:tc>
        <w:tc>
          <w:tcPr>
            <w:tcW w:w="18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3280" w:type="dxa"/>
            <w:vAlign w:val="bottom"/>
            <w:gridSpan w:val="3"/>
          </w:tcPr>
          <w:p>
            <w:pPr>
              <w:ind w:left="180"/>
              <w:spacing w:after="0" w:line="243" w:lineRule="exact"/>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4"/>
                <w:szCs w:val="24"/>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66,840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66,840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66,840</w:t>
            </w:r>
          </w:p>
        </w:tc>
        <w:tc>
          <w:tcPr>
            <w:tcW w:w="100" w:type="dxa"/>
            <w:vAlign w:val="bottom"/>
          </w:tcPr>
          <w:p>
            <w:pPr>
              <w:spacing w:after="0"/>
              <w:rPr>
                <w:sz w:val="21"/>
                <w:szCs w:val="21"/>
                <w:color w:val="auto"/>
              </w:rPr>
            </w:pPr>
          </w:p>
        </w:tc>
      </w:tr>
      <w:tr>
        <w:trPr>
          <w:trHeight w:val="243"/>
        </w:trPr>
        <w:tc>
          <w:tcPr>
            <w:tcW w:w="20" w:type="dxa"/>
            <w:vAlign w:val="bottom"/>
            <w:shd w:val="clear" w:color="auto" w:fill="CFF0FC"/>
          </w:tcPr>
          <w:p>
            <w:pPr>
              <w:spacing w:after="0"/>
              <w:rPr>
                <w:sz w:val="21"/>
                <w:szCs w:val="21"/>
                <w:color w:val="auto"/>
              </w:rPr>
            </w:pPr>
          </w:p>
        </w:tc>
        <w:tc>
          <w:tcPr>
            <w:tcW w:w="32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154,018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154,018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154,018</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280" w:type="dxa"/>
            <w:vAlign w:val="bottom"/>
            <w:gridSpan w:val="3"/>
          </w:tcPr>
          <w:p>
            <w:pPr>
              <w:ind w:left="180"/>
              <w:spacing w:after="0"/>
              <w:rPr>
                <w:sz w:val="20"/>
                <w:szCs w:val="20"/>
                <w:color w:val="auto"/>
              </w:rPr>
            </w:pPr>
            <w:r>
              <w:rPr>
                <w:rFonts w:ascii="Arial" w:cs="Arial" w:eastAsia="Arial" w:hAnsi="Arial"/>
                <w:sz w:val="18"/>
                <w:szCs w:val="18"/>
                <w:color w:val="auto"/>
              </w:rPr>
              <w:t>U.S. agency bonds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4,965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3280" w:type="dxa"/>
            <w:vAlign w:val="bottom"/>
            <w:tcBorders>
              <w:bottom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28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228,223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223,258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4,965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228,223</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-1148080</wp:posOffset>
            </wp:positionV>
            <wp:extent cx="6858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-1148080</wp:posOffset>
            </wp:positionV>
            <wp:extent cx="6858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-1148080</wp:posOffset>
            </wp:positionV>
            <wp:extent cx="6858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-1148080</wp:posOffset>
            </wp:positionV>
            <wp:extent cx="7747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-1148080</wp:posOffset>
            </wp:positionV>
            <wp:extent cx="6858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-187960</wp:posOffset>
            </wp:positionV>
            <wp:extent cx="685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-187960</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-187960</wp:posOffset>
            </wp:positionV>
            <wp:extent cx="685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-187960</wp:posOffset>
            </wp:positionV>
            <wp:extent cx="7747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-187960</wp:posOffset>
            </wp:positionV>
            <wp:extent cx="6858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1793240</wp:posOffset>
            </wp:positionH>
            <wp:positionV relativeFrom="paragraph">
              <wp:posOffset>-1696720</wp:posOffset>
            </wp:positionV>
            <wp:extent cx="285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1793240</wp:posOffset>
            </wp:positionH>
            <wp:positionV relativeFrom="paragraph">
              <wp:posOffset>-736600</wp:posOffset>
            </wp:positionV>
            <wp:extent cx="285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(1) Included in cash and cash equivalents in accompanying balance sheets.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transfers between levels occurred during either of the reporting periods presented.</w:t>
      </w:r>
    </w:p>
    <w:p>
      <w:pPr>
        <w:spacing w:after="0" w:line="113"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 and Stock-Based Compensation</w:t>
      </w:r>
    </w:p>
    <w:p>
      <w:pPr>
        <w:spacing w:after="0" w:line="121"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As of June 30, 2023, there were 2,326,015 shares available for future issuance under the 2020 Equity Incentive Plan and 292,141 shares available for future issuance under the 2022 Inducement Equity Incentive Plan. The 2020 Equity Incentive Plan provides for the grants of stock options and other equity-based awards to employees, non-employee directors and consultants of the Company. The 2022 Inducement Equity Incentive Plan provides for the grants of equity-based awards to individuals not previously employees or non-employee directors of the Company.</w:t>
      </w:r>
    </w:p>
    <w:p>
      <w:pPr>
        <w:spacing w:after="0" w:line="63"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The table below summarizes the total stock-based compensation expense included in the Company’s statements of operations and comprehensive loss for the periods presented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36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Six Months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5"/>
        </w:trPr>
        <w:tc>
          <w:tcPr>
            <w:tcW w:w="40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left="155"/>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75"/>
        </w:trPr>
        <w:tc>
          <w:tcPr>
            <w:tcW w:w="406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r>
      <w:tr>
        <w:trPr>
          <w:trHeight w:val="236"/>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1,587</w:t>
            </w: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w:t>
            </w:r>
          </w:p>
        </w:tc>
        <w:tc>
          <w:tcPr>
            <w:tcW w:w="32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3,155</w:t>
            </w:r>
          </w:p>
        </w:tc>
        <w:tc>
          <w:tcPr>
            <w:tcW w:w="120" w:type="dxa"/>
            <w:vAlign w:val="bottom"/>
            <w:shd w:val="clear" w:color="auto" w:fill="CFF0FC"/>
          </w:tcPr>
          <w:p>
            <w:pPr>
              <w:spacing w:after="0"/>
              <w:rPr>
                <w:sz w:val="20"/>
                <w:szCs w:val="20"/>
                <w:color w:val="auto"/>
              </w:rPr>
            </w:pPr>
          </w:p>
        </w:tc>
      </w:tr>
      <w:tr>
        <w:trPr>
          <w:trHeight w:val="237"/>
        </w:trPr>
        <w:tc>
          <w:tcPr>
            <w:tcW w:w="4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w:t>
            </w:r>
          </w:p>
        </w:tc>
        <w:tc>
          <w:tcPr>
            <w:tcW w:w="2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2,505</w:t>
            </w:r>
          </w:p>
        </w:tc>
        <w:tc>
          <w:tcPr>
            <w:tcW w:w="3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w:t>
            </w: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20" w:type="dxa"/>
            <w:vAlign w:val="bottom"/>
          </w:tcPr>
          <w:p>
            <w:pPr>
              <w:spacing w:after="0"/>
              <w:rPr>
                <w:sz w:val="20"/>
                <w:szCs w:val="20"/>
                <w:color w:val="auto"/>
              </w:rPr>
            </w:pPr>
          </w:p>
        </w:tc>
      </w:tr>
      <w:tr>
        <w:trPr>
          <w:trHeight w:val="277"/>
        </w:trPr>
        <w:tc>
          <w:tcPr>
            <w:tcW w:w="40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3,825</w:t>
            </w:r>
          </w:p>
        </w:tc>
        <w:tc>
          <w:tcPr>
            <w:tcW w:w="2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4,092</w:t>
            </w:r>
          </w:p>
        </w:tc>
        <w:tc>
          <w:tcPr>
            <w:tcW w:w="3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7,439</w:t>
            </w:r>
          </w:p>
        </w:tc>
        <w:tc>
          <w:tcPr>
            <w:tcW w:w="3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8,037</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-24765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-24765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Stock Options</w:t>
      </w:r>
    </w:p>
    <w:p>
      <w:pPr>
        <w:spacing w:after="0" w:line="63" w:lineRule="exact"/>
        <w:rPr>
          <w:sz w:val="20"/>
          <w:szCs w:val="20"/>
          <w:color w:val="auto"/>
        </w:rPr>
      </w:pPr>
    </w:p>
    <w:p>
      <w:pPr>
        <w:ind w:right="120" w:firstLine="749"/>
        <w:spacing w:after="0" w:line="290" w:lineRule="auto"/>
        <w:rPr>
          <w:sz w:val="20"/>
          <w:szCs w:val="20"/>
          <w:color w:val="auto"/>
        </w:rPr>
      </w:pPr>
      <w:r>
        <w:rPr>
          <w:rFonts w:ascii="Arial" w:cs="Arial" w:eastAsia="Arial" w:hAnsi="Arial"/>
          <w:sz w:val="16"/>
          <w:szCs w:val="16"/>
          <w:color w:val="auto"/>
        </w:rPr>
        <w:t>On June 21, 2022, the Company filed with the SEC a Tender Offer Statement on Schedule TO defining the terms and conditions of a one-time voluntary stock option exchange of certain eligible options for its employees (the Option Exchange). On July 20, 2022, the completion date of the Option Exchange, stock options covering an aggregate of 4,406,732 shares of common stock were tendered by eligible employees, and the Company granted new options at an exercise price of $4.36, the Company’s closing stock price on July 20, 2022, covering an aggregate of 4,406,732 shares of common stock under the 2020 Equity Incentive Plan in exchange for the tendered options. As a result of the Option Exchange, the Company will recognize incremental stock-based compensation expense of $3.7 million over the requisite service period of the new stock options, which is three or four years. The Company will recognize the sum of the incremental stock-based compensation expense and the remaining unrecognized compensation expense for the original awards on the modification date, over the requisite service period of the new stock options.</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stock option activity for the six months ended June 30,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center"/>
              <w:ind w:left="304"/>
              <w:spacing w:after="0"/>
              <w:rPr>
                <w:sz w:val="20"/>
                <w:szCs w:val="20"/>
                <w:color w:val="auto"/>
              </w:rPr>
            </w:pPr>
            <w:r>
              <w:rPr>
                <w:rFonts w:ascii="Arial" w:cs="Arial" w:eastAsia="Arial" w:hAnsi="Arial"/>
                <w:sz w:val="14"/>
                <w:szCs w:val="14"/>
                <w:b w:val="1"/>
                <w:bCs w:val="1"/>
                <w:color w:val="auto"/>
                <w:w w:val="91"/>
              </w:rPr>
              <w:t>Weighted-</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89"/>
              </w:rPr>
              <w:t>Aggregate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108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86"/>
              </w:rPr>
              <w:t>Exercise</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9"/>
              </w:rPr>
              <w:t>Term</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left="324"/>
              <w:spacing w:after="0"/>
              <w:rPr>
                <w:sz w:val="20"/>
                <w:szCs w:val="20"/>
                <w:color w:val="auto"/>
              </w:rPr>
            </w:pPr>
            <w:r>
              <w:rPr>
                <w:rFonts w:ascii="Arial" w:cs="Arial" w:eastAsia="Arial" w:hAnsi="Arial"/>
                <w:sz w:val="14"/>
                <w:szCs w:val="14"/>
                <w:b w:val="1"/>
                <w:bCs w:val="1"/>
                <w:color w:val="auto"/>
                <w:w w:val="93"/>
              </w:rPr>
              <w:t>Price</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2022</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6,690,492</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center"/>
              <w:ind w:right="88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4.27</w:t>
            </w:r>
          </w:p>
        </w:tc>
        <w:tc>
          <w:tcPr>
            <w:tcW w:w="30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1,932,250</w:t>
            </w:r>
          </w:p>
        </w:tc>
        <w:tc>
          <w:tcPr>
            <w:tcW w:w="160" w:type="dxa"/>
            <w:vAlign w:val="bottom"/>
          </w:tcPr>
          <w:p>
            <w:pPr>
              <w:spacing w:after="0"/>
              <w:rPr>
                <w:sz w:val="20"/>
                <w:szCs w:val="20"/>
                <w:color w:val="auto"/>
              </w:rPr>
            </w:pPr>
          </w:p>
        </w:tc>
        <w:tc>
          <w:tcPr>
            <w:tcW w:w="1220" w:type="dxa"/>
            <w:vAlign w:val="bottom"/>
            <w:gridSpan w:val="2"/>
          </w:tcPr>
          <w:p>
            <w:pPr>
              <w:jc w:val="center"/>
              <w:ind w:right="74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6.00</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(16 )</w:t>
            </w:r>
          </w:p>
        </w:tc>
        <w:tc>
          <w:tcPr>
            <w:tcW w:w="1220" w:type="dxa"/>
            <w:vAlign w:val="bottom"/>
            <w:gridSpan w:val="2"/>
            <w:shd w:val="clear" w:color="auto" w:fill="CFF0FC"/>
          </w:tcPr>
          <w:p>
            <w:pPr>
              <w:jc w:val="center"/>
              <w:ind w:right="74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1.60</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(21,869 )</w:t>
            </w:r>
          </w:p>
        </w:tc>
        <w:tc>
          <w:tcPr>
            <w:tcW w:w="1220" w:type="dxa"/>
            <w:vAlign w:val="bottom"/>
            <w:gridSpan w:val="2"/>
          </w:tcPr>
          <w:p>
            <w:pPr>
              <w:jc w:val="center"/>
              <w:ind w:right="74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5.21</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2023</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8,600,857</w:t>
            </w:r>
          </w:p>
        </w:tc>
        <w:tc>
          <w:tcPr>
            <w:tcW w:w="1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gridSpan w:val="2"/>
            <w:shd w:val="clear" w:color="auto" w:fill="CFF0FC"/>
          </w:tcPr>
          <w:p>
            <w:pPr>
              <w:jc w:val="center"/>
              <w:ind w:right="744"/>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6"/>
              </w:rPr>
              <w:t>4.66</w:t>
            </w:r>
          </w:p>
        </w:tc>
        <w:tc>
          <w:tcPr>
            <w:tcW w:w="3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5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29,499</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Exercisable at June 30, 2023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1,909,275</w:t>
            </w:r>
          </w:p>
        </w:tc>
        <w:tc>
          <w:tcPr>
            <w:tcW w:w="160" w:type="dxa"/>
            <w:vAlign w:val="bottom"/>
          </w:tcPr>
          <w:p>
            <w:pPr>
              <w:spacing w:after="0"/>
              <w:rPr>
                <w:sz w:val="20"/>
                <w:szCs w:val="20"/>
                <w:color w:val="auto"/>
              </w:rPr>
            </w:pPr>
          </w:p>
        </w:tc>
        <w:tc>
          <w:tcPr>
            <w:tcW w:w="1220" w:type="dxa"/>
            <w:vAlign w:val="bottom"/>
            <w:gridSpan w:val="2"/>
          </w:tcPr>
          <w:p>
            <w:pPr>
              <w:jc w:val="center"/>
              <w:ind w:right="74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4.01</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9,664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764"/>
              <w:spacing w:after="0"/>
              <w:rPr>
                <w:sz w:val="20"/>
                <w:szCs w:val="20"/>
                <w:color w:val="auto"/>
              </w:rPr>
            </w:pPr>
            <w:r>
              <w:rPr>
                <w:rFonts w:ascii="Arial" w:cs="Arial" w:eastAsia="Arial" w:hAnsi="Arial"/>
                <w:sz w:val="18"/>
                <w:szCs w:val="18"/>
                <w:color w:val="auto"/>
                <w:w w:val="89"/>
              </w:rPr>
              <w:t>11</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-659130</wp:posOffset>
            </wp:positionV>
            <wp:extent cx="7747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left="760"/>
        <w:spacing w:after="0"/>
        <w:rPr>
          <w:sz w:val="20"/>
          <w:szCs w:val="20"/>
          <w:color w:val="auto"/>
        </w:rPr>
      </w:pPr>
      <w:r>
        <w:rPr>
          <w:rFonts w:ascii="Arial" w:cs="Arial" w:eastAsia="Arial" w:hAnsi="Arial"/>
          <w:sz w:val="16"/>
          <w:szCs w:val="16"/>
          <w:color w:val="auto"/>
        </w:rPr>
        <w:t>The fair value of stock option awards to employees, executives, directors, and other service providers was estimated at the date of grant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Black-Scholes-Merton option pricing model with the following assumptions: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80" w:type="dxa"/>
            <w:vAlign w:val="bottom"/>
            <w:gridSpan w:val="3"/>
          </w:tcPr>
          <w:p>
            <w:pPr>
              <w:jc w:val="right"/>
              <w:ind w:right="91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Pr>
          <w:p>
            <w:pPr>
              <w:spacing w:after="0"/>
              <w:rPr>
                <w:sz w:val="14"/>
                <w:szCs w:val="14"/>
                <w:color w:val="auto"/>
              </w:rPr>
            </w:pPr>
          </w:p>
        </w:tc>
      </w:tr>
      <w:tr>
        <w:trPr>
          <w:trHeight w:val="205"/>
        </w:trPr>
        <w:tc>
          <w:tcPr>
            <w:tcW w:w="418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1210"/>
              <w:spacing w:after="0"/>
              <w:rPr>
                <w:sz w:val="20"/>
                <w:szCs w:val="20"/>
                <w:color w:val="auto"/>
              </w:rPr>
            </w:pPr>
            <w:r>
              <w:rPr>
                <w:rFonts w:ascii="Arial" w:cs="Arial" w:eastAsia="Arial" w:hAnsi="Arial"/>
                <w:sz w:val="14"/>
                <w:szCs w:val="14"/>
                <w:b w:val="1"/>
                <w:bCs w:val="1"/>
                <w:color w:val="auto"/>
              </w:rPr>
              <w:t>June 30,</w:t>
            </w:r>
          </w:p>
        </w:tc>
        <w:tc>
          <w:tcPr>
            <w:tcW w:w="1400" w:type="dxa"/>
            <w:vAlign w:val="bottom"/>
            <w:tcBorders>
              <w:bottom w:val="single" w:sz="8" w:color="auto"/>
            </w:tcBorders>
          </w:tcPr>
          <w:p>
            <w:pPr>
              <w:spacing w:after="0"/>
              <w:rPr>
                <w:sz w:val="17"/>
                <w:szCs w:val="17"/>
                <w:color w:val="auto"/>
              </w:rPr>
            </w:pPr>
          </w:p>
        </w:tc>
      </w:tr>
      <w:tr>
        <w:trPr>
          <w:trHeight w:val="175"/>
        </w:trPr>
        <w:tc>
          <w:tcPr>
            <w:tcW w:w="4180" w:type="dxa"/>
            <w:vAlign w:val="bottom"/>
          </w:tcPr>
          <w:p>
            <w:pPr>
              <w:spacing w:after="0"/>
              <w:rPr>
                <w:sz w:val="15"/>
                <w:szCs w:val="15"/>
                <w:color w:val="auto"/>
              </w:rPr>
            </w:pPr>
          </w:p>
        </w:tc>
        <w:tc>
          <w:tcPr>
            <w:tcW w:w="224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2023</w:t>
            </w:r>
          </w:p>
        </w:tc>
        <w:tc>
          <w:tcPr>
            <w:tcW w:w="3680" w:type="dxa"/>
            <w:vAlign w:val="bottom"/>
            <w:gridSpan w:val="4"/>
          </w:tcPr>
          <w:p>
            <w:pPr>
              <w:jc w:val="right"/>
              <w:ind w:right="1110"/>
              <w:spacing w:after="0"/>
              <w:rPr>
                <w:sz w:val="20"/>
                <w:szCs w:val="20"/>
                <w:color w:val="auto"/>
              </w:rPr>
            </w:pPr>
            <w:r>
              <w:rPr>
                <w:rFonts w:ascii="Arial" w:cs="Arial" w:eastAsia="Arial" w:hAnsi="Arial"/>
                <w:sz w:val="14"/>
                <w:szCs w:val="14"/>
                <w:b w:val="1"/>
                <w:bCs w:val="1"/>
                <w:color w:val="auto"/>
              </w:rPr>
              <w:t>2022</w:t>
            </w:r>
          </w:p>
        </w:tc>
      </w:tr>
      <w:tr>
        <w:trPr>
          <w:trHeight w:val="237"/>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8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- 4.03%</w:t>
            </w:r>
          </w:p>
        </w:tc>
        <w:tc>
          <w:tcPr>
            <w:tcW w:w="7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- 3.34%</w:t>
            </w:r>
          </w:p>
        </w:tc>
      </w:tr>
      <w:tr>
        <w:trPr>
          <w:trHeight w:val="237"/>
        </w:trPr>
        <w:tc>
          <w:tcPr>
            <w:tcW w:w="4180" w:type="dxa"/>
            <w:vAlign w:val="bottom"/>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tcPr>
          <w:p>
            <w:pPr>
              <w:jc w:val="right"/>
              <w:spacing w:after="0"/>
              <w:rPr>
                <w:sz w:val="20"/>
                <w:szCs w:val="20"/>
                <w:color w:val="auto"/>
              </w:rPr>
            </w:pPr>
            <w:r>
              <w:rPr>
                <w:rFonts w:ascii="Arial" w:cs="Arial" w:eastAsia="Arial" w:hAnsi="Arial"/>
                <w:sz w:val="18"/>
                <w:szCs w:val="18"/>
                <w:color w:val="auto"/>
              </w:rPr>
              <w:t>86.33%</w:t>
            </w:r>
          </w:p>
        </w:tc>
        <w:tc>
          <w:tcPr>
            <w:tcW w:w="820" w:type="dxa"/>
            <w:vAlign w:val="bottom"/>
          </w:tcPr>
          <w:p>
            <w:pPr>
              <w:ind w:left="20"/>
              <w:spacing w:after="0"/>
              <w:rPr>
                <w:sz w:val="20"/>
                <w:szCs w:val="20"/>
                <w:color w:val="auto"/>
              </w:rPr>
            </w:pPr>
            <w:r>
              <w:rPr>
                <w:rFonts w:ascii="Arial" w:cs="Arial" w:eastAsia="Arial" w:hAnsi="Arial"/>
                <w:sz w:val="18"/>
                <w:szCs w:val="18"/>
                <w:color w:val="auto"/>
              </w:rPr>
              <w:t>- 87.68%</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82.98%</w:t>
            </w:r>
          </w:p>
        </w:tc>
        <w:tc>
          <w:tcPr>
            <w:tcW w:w="1400" w:type="dxa"/>
            <w:vAlign w:val="bottom"/>
          </w:tcPr>
          <w:p>
            <w:pPr>
              <w:ind w:left="20"/>
              <w:spacing w:after="0"/>
              <w:rPr>
                <w:sz w:val="20"/>
                <w:szCs w:val="20"/>
                <w:color w:val="auto"/>
              </w:rPr>
            </w:pPr>
            <w:r>
              <w:rPr>
                <w:rFonts w:ascii="Arial" w:cs="Arial" w:eastAsia="Arial" w:hAnsi="Arial"/>
                <w:sz w:val="18"/>
                <w:szCs w:val="18"/>
                <w:color w:val="auto"/>
              </w:rPr>
              <w:t>- 87.60%</w:t>
            </w:r>
          </w:p>
        </w:tc>
      </w:tr>
      <w:tr>
        <w:trPr>
          <w:trHeight w:val="24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- 6.08</w:t>
            </w:r>
          </w:p>
        </w:tc>
        <w:tc>
          <w:tcPr>
            <w:tcW w:w="2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- 6.08</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40" w:type="dxa"/>
            <w:vAlign w:val="bottom"/>
            <w:gridSpan w:val="2"/>
          </w:tcPr>
          <w:p>
            <w:pPr>
              <w:jc w:val="right"/>
              <w:ind w:right="570"/>
              <w:spacing w:after="0"/>
              <w:rPr>
                <w:sz w:val="20"/>
                <w:szCs w:val="20"/>
                <w:color w:val="auto"/>
              </w:rPr>
            </w:pPr>
            <w:r>
              <w:rPr>
                <w:rFonts w:ascii="Arial" w:cs="Arial" w:eastAsia="Arial" w:hAnsi="Arial"/>
                <w:sz w:val="18"/>
                <w:szCs w:val="18"/>
                <w:color w:val="auto"/>
              </w:rPr>
              <w:t>0%</w:t>
            </w:r>
          </w:p>
        </w:tc>
        <w:tc>
          <w:tcPr>
            <w:tcW w:w="3680" w:type="dxa"/>
            <w:vAlign w:val="bottom"/>
            <w:gridSpan w:val="4"/>
          </w:tcPr>
          <w:p>
            <w:pPr>
              <w:jc w:val="right"/>
              <w:ind w:right="1150"/>
              <w:spacing w:after="0"/>
              <w:rPr>
                <w:sz w:val="20"/>
                <w:szCs w:val="20"/>
                <w:color w:val="auto"/>
              </w:rPr>
            </w:pPr>
            <w:r>
              <w:rPr>
                <w:rFonts w:ascii="Arial" w:cs="Arial" w:eastAsia="Arial" w:hAnsi="Arial"/>
                <w:sz w:val="18"/>
                <w:szCs w:val="18"/>
                <w:color w:val="auto"/>
              </w:rPr>
              <w:t>0%</w:t>
            </w:r>
          </w:p>
        </w:tc>
      </w:tr>
    </w:tbl>
    <w:p>
      <w:pPr>
        <w:spacing w:after="0" w:line="120"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The Company recognized stock-based compensation expense related to the vesting of stock options of $3.2 million and $3.8 million during the three months ended June 30, 2023 and 2022, respectively, and $6.3 million and $7.5 million during the six months ended June 30, 2023 and 2022, respectively. Total unrecognized compensation expense related to outstanding unvested stock-option awards as of June 30, 2023, was $35.6 million, which is expected to be recognized over a weighted-average remaining service period of 2.9 years.</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restricted stock unit activity for the six months ended June 30, 2023:</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tcPr>
          <w:p>
            <w:pPr>
              <w:jc w:val="center"/>
              <w:ind w:right="358"/>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60" w:type="dxa"/>
            <w:vAlign w:val="bottom"/>
          </w:tcPr>
          <w:p>
            <w:pPr>
              <w:jc w:val="center"/>
              <w:ind w:right="358"/>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740" w:type="dxa"/>
            <w:vAlign w:val="bottom"/>
            <w:vMerge w:val="restart"/>
          </w:tcPr>
          <w:p>
            <w:pPr>
              <w:ind w:left="620"/>
              <w:spacing w:after="0"/>
              <w:rPr>
                <w:sz w:val="20"/>
                <w:szCs w:val="20"/>
                <w:color w:val="auto"/>
              </w:rPr>
            </w:pPr>
            <w:r>
              <w:rPr>
                <w:rFonts w:ascii="Arial" w:cs="Arial" w:eastAsia="Arial" w:hAnsi="Arial"/>
                <w:sz w:val="14"/>
                <w:szCs w:val="14"/>
                <w:b w:val="1"/>
                <w:bCs w:val="1"/>
                <w:color w:val="auto"/>
                <w:w w:val="91"/>
              </w:rPr>
              <w:t>Number of Shares</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60" w:type="dxa"/>
            <w:vAlign w:val="bottom"/>
          </w:tcPr>
          <w:p>
            <w:pPr>
              <w:jc w:val="center"/>
              <w:ind w:right="398"/>
              <w:spacing w:after="0" w:line="149" w:lineRule="exact"/>
              <w:rPr>
                <w:sz w:val="20"/>
                <w:szCs w:val="20"/>
                <w:color w:val="auto"/>
              </w:rPr>
            </w:pPr>
            <w:r>
              <w:rPr>
                <w:rFonts w:ascii="Arial" w:cs="Arial" w:eastAsia="Arial" w:hAnsi="Arial"/>
                <w:sz w:val="14"/>
                <w:szCs w:val="14"/>
                <w:b w:val="1"/>
                <w:bCs w:val="1"/>
                <w:color w:val="auto"/>
                <w:w w:val="96"/>
              </w:rPr>
              <w:t>Grant-Date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2022</w:t>
            </w:r>
          </w:p>
        </w:tc>
        <w:tc>
          <w:tcPr>
            <w:tcW w:w="17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191,925</w:t>
            </w:r>
          </w:p>
        </w:tc>
        <w:tc>
          <w:tcPr>
            <w:tcW w:w="36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302,863</w:t>
            </w:r>
          </w:p>
        </w:tc>
        <w:tc>
          <w:tcPr>
            <w:tcW w:w="36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1"/>
              </w:rPr>
              <w:t>(10,970 )</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(2,421 )</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2023</w:t>
            </w:r>
          </w:p>
        </w:tc>
        <w:tc>
          <w:tcPr>
            <w:tcW w:w="174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481,397</w:t>
            </w:r>
          </w:p>
        </w:tc>
        <w:tc>
          <w:tcPr>
            <w:tcW w:w="3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-7620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The Company recognized stock-based compensation expense related to the vesting of restricted stock units of $0.3 million and $0.2 million during the three months ended June 30, 2023 and 2022, respectively, and $0.6 million and $0.3 million during the six months ended June 30, 2023 and 2022, respectively. Total unrecognized compensation expense related to restricted stock units as of June 30, 2023, was $2.6 million, which is expected to be recognized over a weighted-average remaining service period of 2.2 years.</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The Company recognized stock-based compensation expense related to the Employee Stock Purchase Plan (ESPP) of $0.3 million and $0.1 million during the three months ended June 30, 2023 and 2022, respectively, and $0.5 million and $0.2 million during the six months ended June 30, 2023 and 2022, respectively.</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Pre-funded Warrants</w:t>
      </w:r>
    </w:p>
    <w:p>
      <w:pPr>
        <w:spacing w:after="0" w:line="117" w:lineRule="exact"/>
        <w:rPr>
          <w:sz w:val="20"/>
          <w:szCs w:val="20"/>
          <w:color w:val="auto"/>
        </w:rPr>
      </w:pPr>
    </w:p>
    <w:p>
      <w:pPr>
        <w:ind w:right="40" w:firstLine="749"/>
        <w:spacing w:after="0" w:line="296" w:lineRule="auto"/>
        <w:rPr>
          <w:sz w:val="20"/>
          <w:szCs w:val="20"/>
          <w:color w:val="auto"/>
        </w:rPr>
      </w:pPr>
      <w:r>
        <w:rPr>
          <w:rFonts w:ascii="Arial" w:cs="Arial" w:eastAsia="Arial" w:hAnsi="Arial"/>
          <w:sz w:val="16"/>
          <w:szCs w:val="16"/>
          <w:color w:val="auto"/>
        </w:rPr>
        <w:t>In June 2023, the Company completed a private placement, in which it sold 9,285,710 shares of common stock together with pre-funded warrants to purchase 2,857,142 shares of common stock with an exercise price of $0.0001 per share. Each pre-funded warrant was immediately exercisable and will remain exercisable until exercised in full. The Company performed an assessment upon issuance of the pre-funded warrants to determine proper classification in the financial statements based on the specific terms of the pre-funded warrants. The Company determined the pre-funded warrants met all the criteria for equity classification and recorded them in additional paid-in capital. All pre-funded warrants remained outstanding as of June 30, 2023.</w:t>
      </w:r>
    </w:p>
    <w:p>
      <w:pPr>
        <w:spacing w:after="0" w:line="5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63"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6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75"/>
        </w:trPr>
        <w:tc>
          <w:tcPr>
            <w:tcW w:w="5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360" w:type="dxa"/>
            <w:vAlign w:val="bottom"/>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48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12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48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6"/>
        </w:trPr>
        <w:tc>
          <w:tcPr>
            <w:tcW w:w="580" w:type="dxa"/>
            <w:vAlign w:val="bottom"/>
          </w:tcPr>
          <w:p>
            <w:pPr>
              <w:spacing w:after="0"/>
              <w:rPr>
                <w:sz w:val="20"/>
                <w:szCs w:val="20"/>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8,600,857</w:t>
            </w:r>
          </w:p>
        </w:tc>
        <w:tc>
          <w:tcPr>
            <w:tcW w:w="24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6,654,077</w:t>
            </w:r>
          </w:p>
        </w:tc>
        <w:tc>
          <w:tcPr>
            <w:tcW w:w="24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8,600,857</w:t>
            </w:r>
          </w:p>
        </w:tc>
        <w:tc>
          <w:tcPr>
            <w:tcW w:w="24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6,654,077</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220" w:type="dxa"/>
            <w:vAlign w:val="bottom"/>
          </w:tcPr>
          <w:p>
            <w:pPr>
              <w:ind w:left="40"/>
              <w:spacing w:after="0"/>
              <w:rPr>
                <w:sz w:val="20"/>
                <w:szCs w:val="20"/>
                <w:color w:val="auto"/>
              </w:rPr>
            </w:pPr>
            <w:r>
              <w:rPr>
                <w:rFonts w:ascii="Arial" w:cs="Arial" w:eastAsia="Arial" w:hAnsi="Arial"/>
                <w:sz w:val="18"/>
                <w:szCs w:val="18"/>
                <w:color w:val="auto"/>
              </w:rPr>
              <w:t>Non-vested restricted stock units</w:t>
            </w:r>
          </w:p>
        </w:tc>
        <w:tc>
          <w:tcPr>
            <w:tcW w:w="1360" w:type="dxa"/>
            <w:vAlign w:val="bottom"/>
          </w:tcPr>
          <w:p>
            <w:pPr>
              <w:jc w:val="right"/>
              <w:spacing w:after="0"/>
              <w:rPr>
                <w:sz w:val="20"/>
                <w:szCs w:val="20"/>
                <w:color w:val="auto"/>
              </w:rPr>
            </w:pPr>
            <w:r>
              <w:rPr>
                <w:rFonts w:ascii="Arial" w:cs="Arial" w:eastAsia="Arial" w:hAnsi="Arial"/>
                <w:sz w:val="18"/>
                <w:szCs w:val="18"/>
                <w:color w:val="auto"/>
              </w:rPr>
              <w:t>481,397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236,942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481,397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236,942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0"/>
        </w:trPr>
        <w:tc>
          <w:tcPr>
            <w:tcW w:w="580" w:type="dxa"/>
            <w:vAlign w:val="bottom"/>
          </w:tcPr>
          <w:p>
            <w:pPr>
              <w:spacing w:after="0"/>
              <w:rPr>
                <w:sz w:val="23"/>
                <w:szCs w:val="23"/>
                <w:color w:val="auto"/>
              </w:rPr>
            </w:pPr>
          </w:p>
        </w:tc>
        <w:tc>
          <w:tcPr>
            <w:tcW w:w="4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9,082,254</w:t>
            </w:r>
          </w:p>
        </w:tc>
        <w:tc>
          <w:tcPr>
            <w:tcW w:w="2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6,891,019</w:t>
            </w:r>
          </w:p>
        </w:tc>
        <w:tc>
          <w:tcPr>
            <w:tcW w:w="24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9,082,254</w:t>
            </w:r>
          </w:p>
        </w:tc>
        <w:tc>
          <w:tcPr>
            <w:tcW w:w="2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6,891,019</w:t>
            </w:r>
          </w:p>
        </w:tc>
        <w:tc>
          <w:tcPr>
            <w:tcW w:w="120" w:type="dxa"/>
            <w:vAlign w:val="bottom"/>
            <w:tcBorders>
              <w:bottom w:val="single" w:sz="8" w:color="CFF0FC"/>
            </w:tcBorders>
            <w:shd w:val="clear" w:color="auto" w:fill="CFF0FC"/>
          </w:tcPr>
          <w:p>
            <w:pPr>
              <w:spacing w:after="0"/>
              <w:rPr>
                <w:sz w:val="23"/>
                <w:szCs w:val="23"/>
                <w:color w:val="auto"/>
              </w:rPr>
            </w:pPr>
          </w:p>
        </w:tc>
        <w:tc>
          <w:tcPr>
            <w:tcW w:w="560" w:type="dxa"/>
            <w:vAlign w:val="bottom"/>
          </w:tcPr>
          <w:p>
            <w:pPr>
              <w:spacing w:after="0"/>
              <w:rPr>
                <w:sz w:val="23"/>
                <w:szCs w:val="23"/>
                <w:color w:val="auto"/>
              </w:rPr>
            </w:pPr>
          </w:p>
        </w:tc>
      </w:tr>
      <w:tr>
        <w:trPr>
          <w:trHeight w:val="635"/>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60" w:type="dxa"/>
            <w:vAlign w:val="bottom"/>
          </w:tcPr>
          <w:p>
            <w:pPr>
              <w:jc w:val="right"/>
              <w:ind w:right="356"/>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-521970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-504825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-521970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-504825</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-521970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-504825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-521970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-504825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financial statements and related notes included elsewhere in this quarterly report on Form 10-Q and our audited financial statements and notes thereto as of and for the year ended December 31, 2022 and the related Management’s Discussion and Analysis of Financial Condition and Results of Operations, both of which are contained in our Annual Report on Form 10-K for the fiscal year ended December 31, 2022, filed with the Securities and Exchange Commission on March 16, 2023. This discussion contains forward-looking statements that involve risks and uncertainties, including those described in the section titled “Special Note Regarding Forward-Looking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report.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xml:space="preserve">ORIC Pharmaceuticals is a clinical-stage biopharmaceutical company dedicated to improving patients’ lives by </w:t>
      </w:r>
      <w:r>
        <w:rPr>
          <w:rFonts w:ascii="Arial" w:cs="Arial" w:eastAsia="Arial" w:hAnsi="Arial"/>
          <w:sz w:val="17"/>
          <w:szCs w:val="17"/>
          <w:i w:val="1"/>
          <w:iCs w:val="1"/>
          <w:u w:val="single" w:color="auto"/>
          <w:color w:val="auto"/>
        </w:rPr>
        <w:t>O</w:t>
      </w:r>
      <w:r>
        <w:rPr>
          <w:rFonts w:ascii="Arial" w:cs="Arial" w:eastAsia="Arial" w:hAnsi="Arial"/>
          <w:sz w:val="17"/>
          <w:szCs w:val="17"/>
          <w:i w:val="1"/>
          <w:iCs w:val="1"/>
          <w:color w:val="auto"/>
        </w:rPr>
        <w:t>vercoming</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R</w:t>
      </w:r>
      <w:r>
        <w:rPr>
          <w:rFonts w:ascii="Arial" w:cs="Arial" w:eastAsia="Arial" w:hAnsi="Arial"/>
          <w:sz w:val="17"/>
          <w:szCs w:val="17"/>
          <w:i w:val="1"/>
          <w:iCs w:val="1"/>
          <w:color w:val="auto"/>
        </w:rPr>
        <w:t>esistance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I</w:t>
      </w:r>
      <w:r>
        <w:rPr>
          <w:rFonts w:ascii="Arial" w:cs="Arial" w:eastAsia="Arial" w:hAnsi="Arial"/>
          <w:sz w:val="17"/>
          <w:szCs w:val="17"/>
          <w:i w:val="1"/>
          <w:iCs w:val="1"/>
          <w:color w:val="auto"/>
        </w:rPr>
        <w:t>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w:t>
      </w:r>
      <w:r>
        <w:rPr>
          <w:rFonts w:ascii="Arial" w:cs="Arial" w:eastAsia="Arial" w:hAnsi="Arial"/>
          <w:sz w:val="18"/>
          <w:szCs w:val="18"/>
          <w:i w:val="1"/>
          <w:iCs w:val="1"/>
          <w:color w:val="auto"/>
        </w:rPr>
        <w:t>ancer.</w:t>
      </w:r>
    </w:p>
    <w:p>
      <w:pPr>
        <w:spacing w:after="0" w:line="211" w:lineRule="exact"/>
        <w:rPr>
          <w:sz w:val="20"/>
          <w:szCs w:val="20"/>
          <w:color w:val="auto"/>
        </w:rPr>
      </w:pPr>
    </w:p>
    <w:p>
      <w:pPr>
        <w:jc w:val="both"/>
        <w:ind w:right="640" w:firstLine="749"/>
        <w:spacing w:after="0" w:line="263" w:lineRule="auto"/>
        <w:rPr>
          <w:sz w:val="20"/>
          <w:szCs w:val="20"/>
          <w:color w:val="auto"/>
        </w:rPr>
      </w:pPr>
      <w:r>
        <w:rPr>
          <w:rFonts w:ascii="Arial" w:cs="Arial" w:eastAsia="Arial" w:hAnsi="Arial"/>
          <w:sz w:val="18"/>
          <w:szCs w:val="18"/>
          <w:color w:val="auto"/>
        </w:rPr>
        <w:t>Our fully integrated discovery and development team is advancing a diverse pipeline of innovative clinical and discovery stage therapies designed to counter resistance mechanisms in cancer by leveraging our expertise within three specific areas: hormone-dependent cancers, precision oncology and key tumor dependencies.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clinical stage product candidates include:</w:t>
      </w:r>
    </w:p>
    <w:p>
      <w:pPr>
        <w:spacing w:after="0" w:line="117" w:lineRule="exact"/>
        <w:rPr>
          <w:sz w:val="20"/>
          <w:szCs w:val="20"/>
          <w:color w:val="auto"/>
        </w:rPr>
      </w:pPr>
    </w:p>
    <w:p>
      <w:pPr>
        <w:ind w:left="1260" w:right="100" w:hanging="503"/>
        <w:spacing w:after="0" w:line="271" w:lineRule="auto"/>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ORIC-114, a brain penetrant, orally bioavailable, irreversible inhibitor designed to selectively target epidermal growth factor receptor (EGFR) and human epidermal growth factor receptor 2 (HER2) with high potency towards exon 20 insertion mutations, for which we licensed development and commercialization rights from Voronoi Inc. (Voronoi) in October 2020 (Voronoi License Agreement). In the fourth quarter of 2021, we filed a CTA in South Korea for ORIC-114, which was cleared in the first quarter of 2022. We also filed and cleared an IND with the FDA for ORIC-114 in the third quarter of 2022. We are enrolling a Phase 1b trial of ORIC-114 as a single-agent, in patients with advanced solid tumors with EGFR and HER2 exon 20 alterations or HER2 amplifications and allows patients with CNS metastases that are either treated or untreated but asymptomatic. We expect to report initial Phase 1b data from this trial at the European Society for Medical Oncology (ESMO) Congress held in October 2023.</w:t>
      </w:r>
    </w:p>
    <w:p>
      <w:pPr>
        <w:spacing w:after="0" w:line="70" w:lineRule="exact"/>
        <w:rPr>
          <w:rFonts w:ascii="Arial" w:cs="Arial" w:eastAsia="Arial" w:hAnsi="Arial"/>
          <w:sz w:val="17"/>
          <w:szCs w:val="17"/>
          <w:color w:val="auto"/>
        </w:rPr>
      </w:pPr>
    </w:p>
    <w:p>
      <w:pPr>
        <w:ind w:left="1260" w:hanging="503"/>
        <w:spacing w:after="0" w:line="275" w:lineRule="auto"/>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ORIC-533, an orally bioavailable small molecule inhibitor of CD73, a key node in the adenosine pathway believed to play a central role in resistance to chemotherapy- and immunotherapy-based treatment regimens. In the second quarter of 2021, the U.S. Food and Drug Administration (FDA) cleared the Investigational New Drug Application (IND) for ORIC-533, and in the first quarter of 2023, a Clinical Trial Application (CTA) was cleared in Canada for ORIC-533. We are enrolling a Phase 1b trial of ORIC-533 as a single-agent, in patients with relapsed/refractory multiple myeloma and expect to report initial data in the fourth quarter of 2023.</w:t>
      </w:r>
    </w:p>
    <w:p>
      <w:pPr>
        <w:spacing w:after="0" w:line="68" w:lineRule="exact"/>
        <w:rPr>
          <w:rFonts w:ascii="Arial" w:cs="Arial" w:eastAsia="Arial" w:hAnsi="Arial"/>
          <w:sz w:val="17"/>
          <w:szCs w:val="17"/>
          <w:color w:val="auto"/>
        </w:rPr>
      </w:pPr>
    </w:p>
    <w:p>
      <w:pPr>
        <w:ind w:left="1260" w:right="20" w:hanging="503"/>
        <w:spacing w:after="0" w:line="301" w:lineRule="auto"/>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ORIC-944, an allosteric inhibitor of the polycomb repressive complex 2 (PRC2) via the embryonic ectoderm development (EED) subunit, for which we licensed development and commercialization rights from Mirati Therapeutics, Inc. (Mirati) in August 2020 (Mirati License Agreement). We filed and cleared an IND with the FDA for ORIC-944 in the fourth quarter of 2021. We are enrolling a Phase 1b trial of ORIC-944 as a single-agent, in patients with advanced prostate cancer and expect to report initial data in the first quarter of 2024.</w:t>
      </w:r>
    </w:p>
    <w:p>
      <w:pPr>
        <w:spacing w:after="0" w:line="157"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Beyond these clinical stage product candidates, we are developing multiple discovery stage precision medicines targeting other hallmark cancer resistance mechanisms.</w:t>
      </w:r>
    </w:p>
    <w:p>
      <w:pPr>
        <w:spacing w:after="0" w:line="62" w:lineRule="exact"/>
        <w:rPr>
          <w:sz w:val="20"/>
          <w:szCs w:val="20"/>
          <w:color w:val="auto"/>
        </w:rPr>
      </w:pPr>
    </w:p>
    <w:p>
      <w:pPr>
        <w:ind w:right="100" w:firstLine="749"/>
        <w:spacing w:after="0" w:line="272" w:lineRule="auto"/>
        <w:rPr>
          <w:sz w:val="20"/>
          <w:szCs w:val="20"/>
          <w:color w:val="auto"/>
        </w:rPr>
      </w:pPr>
      <w:r>
        <w:rPr>
          <w:rFonts w:ascii="Arial" w:cs="Arial" w:eastAsia="Arial" w:hAnsi="Arial"/>
          <w:sz w:val="17"/>
          <w:szCs w:val="17"/>
          <w:color w:val="auto"/>
        </w:rPr>
        <w:t>We have incurred significant losses since the commencement of our operations. Our net loss for the six months ended June 30, 2023 was $46.9 million and we had an accumulated deficit of $381.1 million as of June 30, 2023. Our losses and accumulated deficit have resulted primarily from costs incurred in connection with research and development activities including in-licensing and to a lesser extent from general and administrative costs associated with our operations. We expect to incur significant losses for the foreseeable future, and we anticipate these losses will increase significantly as we continue our development of ORIC-114, ORIC-533, ORIC-944 and any future product candidates from discovery through preclinical development and into clinical trials as we seek regulatory approval for these product candidates. Our net losses may fluctuate significantly from period to period, depending on the timing of and expenditures on our planned research and development activities.</w:t>
      </w:r>
    </w:p>
    <w:p>
      <w:pPr>
        <w:spacing w:after="0" w:line="69"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On June 24, 2023, we entered into a securities purchase agreement with a select group of institutional and accredited healthcare specialist investors for the private placement of 9,285,710 shares of common stock at a price of $7.00 per share and pre-funded warrants to purchase 2,857,142 shares of common stock at a purchase price of $6.9999 per pre-funded warrant, resulting in gross proceeds of $85.0 million. The pre-funded warrants have an exercise price of $0.0001 per share of common stock, were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both"/>
        <w:ind w:right="260"/>
        <w:spacing w:after="0" w:line="263" w:lineRule="auto"/>
        <w:rPr>
          <w:sz w:val="20"/>
          <w:szCs w:val="20"/>
          <w:color w:val="auto"/>
        </w:rPr>
      </w:pPr>
      <w:r>
        <w:rPr>
          <w:rFonts w:ascii="Arial" w:cs="Arial" w:eastAsia="Arial" w:hAnsi="Arial"/>
          <w:sz w:val="18"/>
          <w:szCs w:val="18"/>
          <w:color w:val="auto"/>
        </w:rPr>
        <w:t>immediately exercisable and will remain exercisable until exercised in full. The purchase price per share represents a premium to the market price at the time of sale. After deducting offering expenses related to the private placement of $0.2 million, the net proceeds we received from the private placement were $84.8 million. The private placement closed on June 27, 2023.</w:t>
      </w:r>
    </w:p>
    <w:p>
      <w:pPr>
        <w:spacing w:after="0" w:line="76" w:lineRule="exact"/>
        <w:rPr>
          <w:sz w:val="20"/>
          <w:szCs w:val="20"/>
          <w:color w:val="auto"/>
        </w:rPr>
      </w:pPr>
    </w:p>
    <w:p>
      <w:pPr>
        <w:ind w:right="80" w:firstLine="749"/>
        <w:spacing w:after="0" w:line="279" w:lineRule="auto"/>
        <w:rPr>
          <w:sz w:val="20"/>
          <w:szCs w:val="20"/>
          <w:color w:val="auto"/>
        </w:rPr>
      </w:pPr>
      <w:r>
        <w:rPr>
          <w:rFonts w:ascii="Arial" w:cs="Arial" w:eastAsia="Arial" w:hAnsi="Arial"/>
          <w:sz w:val="17"/>
          <w:szCs w:val="17"/>
          <w:color w:val="auto"/>
        </w:rPr>
        <w:t>On December 21, 2022, we entered into a securities purchase agreement with Pfizer pursuant to which we sold 5,376,344 shares of our common stock at a price of $4.65 per share to Pfizer for gross proceeds of $25.0 million. We sold the shares to Pfizer in a registered direct offering conducted without an underwriter or placement agent and pursuant to an effective shelf registration statement. After deducting offering expenses of $0.4 million, the net proceeds we received from the direct offering were $24.6 million. The transaction closed on December 23, 2022.</w:t>
      </w:r>
    </w:p>
    <w:p>
      <w:pPr>
        <w:spacing w:after="0" w:line="63"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On May 6, 2021, we entered into an "at-the-market" (ATM) sales agreement with Jefferies LLC as our sales agent, under which we may offer and sell from time to time up to $150 million of our common stock in negotiated transactions or transactions that are deemed to be an ATM offering. On July 8, 2021, we raised gross proceeds of $50.0 million through the sale of 2,597,402 shares in an ATM offering, with participation based on unsolicited interest received from a healthcare specialist fund. We sold such shares at a purchase price per share of $19.25, a premium to the market price at the time of sale. After deducting commissions and other offering expenses related to the ATM offering of $1.9 million, the net proceeds we received from the transaction were $48.1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costs incurred in connection with the discovery and development of our product candidates.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External expenses include:</w:t>
      </w:r>
    </w:p>
    <w:p>
      <w:pPr>
        <w:spacing w:after="0" w:line="117" w:lineRule="exact"/>
        <w:rPr>
          <w:sz w:val="20"/>
          <w:szCs w:val="20"/>
          <w:color w:val="auto"/>
        </w:rPr>
      </w:pPr>
    </w:p>
    <w:p>
      <w:pPr>
        <w:ind w:left="1260" w:right="40" w:hanging="503"/>
        <w:spacing w:after="0" w:line="277"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payments to third parties in connection with the clinical development of our product candidates, including contract research organizations (CROs) and consultants;</w:t>
      </w:r>
    </w:p>
    <w:p>
      <w:pPr>
        <w:spacing w:after="0" w:line="62" w:lineRule="exact"/>
        <w:rPr>
          <w:rFonts w:ascii="Arial" w:cs="Arial" w:eastAsia="Arial" w:hAnsi="Arial"/>
          <w:sz w:val="18"/>
          <w:szCs w:val="18"/>
          <w:color w:val="auto"/>
        </w:rPr>
      </w:pPr>
    </w:p>
    <w:p>
      <w:pPr>
        <w:ind w:left="1260" w:right="400" w:hanging="503"/>
        <w:spacing w:after="0" w:line="277"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manufacturing products for use in our preclinical studies and clinical trials, including payments to contract manufacturing organizations (CMOs) and consultants;</w:t>
      </w:r>
    </w:p>
    <w:p>
      <w:pPr>
        <w:spacing w:after="0" w:line="62" w:lineRule="exact"/>
        <w:rPr>
          <w:rFonts w:ascii="Arial" w:cs="Arial" w:eastAsia="Arial" w:hAnsi="Arial"/>
          <w:sz w:val="18"/>
          <w:szCs w:val="18"/>
          <w:color w:val="auto"/>
        </w:rPr>
      </w:pPr>
    </w:p>
    <w:p>
      <w:pPr>
        <w:ind w:left="1260" w:right="340" w:hanging="503"/>
        <w:spacing w:after="0" w:line="308"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payments to third parties in connection with the preclinical development of our product candidates, including outsourced professional scientific development services, consulting research fees and sponsored research arrangements with third parties;</w:t>
      </w:r>
    </w:p>
    <w:p>
      <w:pPr>
        <w:spacing w:after="0" w:line="38" w:lineRule="exact"/>
        <w:rPr>
          <w:rFonts w:ascii="Arial" w:cs="Arial" w:eastAsia="Arial" w:hAnsi="Arial"/>
          <w:sz w:val="17"/>
          <w:szCs w:val="17"/>
          <w:color w:val="auto"/>
        </w:rPr>
      </w:pPr>
    </w:p>
    <w:p>
      <w:pPr>
        <w:ind w:left="1260" w:hanging="503"/>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laboratory supplies;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allocated facilities, depreciation and other expenses, which include direct or allocated expenses for IT, rent and maintenance of facilities.</w:t>
      </w:r>
    </w:p>
    <w:p>
      <w:pPr>
        <w:spacing w:after="0" w:line="140"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We may also incur in-process research and development expense as we acquire or in-license assets from other parties. Technology acquisitions are expensed or capitalized based upon the asset achieving technological feasibility in accordance with management’s assessment regarding the ultimate recoverability of the amounts paid and the potential for alternative future use. Acquired in-process research and development costs that have no alternative future use are immediately expensed.</w:t>
      </w:r>
    </w:p>
    <w:p>
      <w:pPr>
        <w:spacing w:after="0" w:line="79" w:lineRule="exact"/>
        <w:rPr>
          <w:sz w:val="20"/>
          <w:szCs w:val="20"/>
          <w:color w:val="auto"/>
        </w:rPr>
      </w:pPr>
    </w:p>
    <w:p>
      <w:pPr>
        <w:ind w:right="780" w:firstLine="749"/>
        <w:spacing w:after="0" w:line="277" w:lineRule="auto"/>
        <w:rPr>
          <w:sz w:val="20"/>
          <w:szCs w:val="20"/>
          <w:color w:val="auto"/>
        </w:rPr>
      </w:pPr>
      <w:r>
        <w:rPr>
          <w:rFonts w:ascii="Arial" w:cs="Arial" w:eastAsia="Arial" w:hAnsi="Arial"/>
          <w:sz w:val="18"/>
          <w:szCs w:val="18"/>
          <w:color w:val="auto"/>
        </w:rPr>
        <w:t>Internal expenses include employee-related costs such as salaries, related benefits and non-cash stock-based compensation expense for employees engaged in research and development functions.</w:t>
      </w:r>
    </w:p>
    <w:p>
      <w:pPr>
        <w:spacing w:after="0" w:line="62"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program, clinical or preclinical. We do not track internal costs by program because these costs are deployed across multiple programs and, as such, are not separately classified.</w:t>
      </w:r>
    </w:p>
    <w:p>
      <w:pPr>
        <w:spacing w:after="0" w:line="79"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Product candidates in later stages of clinical development generally have higher development costs than those in earlier stages, primarily due to the increased size and duration of later-stage clinical trials. As a result, we expect that our research and development expenses will increase substantially in the foreseeable future as we advance our product candidates through preclinical studies and clinical trials; continue to discover and develop additional product candidates and expand our pipeline; maintain, expand, protect and enforce our intellectual property portfolio; and hire additional personnel.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 w:name="page17"/>
    <w:bookmarkEnd w:id="16"/>
    <w:p>
      <w:pPr>
        <w:ind w:firstLine="749"/>
        <w:spacing w:after="0" w:line="254" w:lineRule="auto"/>
        <w:rPr>
          <w:sz w:val="20"/>
          <w:szCs w:val="20"/>
          <w:color w:val="auto"/>
        </w:rPr>
      </w:pPr>
      <w:r>
        <w:rPr>
          <w:rFonts w:ascii="Arial" w:cs="Arial" w:eastAsia="Arial" w:hAnsi="Arial"/>
          <w:sz w:val="18"/>
          <w:szCs w:val="18"/>
          <w:color w:val="auto"/>
        </w:rPr>
        <w:t>The successful development of our product candidates is highly uncertain, and we do not believe it is possible at this time to accurately project the nature, timing and estimated costs of the efforts necessary to complete the development of, and obtain regulatory approval for, any of our product candidates. To the extent our product candidates continue to advance into clinical trials, as well as advance into larger and later-stage clinical trials, our expenses will increase substantially and may become more variable. We are also unable to predict when, if ever, we will generate revenue from our product candidates to offset these expenses. Our expenditures on current and future preclinical and clinical development programs are subject to numerous uncertainties in timing and cost to completion. The duration, costs and timing of preclinical studies and clinical trials and development of our product candidates will depend on a variety of factors, including:</w:t>
      </w:r>
    </w:p>
    <w:p>
      <w:pPr>
        <w:spacing w:after="0" w:line="100" w:lineRule="exact"/>
        <w:rPr>
          <w:sz w:val="20"/>
          <w:szCs w:val="20"/>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117" w:lineRule="exact"/>
        <w:rPr>
          <w:rFonts w:ascii="Arial" w:cs="Arial" w:eastAsia="Arial" w:hAnsi="Arial"/>
          <w:sz w:val="18"/>
          <w:szCs w:val="18"/>
          <w:color w:val="auto"/>
        </w:rPr>
      </w:pPr>
    </w:p>
    <w:p>
      <w:pPr>
        <w:ind w:left="1260" w:hanging="503"/>
        <w:spacing w:after="0" w:line="277"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successful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receipt of regulatory approvals from applicable regulatory authorities;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licensing or collaboration arrangements;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and retaining research and development personnel;</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260" w:right="640" w:hanging="503"/>
        <w:spacing w:after="0" w:line="277"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and timely delivery of commercial-grade product formulations that can be used in our planned clinical trials and for commercial launch;</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approved, whether alone or in collaboration with others;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w:t>
      </w:r>
    </w:p>
    <w:p>
      <w:pPr>
        <w:spacing w:after="0" w:line="117"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firstLine="749"/>
        <w:spacing w:after="0" w:line="273" w:lineRule="auto"/>
        <w:rPr>
          <w:sz w:val="20"/>
          <w:szCs w:val="20"/>
          <w:color w:val="auto"/>
        </w:rPr>
      </w:pPr>
      <w:r>
        <w:rPr>
          <w:rFonts w:ascii="Arial" w:cs="Arial" w:eastAsia="Arial" w:hAnsi="Arial"/>
          <w:sz w:val="17"/>
          <w:szCs w:val="17"/>
          <w:color w:val="auto"/>
        </w:rPr>
        <w:t>General and administrative expenses consist primarily of salaries, related benefits and stock-based compensation expense for personnel in executive, finance and administrative functions. General and administrative expenses also include allocated facilities, depreciation and other expenses, which include direct or allocated expenses for rent and maintenance of facilities and insurance, not otherwise included in research and development expenses, as well as professional fees for legal, patent, consulting, investor and public relations, accounting and audit services. We expect that our general and administrative expenses will increase substantially in the foreseeable future as we increase our headcount to support the continued research and development of our programs and the growth of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Other income, net primarily consists of interest income generated from our interest-bearing money market accounts and investments.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2023 and 2022</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tcPr>
          <w:p>
            <w:pPr>
              <w:jc w:val="right"/>
              <w:ind w:right="61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jc w:val="right"/>
              <w:ind w:right="74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5"/>
        </w:trPr>
        <w:tc>
          <w:tcPr>
            <w:tcW w:w="4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9"/>
                <w:szCs w:val="19"/>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3"/>
              </w:rPr>
              <w:t>Change</w:t>
            </w:r>
          </w:p>
        </w:tc>
      </w:tr>
      <w:tr>
        <w:trPr>
          <w:trHeight w:val="236"/>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42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18,787</w:t>
            </w:r>
          </w:p>
        </w:tc>
        <w:tc>
          <w:tcPr>
            <w:tcW w:w="3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13,834</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4,953</w:t>
            </w:r>
          </w:p>
        </w:tc>
        <w:tc>
          <w:tcPr>
            <w:tcW w:w="3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38,303</w:t>
            </w:r>
          </w:p>
        </w:tc>
        <w:tc>
          <w:tcPr>
            <w:tcW w:w="3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30,662</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7,641</w:t>
            </w:r>
          </w:p>
        </w:tc>
        <w:tc>
          <w:tcPr>
            <w:tcW w:w="140" w:type="dxa"/>
            <w:vAlign w:val="bottom"/>
          </w:tcPr>
          <w:p>
            <w:pPr>
              <w:spacing w:after="0"/>
              <w:rPr>
                <w:sz w:val="20"/>
                <w:szCs w:val="20"/>
                <w:color w:val="auto"/>
              </w:rPr>
            </w:pPr>
          </w:p>
        </w:tc>
      </w:tr>
      <w:tr>
        <w:trPr>
          <w:trHeight w:val="243"/>
        </w:trPr>
        <w:tc>
          <w:tcPr>
            <w:tcW w:w="4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6,205</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(657 )</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12,367</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13,292</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(925 )</w:t>
            </w:r>
          </w:p>
        </w:tc>
      </w:tr>
      <w:tr>
        <w:trPr>
          <w:trHeight w:val="243"/>
        </w:trPr>
        <w:tc>
          <w:tcPr>
            <w:tcW w:w="422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24,992</w:t>
            </w:r>
          </w:p>
        </w:tc>
        <w:tc>
          <w:tcPr>
            <w:tcW w:w="3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20,696</w:t>
            </w:r>
          </w:p>
        </w:tc>
        <w:tc>
          <w:tcPr>
            <w:tcW w:w="2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3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50,670</w:t>
            </w:r>
          </w:p>
        </w:tc>
        <w:tc>
          <w:tcPr>
            <w:tcW w:w="34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43,954</w:t>
            </w:r>
          </w:p>
        </w:tc>
        <w:tc>
          <w:tcPr>
            <w:tcW w:w="3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6,716</w:t>
            </w:r>
          </w:p>
        </w:tc>
        <w:tc>
          <w:tcPr>
            <w:tcW w:w="140" w:type="dxa"/>
            <w:vAlign w:val="bottom"/>
          </w:tcPr>
          <w:p>
            <w:pPr>
              <w:spacing w:after="0"/>
              <w:rPr>
                <w:sz w:val="21"/>
                <w:szCs w:val="21"/>
                <w:color w:val="auto"/>
              </w:rPr>
            </w:pPr>
          </w:p>
        </w:tc>
      </w:tr>
      <w:tr>
        <w:trPr>
          <w:trHeight w:val="237"/>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(24,992</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(20,696</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(4,296</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(50,670</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(43,954</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2,048</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3,781</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r>
      <w:tr>
        <w:trPr>
          <w:trHeight w:val="26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(22,944 )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(20,287 )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(2,657 )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(46,889 )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(43,446 )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(3,443 )</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-989330</wp:posOffset>
            </wp:positionV>
            <wp:extent cx="3900170" cy="196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900170" cy="19685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-342265</wp:posOffset>
            </wp:positionV>
            <wp:extent cx="85725"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-342265</wp:posOffset>
            </wp:positionV>
            <wp:extent cx="85725"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-342265</wp:posOffset>
            </wp:positionV>
            <wp:extent cx="7747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-342265</wp:posOffset>
            </wp:positionV>
            <wp:extent cx="85725"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-342265</wp:posOffset>
            </wp:positionV>
            <wp:extent cx="85725"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-342265</wp:posOffset>
            </wp:positionV>
            <wp:extent cx="85725"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-24765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-7620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20" w:firstLine="749"/>
        <w:spacing w:after="0" w:line="259" w:lineRule="auto"/>
        <w:rPr>
          <w:sz w:val="20"/>
          <w:szCs w:val="20"/>
          <w:color w:val="auto"/>
        </w:rPr>
      </w:pPr>
      <w:r>
        <w:rPr>
          <w:rFonts w:ascii="Arial" w:cs="Arial" w:eastAsia="Arial" w:hAnsi="Arial"/>
          <w:sz w:val="18"/>
          <w:szCs w:val="18"/>
          <w:color w:val="auto"/>
        </w:rPr>
        <w:t>Research and development expenses were $18.8 million for the three months ended June 30, 2023, compared to $13.8 million for the same period in 2022, an increase of $5.0 million. The increase was driven by a net increase in external expenses of $4.4 million and higher personnel costs of $0.5 million. The net increase in external expenses was related to the advancement of ORIC-114, ORIC-944 and preclinical, other unallocated and discontinued costs, offset by lower ORIC-533 manufacturing expenses.</w:t>
      </w:r>
    </w:p>
    <w:p>
      <w:pPr>
        <w:spacing w:after="0" w:line="79"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For the six months ended June 30, 2023, research and development expenses were $38.3 million compared to $30.7 million for the same period in 2022, an increase of $7.6 million. The increase was primarily driven by a net increase in external expenses of $6.8 million and higher personnel costs of $0.9 million. The net increase in external expenses was related to the advancement of ORIC-114, ORIC-944 and preclinical, other unallocated and discontinued costs, offset by lower ORIC-533 manufacturing expenses.</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our external and internal costs for the three and six months ended June 30, 2023 and 2022 (in thousands):</w:t>
      </w:r>
    </w:p>
    <w:p>
      <w:pPr>
        <w:spacing w:after="0" w:line="2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5"/>
        </w:trPr>
        <w:tc>
          <w:tcPr>
            <w:tcW w:w="4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7"/>
        </w:trPr>
        <w:tc>
          <w:tcPr>
            <w:tcW w:w="4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Change</w:t>
            </w:r>
          </w:p>
        </w:tc>
        <w:tc>
          <w:tcPr>
            <w:tcW w:w="180" w:type="dxa"/>
            <w:vAlign w:val="bottom"/>
          </w:tcPr>
          <w:p>
            <w:pPr>
              <w:spacing w:after="0"/>
              <w:rPr>
                <w:sz w:val="22"/>
                <w:szCs w:val="22"/>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Change</w:t>
            </w:r>
          </w:p>
        </w:tc>
      </w:tr>
      <w:tr>
        <w:trPr>
          <w:trHeight w:val="236"/>
        </w:trPr>
        <w:tc>
          <w:tcPr>
            <w:tcW w:w="4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External costs:</w:t>
            </w:r>
          </w:p>
        </w:tc>
        <w:tc>
          <w:tcPr>
            <w:tcW w:w="18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4080" w:type="dxa"/>
            <w:vAlign w:val="bottom"/>
          </w:tcPr>
          <w:p>
            <w:pPr>
              <w:ind w:left="280"/>
              <w:spacing w:after="0"/>
              <w:rPr>
                <w:sz w:val="20"/>
                <w:szCs w:val="20"/>
                <w:color w:val="auto"/>
              </w:rPr>
            </w:pPr>
            <w:r>
              <w:rPr>
                <w:rFonts w:ascii="Arial" w:cs="Arial" w:eastAsia="Arial" w:hAnsi="Arial"/>
                <w:sz w:val="18"/>
                <w:szCs w:val="18"/>
                <w:color w:val="auto"/>
              </w:rPr>
              <w:t>ORIC-114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2,710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754</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1,956</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4,279</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1,198</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20"/>
                <w:szCs w:val="20"/>
                <w:color w:val="auto"/>
              </w:rPr>
            </w:pPr>
          </w:p>
        </w:tc>
      </w:tr>
      <w:tr>
        <w:trPr>
          <w:trHeight w:val="249"/>
        </w:trPr>
        <w:tc>
          <w:tcPr>
            <w:tcW w:w="4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ORIC-533</w:t>
            </w: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(291 )</w:t>
            </w: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(736 )</w:t>
            </w:r>
          </w:p>
        </w:tc>
      </w:tr>
      <w:tr>
        <w:trPr>
          <w:trHeight w:val="237"/>
        </w:trPr>
        <w:tc>
          <w:tcPr>
            <w:tcW w:w="4080" w:type="dxa"/>
            <w:vAlign w:val="bottom"/>
          </w:tcPr>
          <w:p>
            <w:pPr>
              <w:ind w:left="280"/>
              <w:spacing w:after="0"/>
              <w:rPr>
                <w:sz w:val="20"/>
                <w:szCs w:val="20"/>
                <w:color w:val="auto"/>
              </w:rPr>
            </w:pPr>
            <w:r>
              <w:rPr>
                <w:rFonts w:ascii="Arial" w:cs="Arial" w:eastAsia="Arial" w:hAnsi="Arial"/>
                <w:sz w:val="18"/>
                <w:szCs w:val="18"/>
                <w:color w:val="auto"/>
              </w:rPr>
              <w:t>ORIC-944</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6,564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3,845</w:t>
            </w:r>
          </w:p>
        </w:tc>
        <w:tc>
          <w:tcPr>
            <w:tcW w:w="120" w:type="dxa"/>
            <w:vAlign w:val="bottom"/>
          </w:tcPr>
          <w:p>
            <w:pPr>
              <w:spacing w:after="0"/>
              <w:rPr>
                <w:sz w:val="20"/>
                <w:szCs w:val="20"/>
                <w:color w:val="auto"/>
              </w:rPr>
            </w:pPr>
          </w:p>
        </w:tc>
      </w:tr>
      <w:tr>
        <w:trPr>
          <w:trHeight w:val="249"/>
        </w:trPr>
        <w:tc>
          <w:tcPr>
            <w:tcW w:w="40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w w:val="90"/>
              </w:rPr>
              <w:t>Preclinical, other unallocated and discontinued costs</w:t>
            </w:r>
          </w:p>
        </w:tc>
        <w:tc>
          <w:tcPr>
            <w:tcW w:w="1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5,514</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13,468</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12,891</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4080" w:type="dxa"/>
            <w:vAlign w:val="bottom"/>
          </w:tcPr>
          <w:p>
            <w:pPr>
              <w:ind w:left="360"/>
              <w:spacing w:after="0"/>
              <w:rPr>
                <w:sz w:val="20"/>
                <w:szCs w:val="20"/>
                <w:color w:val="auto"/>
              </w:rPr>
            </w:pPr>
            <w:r>
              <w:rPr>
                <w:rFonts w:ascii="Arial" w:cs="Arial" w:eastAsia="Arial" w:hAnsi="Arial"/>
                <w:sz w:val="18"/>
                <w:szCs w:val="18"/>
                <w:color w:val="auto"/>
              </w:rPr>
              <w:t>Total external costs</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8,497</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4,443</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26,731</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19,964</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w:t>
            </w:r>
          </w:p>
        </w:tc>
        <w:tc>
          <w:tcPr>
            <w:tcW w:w="120" w:type="dxa"/>
            <w:vAlign w:val="bottom"/>
          </w:tcPr>
          <w:p>
            <w:pPr>
              <w:spacing w:after="0"/>
              <w:rPr>
                <w:sz w:val="20"/>
                <w:szCs w:val="20"/>
                <w:color w:val="auto"/>
              </w:rPr>
            </w:pPr>
          </w:p>
        </w:tc>
      </w:tr>
      <w:tr>
        <w:trPr>
          <w:trHeight w:val="236"/>
        </w:trPr>
        <w:tc>
          <w:tcPr>
            <w:tcW w:w="40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Internal costs</w:t>
            </w:r>
          </w:p>
        </w:tc>
        <w:tc>
          <w:tcPr>
            <w:tcW w:w="1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5,847</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5,337</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11,572</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10,698</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4080" w:type="dxa"/>
            <w:vAlign w:val="bottom"/>
          </w:tcPr>
          <w:p>
            <w:pPr>
              <w:ind w:left="100"/>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18,787</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13,834</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4,953</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38,303</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30,662</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7,641</w:t>
            </w:r>
          </w:p>
        </w:tc>
        <w:tc>
          <w:tcPr>
            <w:tcW w:w="120" w:type="dxa"/>
            <w:vAlign w:val="bottom"/>
          </w:tcPr>
          <w:p>
            <w:pPr>
              <w:spacing w:after="0"/>
              <w:rPr>
                <w:sz w:val="20"/>
                <w:szCs w:val="20"/>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-513715</wp:posOffset>
            </wp:positionV>
            <wp:extent cx="7747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-513715</wp:posOffset>
            </wp:positionV>
            <wp:extent cx="7683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-513715</wp:posOffset>
            </wp:positionV>
            <wp:extent cx="7747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-513715</wp:posOffset>
            </wp:positionV>
            <wp:extent cx="7683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-513715</wp:posOffset>
            </wp:positionV>
            <wp:extent cx="8572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-513715</wp:posOffset>
            </wp:positionV>
            <wp:extent cx="7683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-187960</wp:posOffset>
            </wp:positionV>
            <wp:extent cx="7747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-187960</wp:posOffset>
            </wp:positionV>
            <wp:extent cx="76835"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-187960</wp:posOffset>
            </wp:positionV>
            <wp:extent cx="7747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-187960</wp:posOffset>
            </wp:positionV>
            <wp:extent cx="76835"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85725"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-187960</wp:posOffset>
            </wp:positionV>
            <wp:extent cx="76835"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209"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as we conduct additional clinical trials.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40" w:firstLine="749"/>
        <w:spacing w:after="0" w:line="311" w:lineRule="auto"/>
        <w:rPr>
          <w:sz w:val="20"/>
          <w:szCs w:val="20"/>
          <w:color w:val="auto"/>
        </w:rPr>
      </w:pPr>
      <w:r>
        <w:rPr>
          <w:rFonts w:ascii="Arial" w:cs="Arial" w:eastAsia="Arial" w:hAnsi="Arial"/>
          <w:sz w:val="16"/>
          <w:szCs w:val="16"/>
          <w:color w:val="auto"/>
        </w:rPr>
        <w:t>General and administrative expenses were $6.2 million for the three months ended June 30, 2023, compared to $6.9 million for the same period in 2022, a decrease of $0.7 million. For the six months ended June 30, 2023, general and administrative expenses were $12.4 million compared to $13.3 million for the same period in 2022, a decrease of $0.9 million. The decreases are primarily due to a decrease in professional fees.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On June 24, 2023, we entered into a securities purchase agreement with a select group of institutional and accredited healthcare specialist investors for the private placement of 9,285,710 shares of common stock at a price of $7.00 per share and pre-funded warrants to purchase 2,857,142 shares of common stock at a purchase price of $6.9999 per pre-funded warrant, resulting in gross proceeds of $85.0 million. The private placement closed on June 27, 2023.</w:t>
      </w:r>
    </w:p>
    <w:p>
      <w:pPr>
        <w:spacing w:after="0" w:line="79" w:lineRule="exact"/>
        <w:rPr>
          <w:sz w:val="20"/>
          <w:szCs w:val="20"/>
          <w:color w:val="auto"/>
        </w:rPr>
      </w:pPr>
    </w:p>
    <w:p>
      <w:pPr>
        <w:ind w:right="100" w:firstLine="749"/>
        <w:spacing w:after="0" w:line="311" w:lineRule="auto"/>
        <w:rPr>
          <w:sz w:val="20"/>
          <w:szCs w:val="20"/>
          <w:color w:val="auto"/>
        </w:rPr>
      </w:pPr>
      <w:r>
        <w:rPr>
          <w:rFonts w:ascii="Arial" w:cs="Arial" w:eastAsia="Arial" w:hAnsi="Arial"/>
          <w:sz w:val="16"/>
          <w:szCs w:val="16"/>
          <w:color w:val="auto"/>
        </w:rPr>
        <w:t>On December 21, 2022, we entered into a securities purchase agreement with Pfizer pursuant to which we sold 5,376,344 shares of our common stock at a price of $4.65 per share to Pfizer for gross proceeds of $25.0 million. We sold the shares to Pfizer in a registered direct offering conducted without an underwriter or placement agent and pursuant to an effective shelf registration statement. The transaction closed on December 23, 2022.</w:t>
      </w:r>
    </w:p>
    <w:p>
      <w:pPr>
        <w:spacing w:after="0" w:line="41"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On May 6, 2021, we entered into an ATM sales agreement with Jefferies LLC as our sales agent, under which we may offer and sell from time to time up to $150 million of our common stock in negotiated transactions or transactions that are deemed to be an ATM offering. On July 8, 2021, we raised gross proceeds of $50.0 million, before deducting commissions and other offering expenses, through the sale of 2,597,402 shares in an ATM offering, with participation based on unsolicited interest received from a healthcare specialist fund. We sold such shares at a purchase price per share of $19.25, a premium to the market price at the time of sale.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To date, we have not generated any revenue. We do not expect to generate any meaningful revenue unless and until we obtain regulatory approval of and commercialize any of our product candidates, and we do not know when, or if at all, that will occur. We will continue to require substantial additional capital to develop our product candidates and fund operations for the foreseeable future. Moreover, we expect our expenses to increase in connection with our ongoing activities, particularly as we continue the development of and seek regulatory approvals for our product candidates. Further, we are subject to all the risks incident in the development of new pharmaceutical products, and we may encounter unforeseen expenses, difficulties, complications, delays and other unknown factors that may harm our business. Our expenses will increase if, and as, we:</w:t>
      </w:r>
    </w:p>
    <w:p>
      <w:pPr>
        <w:spacing w:after="0" w:line="70" w:lineRule="exact"/>
        <w:rPr>
          <w:sz w:val="20"/>
          <w:szCs w:val="20"/>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our product candidates through preclinical and clinical development;</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17" w:lineRule="exact"/>
        <w:rPr>
          <w:rFonts w:ascii="Arial" w:cs="Arial" w:eastAsia="Arial" w:hAnsi="Arial"/>
          <w:sz w:val="18"/>
          <w:szCs w:val="18"/>
          <w:color w:val="auto"/>
        </w:rPr>
      </w:pPr>
    </w:p>
    <w:p>
      <w:pPr>
        <w:ind w:left="1260" w:right="300" w:hanging="503"/>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 or jointly;</w:t>
      </w:r>
    </w:p>
    <w:p>
      <w:pPr>
        <w:spacing w:after="0" w:line="62" w:lineRule="exact"/>
        <w:rPr>
          <w:rFonts w:ascii="Arial" w:cs="Arial" w:eastAsia="Arial" w:hAnsi="Arial"/>
          <w:sz w:val="18"/>
          <w:szCs w:val="18"/>
          <w:color w:val="auto"/>
        </w:rPr>
      </w:pPr>
    </w:p>
    <w:p>
      <w:pPr>
        <w:ind w:left="1260" w:right="440" w:hanging="503"/>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development, manufacturing and commercialization efforts and our operations as a public company;</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7"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We expect our current cash, cash equivalents and investments will be sufficient to fund our current operating plan into late 2025. However, our forecast of the period of time through which our financial resources will be adequate to support our operations is a forward-looking statement that involves risks and uncertainties, and actual results could vary materially. In order to complete the development of our product candidates and to build the sales, marketing and distribution infrastructure that we believe will be necessary to commercialize our product candidates, if approved, we will require substantial additional funding. Until we can generate a sufficient amount of revenue from the commercialization of our product candidates, we may seek to raise any necessary additional capital through the sale of equity, debt financings or other capital sources, which could include income from collaborations, strategic partnerships or marketing, distribution or licensing arrangements with third parties or from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right="120"/>
        <w:spacing w:after="0" w:line="275" w:lineRule="auto"/>
        <w:rPr>
          <w:sz w:val="20"/>
          <w:szCs w:val="20"/>
          <w:color w:val="auto"/>
        </w:rPr>
      </w:pPr>
      <w:r>
        <w:rPr>
          <w:rFonts w:ascii="Arial" w:cs="Arial" w:eastAsia="Arial" w:hAnsi="Arial"/>
          <w:sz w:val="17"/>
          <w:szCs w:val="17"/>
          <w:color w:val="auto"/>
        </w:rPr>
        <w:t>issue additional debt, pay dividends, repurchase our common stock, make certain investments or engage in merger, consolidation, licensing or asset sale transactions. If we raise funds through collaborations, strategic partnerships and other similar arrangements with third parties, we may be required to grant rights to develop and market product candidates that we would otherwise prefer to develop and market ourselves. We may be unable to raise additional funds or to enter into such agreements or arrangements on favorable terms, or at all. If we are unable to raise additional funds when needed, we may be required to delay, reduce or eliminate our product development or future commercialization efforts.</w:t>
      </w:r>
    </w:p>
    <w:p>
      <w:pPr>
        <w:spacing w:after="0" w:line="68" w:lineRule="exact"/>
        <w:rPr>
          <w:sz w:val="20"/>
          <w:szCs w:val="20"/>
          <w:color w:val="auto"/>
        </w:rPr>
      </w:pPr>
    </w:p>
    <w:p>
      <w:pPr>
        <w:ind w:right="40" w:firstLine="749"/>
        <w:spacing w:after="0" w:line="279" w:lineRule="auto"/>
        <w:rPr>
          <w:sz w:val="20"/>
          <w:szCs w:val="20"/>
          <w:color w:val="auto"/>
        </w:rPr>
      </w:pPr>
      <w:r>
        <w:rPr>
          <w:rFonts w:ascii="Arial" w:cs="Arial" w:eastAsia="Arial" w:hAnsi="Arial"/>
          <w:sz w:val="17"/>
          <w:szCs w:val="17"/>
          <w:color w:val="auto"/>
        </w:rPr>
        <w:t>We have based our projections of operating capital requirements on our current operating plan, which is based on several assumptions that may prove to be incorrect and we may use all of our available capital resources sooner than we expect. Because of the numerous risks and uncertainties associated with research, development and commercialization of product candidates, we are unable to estimate the exact amount and timing of our working capital requirements. Our future funding requirements will depend on many factors, including:</w:t>
      </w:r>
    </w:p>
    <w:p>
      <w:pPr>
        <w:spacing w:after="0" w:line="77" w:lineRule="exact"/>
        <w:rPr>
          <w:sz w:val="20"/>
          <w:szCs w:val="20"/>
          <w:color w:val="auto"/>
        </w:rPr>
      </w:pPr>
    </w:p>
    <w:p>
      <w:pPr>
        <w:ind w:left="1260" w:hanging="503"/>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conducting preclinical studies and clinical trials;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260" w:right="240" w:hanging="503"/>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manufacturing commercial-grade products and sufficient inventory to support commercial launch;</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revenue, if any, received from commercial sale of our products, should any of our product candidates receive marketing approval;</w:t>
      </w:r>
    </w:p>
    <w:p>
      <w:pPr>
        <w:spacing w:after="0" w:line="140" w:lineRule="exact"/>
        <w:rPr>
          <w:rFonts w:ascii="Arial" w:cs="Arial" w:eastAsia="Arial" w:hAnsi="Arial"/>
          <w:sz w:val="16"/>
          <w:szCs w:val="16"/>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260" w:right="60" w:hanging="503"/>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establish and maintain collaborations on favorable terms, if at all;</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 and</w:t>
      </w:r>
    </w:p>
    <w:p>
      <w:pPr>
        <w:spacing w:after="0" w:line="117" w:lineRule="exact"/>
        <w:rPr>
          <w:rFonts w:ascii="Arial" w:cs="Arial" w:eastAsia="Arial" w:hAnsi="Arial"/>
          <w:sz w:val="18"/>
          <w:szCs w:val="18"/>
          <w:color w:val="auto"/>
        </w:rPr>
      </w:pPr>
    </w:p>
    <w:p>
      <w:pPr>
        <w:ind w:left="1260" w:right="320" w:hanging="503"/>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receipt and amount of sales of, or milestone payments related to or royalties on, our current or future product candidates, if any.</w:t>
      </w:r>
    </w:p>
    <w:p>
      <w:pPr>
        <w:spacing w:after="0" w:line="76" w:lineRule="exact"/>
        <w:rPr>
          <w:sz w:val="20"/>
          <w:szCs w:val="20"/>
          <w:color w:val="auto"/>
        </w:rPr>
      </w:pPr>
    </w:p>
    <w:p>
      <w:pPr>
        <w:ind w:right="160" w:firstLine="749"/>
        <w:spacing w:after="0" w:line="286" w:lineRule="auto"/>
        <w:rPr>
          <w:sz w:val="20"/>
          <w:szCs w:val="20"/>
          <w:color w:val="auto"/>
        </w:rPr>
      </w:pPr>
      <w:r>
        <w:rPr>
          <w:rFonts w:ascii="Arial" w:cs="Arial" w:eastAsia="Arial" w:hAnsi="Arial"/>
          <w:sz w:val="17"/>
          <w:szCs w:val="17"/>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sources and uses of our cash (in thousands):</w:t>
      </w:r>
    </w:p>
    <w:p>
      <w:pPr>
        <w:spacing w:after="0" w:line="325" w:lineRule="exact"/>
        <w:rPr>
          <w:sz w:val="20"/>
          <w:szCs w:val="20"/>
          <w:color w:val="auto"/>
        </w:rPr>
      </w:pPr>
    </w:p>
    <w:tbl>
      <w:tblPr>
        <w:tblLayout w:type="fixed"/>
        <w:tblInd w:w="1120" w:type="dxa"/>
        <w:tblCellMar>
          <w:top w:w="0" w:type="dxa"/>
          <w:left w:w="0" w:type="dxa"/>
          <w:bottom w:w="0" w:type="dxa"/>
          <w:right w:w="0" w:type="dxa"/>
        </w:tblCellMar>
      </w:tblPr>
      <w:tr>
        <w:trPr>
          <w:trHeight w:val="205"/>
        </w:trPr>
        <w:tc>
          <w:tcPr>
            <w:tcW w:w="6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5"/>
          </w:tcPr>
          <w:p>
            <w:pPr>
              <w:jc w:val="right"/>
              <w:ind w:right="590"/>
              <w:spacing w:after="0"/>
              <w:rPr>
                <w:sz w:val="20"/>
                <w:szCs w:val="20"/>
                <w:color w:val="auto"/>
              </w:rPr>
            </w:pPr>
            <w:r>
              <w:rPr>
                <w:rFonts w:ascii="Arial" w:cs="Arial" w:eastAsia="Arial" w:hAnsi="Arial"/>
                <w:sz w:val="14"/>
                <w:szCs w:val="14"/>
                <w:b w:val="1"/>
                <w:bCs w:val="1"/>
                <w:color w:val="auto"/>
              </w:rPr>
              <w:t>Six Months Ended June 30,</w:t>
            </w:r>
          </w:p>
        </w:tc>
      </w:tr>
      <w:tr>
        <w:trPr>
          <w:trHeight w:val="243"/>
        </w:trPr>
        <w:tc>
          <w:tcPr>
            <w:tcW w:w="608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1"/>
                <w:szCs w:val="21"/>
                <w:color w:val="auto"/>
              </w:rPr>
            </w:pPr>
          </w:p>
        </w:tc>
      </w:tr>
      <w:tr>
        <w:trPr>
          <w:trHeight w:val="236"/>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(41,773</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(40,494</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0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0"/>
                <w:szCs w:val="20"/>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(6,535 )</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(136,863 )</w:t>
            </w:r>
          </w:p>
        </w:tc>
      </w:tr>
      <w:tr>
        <w:trPr>
          <w:trHeight w:val="249"/>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85,174</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6080" w:type="dxa"/>
            <w:vAlign w:val="bottom"/>
          </w:tcPr>
          <w:p>
            <w:pPr>
              <w:ind w:left="2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36,866</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(176,926 )</w:t>
            </w:r>
          </w:p>
        </w:tc>
      </w:tr>
      <w:tr>
        <w:trPr>
          <w:trHeight w:val="20"/>
        </w:trPr>
        <w:tc>
          <w:tcPr>
            <w:tcW w:w="6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-187960</wp:posOffset>
            </wp:positionV>
            <wp:extent cx="6858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Net cash used in operating activities during the six months ended June 30, 2023, of $41.8 million was attributable to our net loss of $46.9 million and a $0.7 million net decrease in working capital related to timing of payments, offset by non-cash expenses of $5.8 million, which were primarily driven by stock-based compensation.</w:t>
      </w:r>
    </w:p>
    <w:p>
      <w:pPr>
        <w:spacing w:after="0" w:line="76"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Net cash used in operating activities during the six months ended June 30, 2022, of $40.5 million was attributable to our net loss of $43.4 million and a $5.5 million net decrease in working capital primarily related to a decrease in accrued compensation and an increase in prepaid expenses related to timing and an increase in costs related to our studies, offset by non-cash expenses of $8.5 million, which were primarily driven by stock-based compensation.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560" w:firstLine="749"/>
        <w:spacing w:after="0" w:line="277" w:lineRule="auto"/>
        <w:rPr>
          <w:sz w:val="20"/>
          <w:szCs w:val="20"/>
          <w:color w:val="auto"/>
        </w:rPr>
      </w:pPr>
      <w:r>
        <w:rPr>
          <w:rFonts w:ascii="Arial" w:cs="Arial" w:eastAsia="Arial" w:hAnsi="Arial"/>
          <w:sz w:val="18"/>
          <w:szCs w:val="18"/>
          <w:color w:val="auto"/>
        </w:rPr>
        <w:t>Net cash used in investing activities during the six months ended June 30, 2023, of $6.5 million was primarily attributable to purchases of investments, net of maturities.</w:t>
      </w:r>
    </w:p>
    <w:p>
      <w:pPr>
        <w:spacing w:after="0" w:line="62"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Net cash used in investing activities during the six months ended June 30, 2022, of $136.9 million was primarily attributable to purchases of investments, net of maturities.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40" w:firstLine="749"/>
        <w:spacing w:after="0" w:line="342" w:lineRule="auto"/>
        <w:rPr>
          <w:sz w:val="20"/>
          <w:szCs w:val="20"/>
          <w:color w:val="auto"/>
        </w:rPr>
      </w:pPr>
      <w:r>
        <w:rPr>
          <w:rFonts w:ascii="Arial" w:cs="Arial" w:eastAsia="Arial" w:hAnsi="Arial"/>
          <w:sz w:val="16"/>
          <w:szCs w:val="16"/>
          <w:color w:val="auto"/>
        </w:rPr>
        <w:t>Net cash provided by financing activities during the six months ended June 30, 2023, of $85.2 million consisted of net proceeds received from our private placement in June 2023 of $84.8 million and proceeds received from common stock issued under the Employee Stock Purchase Plan.</w:t>
      </w:r>
    </w:p>
    <w:p>
      <w:pPr>
        <w:spacing w:after="0" w:line="16"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Net cash provided by financing activities during the six months ended June 30, 2022, of $0.4 million consisted of net proceeds received from stock option exercises and common stock issued under the Employee Stock Purchase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Judgements and Estimates</w:t>
      </w:r>
    </w:p>
    <w:p>
      <w:pPr>
        <w:spacing w:after="0" w:line="117" w:lineRule="exact"/>
        <w:rPr>
          <w:sz w:val="20"/>
          <w:szCs w:val="20"/>
          <w:color w:val="auto"/>
        </w:rPr>
      </w:pPr>
    </w:p>
    <w:p>
      <w:pPr>
        <w:ind w:right="80" w:firstLine="749"/>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generally accepted accounting principles in the United States (US GAAP). The preparation of these financial statements in conformity with US GAAP requires management to make estimates and assumptions that impact the reported amounts of assets, liabilities, expenses, and the disclosure of contingent assets and liabilities in our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Actual results may differ materially from these estimates under different assumptions or conditions. There have been no significant changes in our critical accounting policies as discussed in our Annual Report on Form 10-K for the year ended December 31,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and Smaller Reporting Company Status</w:t>
      </w:r>
    </w:p>
    <w:p>
      <w:pPr>
        <w:spacing w:after="0" w:line="117"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Section 107 of the JOBS Act permits an “emerging growth company” such as us to take advantage of an extended transition time to comply with new or revised accounting standards as applicable to public companies. Thus, an emerging growth company can delay the adoption of certain accounting standards until those standards would otherwise apply to private companies. We have elected not to use the extended transition, which election is irrevocable. As a result, our financial statements may not be comparable to other emerging growth companies that elect to take advantage of the extended transition period.</w:t>
      </w:r>
    </w:p>
    <w:p>
      <w:pPr>
        <w:spacing w:after="0" w:line="80" w:lineRule="exact"/>
        <w:rPr>
          <w:sz w:val="20"/>
          <w:szCs w:val="20"/>
          <w:color w:val="auto"/>
        </w:rPr>
      </w:pPr>
    </w:p>
    <w:p>
      <w:pPr>
        <w:ind w:right="20" w:firstLine="749"/>
        <w:spacing w:after="0" w:line="311" w:lineRule="auto"/>
        <w:rPr>
          <w:sz w:val="20"/>
          <w:szCs w:val="20"/>
          <w:color w:val="auto"/>
        </w:rPr>
      </w:pPr>
      <w:r>
        <w:rPr>
          <w:rFonts w:ascii="Arial" w:cs="Arial" w:eastAsia="Arial" w:hAnsi="Arial"/>
          <w:sz w:val="16"/>
          <w:szCs w:val="16"/>
          <w:color w:val="auto"/>
        </w:rPr>
        <w:t>We will remain an emerging growth company until the earliest to occur of: (1) the last day of the fiscal year in which we have more than $1.235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spacing w:after="0" w:line="41"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We are also a smaller reporting company as defined in the Securities Exchange Act of 1934, as amended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The primary objective of our investment activities is to preserve principal and liquidity while at the same time maximizing the income we receive without significantly increasing risk. To achieve this objective, we may invest in money market funds, U.S. Treasury notes, and high-quality marketable debt instruments of corporations and government sponsored enterprises with contractual maturity dates of generally less than two years, in accordance with an investment policy approved by our audit committee. Some of the financial instruments that we invest in could be subject to market risk, meaning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a variety of securities, including money market funds, government debt securities, certificates of deposit and commercial paper, all with various maturity dates. As of June 30, 2023, we had cash equivalents and investments of $273.7 million, consisting of interest-bearing money market funds, certificates of deposit, securities issued by the U.S. Treasury and marketable debt instruments of government-sponsored enterprises. Due to the nature of our cash equivalents and investments, an immediate 100 basis point change in interest rates would not have a material effect on their fair market value.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120" w:firstLine="749"/>
        <w:spacing w:after="0" w:line="277" w:lineRule="auto"/>
        <w:rPr>
          <w:sz w:val="20"/>
          <w:szCs w:val="20"/>
          <w:color w:val="auto"/>
        </w:rPr>
      </w:pPr>
      <w:r>
        <w:rPr>
          <w:rFonts w:ascii="Arial" w:cs="Arial" w:eastAsia="Arial" w:hAnsi="Arial"/>
          <w:sz w:val="18"/>
          <w:szCs w:val="18"/>
          <w:color w:val="auto"/>
        </w:rPr>
        <w:t>Inflation generally affects us by increasing our cost of labor, clinical trial and manufacturing costs. We do not believe that inflation, interest rate changes or exchange rate fluctuations had a significant impact on our results of operations for any periods presented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As of June 30, 2023,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were effective at a reasonable assurance level as of June 30, 2023.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June 30, 2023 that have materially affected, or are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as well as the other information in this quarterly report on Form 10-Q, including our financial statements and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Additional risks and uncertainties not presently known to us or that we currently deem immaterial also may impair our business operations and the market price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3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i w:val="1"/>
          <w:iCs w:val="1"/>
          <w:color w:val="auto"/>
        </w:rPr>
        <w:t>The following summarizes the most material risks that make an investment in our securities risky or speculative. If any of the following risks occur or persist, our business, financial condition, results of operations and prospects could be materially harmed and the market price of our common stock could significantly decline: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7" w:lineRule="exact"/>
        <w:rPr>
          <w:sz w:val="20"/>
          <w:szCs w:val="20"/>
          <w:color w:val="auto"/>
        </w:rPr>
      </w:pPr>
    </w:p>
    <w:p>
      <w:pPr>
        <w:ind w:left="1260" w:hanging="503"/>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35" w:lineRule="exact"/>
        <w:rPr>
          <w:rFonts w:ascii="Arial" w:cs="Arial" w:eastAsia="Arial" w:hAnsi="Arial"/>
          <w:sz w:val="18"/>
          <w:szCs w:val="18"/>
          <w:color w:val="auto"/>
        </w:rPr>
      </w:pPr>
    </w:p>
    <w:p>
      <w:pPr>
        <w:ind w:left="1260" w:hanging="503"/>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past and anticipated future net losses;</w:t>
      </w:r>
    </w:p>
    <w:p>
      <w:pPr>
        <w:spacing w:after="0" w:line="23" w:lineRule="exact"/>
        <w:rPr>
          <w:rFonts w:ascii="Arial" w:cs="Arial" w:eastAsia="Arial" w:hAnsi="Arial"/>
          <w:sz w:val="18"/>
          <w:szCs w:val="18"/>
          <w:color w:val="auto"/>
        </w:rPr>
      </w:pPr>
    </w:p>
    <w:p>
      <w:pPr>
        <w:ind w:left="1260" w:hanging="503"/>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uncertainty related to our ability to generate revenue and achieve profitability; and</w:t>
      </w:r>
    </w:p>
    <w:p>
      <w:pPr>
        <w:spacing w:after="0" w:line="22" w:lineRule="exact"/>
        <w:rPr>
          <w:rFonts w:ascii="Arial" w:cs="Arial" w:eastAsia="Arial" w:hAnsi="Arial"/>
          <w:sz w:val="18"/>
          <w:szCs w:val="18"/>
          <w:color w:val="auto"/>
        </w:rPr>
      </w:pPr>
    </w:p>
    <w:p>
      <w:pPr>
        <w:ind w:left="1260" w:hanging="503"/>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need for substantial additional capital to finance our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development and commercialization of our product candidates</w:t>
      </w:r>
    </w:p>
    <w:p>
      <w:pPr>
        <w:spacing w:after="0" w:line="27" w:lineRule="exact"/>
        <w:rPr>
          <w:sz w:val="20"/>
          <w:szCs w:val="20"/>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substantial dependence on our product candidates;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challenges in discovering, developing and commercializing additional product candidates;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in regulatory approval processes and product candidate approvals;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clinical trials that may fail to satisfactorily demonstrate safety and efficacy;</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 candidates that may cause significant adverse events, toxicities or other undesirable side effects;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negative clinical trial results and challenges related to FDA, EMA and other regulatory requirements;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deficiencies in audits and verification procedures of our clinical trial data;</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effects due to third parties investigating the same product candidates as us in the same or different territories;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delays or difficulties in enrollment and/or maintenance of patients in clinical trials;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global pandemics or other public health emergencies on our operations;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develop effective companion diagnostic tests for our product candidates;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difficulties in developing our potential programs;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profitability challenges related to our focus on developing our product candidates for particular indications;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competition in the markets in which we operate;</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production difficulties encountered by our third-party manufacturers;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methods of product candidate manufacturing or formulation;</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unacceptance of our product candidates in the medical community;</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market opportunities for our product candidates;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augment our product pipeline through acquisitions and in-licenses;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for unfavorable third-party coverage and reimbursement practices of our product candidates; and</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of our product liability and insurance coverage.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legal and other compliance matters</w:t>
      </w:r>
    </w:p>
    <w:p>
      <w:pPr>
        <w:spacing w:after="0" w:line="27" w:lineRule="exact"/>
        <w:rPr>
          <w:sz w:val="20"/>
          <w:szCs w:val="20"/>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our ability to obtain regulatory approval of our product candidates;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FDA, EMA and other regulatory authorities’ unacceptance of data from trials conducted outside their jurisdiction;</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obtain and maintain regulatory approval of our product candidates in various jurisdictions;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burdens related to post-marketing regulatory requirements and oversight of our product candidates;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impacts of regulatory authorities’ enforcement of laws and regulations prohibiting promotion of off-label uses;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related to FDA approval of required companion diagnostic tests;</w:t>
      </w:r>
    </w:p>
    <w:p>
      <w:pPr>
        <w:spacing w:after="0" w:line="23" w:lineRule="exact"/>
        <w:rPr>
          <w:rFonts w:ascii="Arial" w:cs="Arial" w:eastAsia="Arial" w:hAnsi="Arial"/>
          <w:sz w:val="18"/>
          <w:szCs w:val="18"/>
          <w:color w:val="auto"/>
        </w:rPr>
      </w:pP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related to our ability to obtain Fast Track designation from the FDA for our product candidates;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limitations to our ability to obtain orphan drug designation or maintain orphan drug exclusivity for our product candidates;</w:t>
      </w:r>
    </w:p>
    <w:p>
      <w:pPr>
        <w:spacing w:after="0" w:line="32" w:lineRule="exact"/>
        <w:rPr>
          <w:rFonts w:ascii="Arial" w:cs="Arial" w:eastAsia="Arial" w:hAnsi="Arial"/>
          <w:sz w:val="16"/>
          <w:szCs w:val="16"/>
          <w:color w:val="auto"/>
        </w:rPr>
      </w:pP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delays or barriers to secure approval for accelerated registration pathways;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current regulations and future legislation that impact us adversely;</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inadequate funding of regulatory agencies that may hinder timely product development or commercialization;</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misconduct or noncompliance with regulatory standards by our employees and certain third parties;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potential incompliance with U.S. healthcare laws and requirements;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potential incompliance with environmental, health and safety laws and regulations;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potential incompliance with anti-bribery, anti-corruption, export, trade sanctions and import laws or regulations; and</w:t>
      </w:r>
    </w:p>
    <w:p>
      <w:pPr>
        <w:spacing w:after="0" w:line="32" w:lineRule="exact"/>
        <w:rPr>
          <w:rFonts w:ascii="Arial" w:cs="Arial" w:eastAsia="Arial" w:hAnsi="Arial"/>
          <w:sz w:val="16"/>
          <w:szCs w:val="16"/>
          <w:color w:val="auto"/>
        </w:rPr>
      </w:pP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potential incompliance with California laws or Nasdaq rules governing diversity of our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management of our growth</w:t>
      </w:r>
    </w:p>
    <w:p>
      <w:pPr>
        <w:spacing w:after="0" w:line="27" w:lineRule="exact"/>
        <w:rPr>
          <w:sz w:val="20"/>
          <w:szCs w:val="20"/>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to our ability to attract and retain highly skilled executive officers and employees;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our ability to sell or market our product candidates;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potential inability to grow and manage growth of our organization;</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security or data privacy breaches or incidents impacting our internal systems or those of commercial third parties;</w:t>
      </w:r>
    </w:p>
    <w:p>
      <w:pPr>
        <w:spacing w:after="0" w:line="20" w:lineRule="exact"/>
        <w:rPr>
          <w:rFonts w:ascii="Arial" w:cs="Arial" w:eastAsia="Arial" w:hAnsi="Arial"/>
          <w:sz w:val="17"/>
          <w:szCs w:val="17"/>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and other catastrophic events that may cause damage or disruption;</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 civil enforcement action against one of our officers;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potential inability to use our net operating losses and tax credits to offset future taxable income;</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tax laws and additional effort and expenses incurred as a result;</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complexities related to contracting with foreign third parties or international marketing of our product candidates;</w:t>
      </w:r>
    </w:p>
    <w:p>
      <w:pPr>
        <w:spacing w:after="0" w:line="20" w:lineRule="exact"/>
        <w:rPr>
          <w:rFonts w:ascii="Arial" w:cs="Arial" w:eastAsia="Arial" w:hAnsi="Arial"/>
          <w:sz w:val="17"/>
          <w:szCs w:val="17"/>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military conflict in Ukraine, and any resulting trade war, could result in increased manufacturing costs; and</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inflation may adversely affect us by increasing our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 w:lineRule="exact"/>
        <w:rPr>
          <w:sz w:val="20"/>
          <w:szCs w:val="20"/>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to our ability to protect our intellectual property and proprietary technologies;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potentially narrow scope of patent protection we receive;</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threats to our competitive advantage;</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operate without infringing intellectual property rights and claims of infringement by third parties;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potential inability to obtain or maintain rights to our product candidates through acquisitions and in-licenses;</w:t>
      </w:r>
    </w:p>
    <w:p>
      <w:pPr>
        <w:spacing w:after="0" w:line="20" w:lineRule="exact"/>
        <w:rPr>
          <w:rFonts w:ascii="Arial" w:cs="Arial" w:eastAsia="Arial" w:hAnsi="Arial"/>
          <w:sz w:val="17"/>
          <w:szCs w:val="17"/>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associated with protecting or enforcing our patents and our licensors’ patents;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intellectual property litigation that may lead to unfavorable publicity;</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outcomes from necessary derivation proceedings;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patent reform legislation and related uncertainties and costs;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U.S. and international intellectual property laws and related challenges;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claims challenging ownership of our intellectual property, including internationally;</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patent terms and access to extensions that may not adequately protect our competitive position;</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patent protection and dependence on compliance with various regulations;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potentially limited name recognition in our markets that depend on protection of our trademarks and trade names;</w:t>
      </w:r>
    </w:p>
    <w:p>
      <w:pPr>
        <w:spacing w:after="0" w:line="20" w:lineRule="exact"/>
        <w:rPr>
          <w:rFonts w:ascii="Arial" w:cs="Arial" w:eastAsia="Arial" w:hAnsi="Arial"/>
          <w:sz w:val="17"/>
          <w:szCs w:val="17"/>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protecting confidentiality of our trade secrets;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claims of wrongful disclosure of our confidential information or trade secrets;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claims of wrongful hiring or disclosure or use of competitors’ confidential information or trade secrets;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product development and commercialization rights that are subject to unfavorable terms and conditions of licensors;</w:t>
      </w:r>
    </w:p>
    <w:p>
      <w:pPr>
        <w:spacing w:after="0" w:line="32" w:lineRule="exact"/>
        <w:rPr>
          <w:rFonts w:ascii="Arial" w:cs="Arial" w:eastAsia="Arial" w:hAnsi="Arial"/>
          <w:sz w:val="16"/>
          <w:szCs w:val="16"/>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business relationship disruptions due to failure to comply with license agreement obligations;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patent protection and prosecution that may be dependent on third parties; and</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intellectual property discovered through government funding and potential limits on our exclusive rights.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dependence on third parties</w:t>
      </w:r>
    </w:p>
    <w:p>
      <w:pPr>
        <w:spacing w:after="0" w:line="27" w:lineRule="exact"/>
        <w:rPr>
          <w:sz w:val="20"/>
          <w:szCs w:val="20"/>
          <w:color w:val="auto"/>
        </w:rPr>
      </w:pP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dependence on third parties for production, preclinical studies and clinical trials of our product candidates;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acquisitions or strategic partnerships that may increase capital requirements, dilution and debt;</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establish commercially reasonable collaborations; and</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related to collaborations for development and commercialization of product candidates.</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27" w:lineRule="exact"/>
        <w:rPr>
          <w:sz w:val="20"/>
          <w:szCs w:val="20"/>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conditions and price that may limit your ability to sell our common stock;</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volatility of our stock price;</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or misleading industry analyst publications regarding our business or market;</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fluctuations in our operating results;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principal stockholders and management that may exert significant control over stockholder approval matters;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large sales of our stock that could cause our stock price to fall;</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related to our status as an emerging growth company and our transition after such status;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our internal controls that could impair our ability to produce accurate financial statements;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of our disclosure controls and procedures;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liabilities related to securities litigation;</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intention not to pay dividends;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provisions of our certificate of incorporation and bylaws that may prevent or delay a change in control; and</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exclusive forum provisions in our bylaws that may limit stockholder ability to obtain a favorable judicial forum.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We have a limited operating history, have not initiated or completed any large-scale or pivotal clinical trials, and have no products approved for commercial sale, which may make it difficult for you to evaluate our current business and likelihood of success and viability.</w:t>
      </w:r>
    </w:p>
    <w:p>
      <w:pPr>
        <w:spacing w:after="0" w:line="16"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We are a clinical-stage biopharmaceutical company with a limited operating history upon which you can evaluate our business and prospects. We commenced operations in 2014, have no products approved for commercial sale and have not generated any revenue. Drug development is a highly uncertain undertaking and involves a substantial degree of risk. We have initiated clinical trials for a limited number of our product candidates. To date, we have devoted substantially all of our resources to research and development activities, including with respect to the preclinical and clinical development of ORIC-114, ORIC-533, ORIC-944 and our other product candidates, in-licensing of external programs, business planning, establishing and maintaining our intellectual property portfolio, hiring personnel, raising capital and providing general and administrative support for these operations.</w:t>
      </w:r>
    </w:p>
    <w:p>
      <w:pPr>
        <w:spacing w:after="0" w:line="56"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We have not yet demonstrated our ability to successfully initiate and complete any large-scale or pivotal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79" w:lineRule="exact"/>
        <w:rPr>
          <w:sz w:val="20"/>
          <w:szCs w:val="20"/>
          <w:color w:val="auto"/>
        </w:rPr>
      </w:pPr>
    </w:p>
    <w:p>
      <w:pPr>
        <w:ind w:right="180" w:firstLine="749"/>
        <w:spacing w:after="0" w:line="25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we expect to continue to incur significant net losses for the foreseeable future.</w:t>
      </w:r>
    </w:p>
    <w:p>
      <w:pPr>
        <w:spacing w:after="0" w:line="140" w:lineRule="exact"/>
        <w:rPr>
          <w:sz w:val="20"/>
          <w:szCs w:val="20"/>
          <w:color w:val="auto"/>
        </w:rPr>
      </w:pPr>
    </w:p>
    <w:p>
      <w:pPr>
        <w:ind w:right="20" w:firstLine="749"/>
        <w:spacing w:after="0" w:line="288" w:lineRule="auto"/>
        <w:rPr>
          <w:sz w:val="20"/>
          <w:szCs w:val="20"/>
          <w:color w:val="auto"/>
        </w:rPr>
      </w:pPr>
      <w:r>
        <w:rPr>
          <w:rFonts w:ascii="Arial" w:cs="Arial" w:eastAsia="Arial" w:hAnsi="Arial"/>
          <w:sz w:val="16"/>
          <w:szCs w:val="16"/>
          <w:color w:val="auto"/>
        </w:rPr>
        <w:t>We have incurred significant net losses since our inception, have not generated any revenue from product sales to date and have financed our operations principally through public offerings and private placements of our common stock, convertible preferred stock and other derivative securities. Our net loss was $46.9 million for the six months ended June 30, 2023, and as of June 30, 2023, we had an accumulated deficit of $381.1 million. In the second quarter of 2021, the U.S. Food and Drug Administration (FDA) cleared an Investigational New Drug Application (IND) for ORIC-533 and, in the first quarter of 2023, a Clinical Trial Application (CTA) was cleared in Canada for ORIC-533. In the fourth quarter of 2021, we filed a CTA in South Korea for ORIC-114, which was cleared in the first quarter of 2022. We filed and cleared an IND with the FDA for ORIC-944 in the fourth quarter of 2021 and also filed and cleared an IND with the FDA for ORIC-114 in the third quarter of 2022.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60"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5" w:name="page26"/>
    <w:bookmarkEnd w:id="25"/>
    <w:p>
      <w:pPr>
        <w:ind w:right="44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62"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Our business depends entirely on the successful discovery, development and commercialization of product candidates. We have no products approved for commercial sale and do not anticipate generating any revenue from product sales for the next several years, if ever. Our ability to generate revenue and achieve profitability depends significantly on our ability, or any current or future collaborator’s ability, to achieve several objectives, including:</w:t>
      </w:r>
    </w:p>
    <w:p>
      <w:pPr>
        <w:spacing w:after="0" w:line="41" w:lineRule="exact"/>
        <w:rPr>
          <w:sz w:val="20"/>
          <w:szCs w:val="20"/>
          <w:color w:val="auto"/>
        </w:rPr>
      </w:pPr>
    </w:p>
    <w:p>
      <w:pPr>
        <w:ind w:left="1260" w:right="540" w:hanging="503"/>
        <w:spacing w:after="0" w:line="277"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ORIC-114, ORIC-533, ORIC-944 and our other future product candidates;</w:t>
      </w:r>
    </w:p>
    <w:p>
      <w:pPr>
        <w:spacing w:after="0" w:line="62" w:lineRule="exact"/>
        <w:rPr>
          <w:rFonts w:ascii="Arial" w:cs="Arial" w:eastAsia="Arial" w:hAnsi="Arial"/>
          <w:sz w:val="18"/>
          <w:szCs w:val="18"/>
          <w:color w:val="auto"/>
        </w:rPr>
      </w:pPr>
    </w:p>
    <w:p>
      <w:pPr>
        <w:ind w:left="1260" w:right="180" w:hanging="503"/>
        <w:spacing w:after="0" w:line="277"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(CROs) and clinical sites for the clinical development of ORIC-114, ORIC-533, ORIC-944 and our other future product candidates;</w:t>
      </w:r>
    </w:p>
    <w:p>
      <w:pPr>
        <w:spacing w:after="0" w:line="62" w:lineRule="exact"/>
        <w:rPr>
          <w:rFonts w:ascii="Arial" w:cs="Arial" w:eastAsia="Arial" w:hAnsi="Arial"/>
          <w:sz w:val="18"/>
          <w:szCs w:val="18"/>
          <w:color w:val="auto"/>
        </w:rPr>
      </w:pPr>
    </w:p>
    <w:p>
      <w:pPr>
        <w:ind w:left="1260" w:right="620" w:hanging="503"/>
        <w:spacing w:after="0" w:line="277"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62" w:lineRule="exact"/>
        <w:rPr>
          <w:rFonts w:ascii="Arial" w:cs="Arial" w:eastAsia="Arial" w:hAnsi="Arial"/>
          <w:sz w:val="18"/>
          <w:szCs w:val="18"/>
          <w:color w:val="auto"/>
        </w:rPr>
      </w:pPr>
    </w:p>
    <w:p>
      <w:pPr>
        <w:ind w:left="1260" w:right="400" w:hanging="503"/>
        <w:spacing w:after="0" w:line="277"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62" w:lineRule="exact"/>
        <w:rPr>
          <w:rFonts w:ascii="Arial" w:cs="Arial" w:eastAsia="Arial" w:hAnsi="Arial"/>
          <w:sz w:val="18"/>
          <w:szCs w:val="18"/>
          <w:color w:val="auto"/>
        </w:rPr>
      </w:pPr>
    </w:p>
    <w:p>
      <w:pPr>
        <w:ind w:left="1260" w:right="20" w:hanging="503"/>
        <w:spacing w:after="0" w:line="263"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75" w:lineRule="exact"/>
        <w:rPr>
          <w:rFonts w:ascii="Arial" w:cs="Arial" w:eastAsia="Arial" w:hAnsi="Arial"/>
          <w:sz w:val="18"/>
          <w:szCs w:val="18"/>
          <w:color w:val="auto"/>
        </w:rPr>
      </w:pPr>
    </w:p>
    <w:p>
      <w:pPr>
        <w:ind w:left="1260" w:right="160" w:hanging="503"/>
        <w:spacing w:after="0" w:line="277"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117" w:lineRule="exact"/>
        <w:rPr>
          <w:rFonts w:ascii="Arial" w:cs="Arial" w:eastAsia="Arial" w:hAnsi="Arial"/>
          <w:sz w:val="18"/>
          <w:szCs w:val="18"/>
          <w:color w:val="auto"/>
        </w:rPr>
      </w:pPr>
    </w:p>
    <w:p>
      <w:pPr>
        <w:ind w:left="1260" w:right="220" w:hanging="503"/>
        <w:spacing w:after="0" w:line="277"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17" w:lineRule="exact"/>
        <w:rPr>
          <w:rFonts w:ascii="Arial" w:cs="Arial" w:eastAsia="Arial" w:hAnsi="Arial"/>
          <w:sz w:val="18"/>
          <w:szCs w:val="18"/>
          <w:color w:val="auto"/>
        </w:rPr>
      </w:pPr>
    </w:p>
    <w:p>
      <w:pPr>
        <w:ind w:left="1260" w:right="560" w:hanging="503"/>
        <w:spacing w:after="0" w:line="277"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ind w:right="180" w:firstLine="749"/>
        <w:spacing w:after="0" w:line="279" w:lineRule="auto"/>
        <w:rPr>
          <w:sz w:val="20"/>
          <w:szCs w:val="20"/>
          <w:color w:val="auto"/>
        </w:rPr>
      </w:pPr>
      <w:r>
        <w:rPr>
          <w:rFonts w:ascii="Arial" w:cs="Arial" w:eastAsia="Arial" w:hAnsi="Arial"/>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63"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ORIC-114, ORIC-533 and ORIC-944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European Medicines Agency (EMA) or other regulatory agencies to perform clinical trials or preclinical studies in addition to those that we currently anticipate. Other unanticipated costs may also arise. Because the design and outcome of our planned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ind w:right="360"/>
        <w:spacing w:after="0" w:line="259" w:lineRule="auto"/>
        <w:rPr>
          <w:sz w:val="20"/>
          <w:szCs w:val="20"/>
          <w:color w:val="auto"/>
        </w:rPr>
      </w:pPr>
      <w:r>
        <w:rPr>
          <w:rFonts w:ascii="Arial" w:cs="Arial" w:eastAsia="Arial" w:hAnsi="Arial"/>
          <w:sz w:val="18"/>
          <w:szCs w:val="18"/>
          <w:color w:val="auto"/>
        </w:rPr>
        <w:t>anticipated clinical trials are highly uncertain, we cannot reasonably estimate the actual amount of resources and funding that will be necessary to successfully complete the development and commercialization of any product candidate we develop. We are not permitted to market or promote our product candidates before we receive marketing approval from the FDA. Accordingly, we will need to obtain substantial additional funding in order to continue our operations.</w:t>
      </w:r>
    </w:p>
    <w:p>
      <w:pPr>
        <w:spacing w:after="0" w:line="79"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As of June 30, 2023, we had $273.7 million in cash, cash equivalents and investments. Based on our current operating plan, we believe that our existing cash, cash equivalents and investments will be sufficient to fund our operations into late 2025. Our estimate as to how long we expect our existing cash, cash equivalents, and investments,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53"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88"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Market conditions and changing circumstances, some of which may be beyond our control, could impair our ability to access our existing cash, cash equivalents and investments and to timely pay key vendors and others.</w:t>
      </w:r>
    </w:p>
    <w:p>
      <w:pPr>
        <w:spacing w:after="0" w:line="62" w:lineRule="exact"/>
        <w:rPr>
          <w:sz w:val="20"/>
          <w:szCs w:val="20"/>
          <w:color w:val="auto"/>
        </w:rPr>
      </w:pPr>
    </w:p>
    <w:p>
      <w:pPr>
        <w:ind w:right="120" w:firstLine="749"/>
        <w:spacing w:after="0" w:line="289" w:lineRule="auto"/>
        <w:rPr>
          <w:sz w:val="20"/>
          <w:szCs w:val="20"/>
          <w:color w:val="auto"/>
        </w:rPr>
      </w:pPr>
      <w:r>
        <w:rPr>
          <w:rFonts w:ascii="Arial" w:cs="Arial" w:eastAsia="Arial" w:hAnsi="Arial"/>
          <w:sz w:val="16"/>
          <w:szCs w:val="16"/>
          <w:color w:val="auto"/>
        </w:rPr>
        <w:t>Market conditions and changing circumstances, some of which may be beyond our control, could impair our ability to access our existing cash, cash equivalents and investments and to timely pay key vendors and others. For example, on March 10, 2023, Silicon Valley Bank (SVB), where we maintain certain accounts, was placed into receivership with the Federal Deposit Insurance Corporation (FDIC), which resulted in all funds held at SVB being temporarily inaccessible by SVB’s customers. If other banks and financial institutions with whom we have banking relationships enter receivership or become insolvent in the future, we may be unable to access, and we may lose, some or all of our existing cash, cash equivalents and investments to the extent those funds are not insured or otherwise protected by the FDIC. In addition, in such circumstances we might not be able to timely pay key vendors and others. We regularly maintain cash balances that are not insured or are in excess of the FDIC’s insurance limit. Any delay in our ability to access our cash, cash equivalents and investments (or the loss of some or all of such funds) or to timely pay key vendors and others could have a material adverse effect on our operations and cause us to need to seek additional capital sooner than planned.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ORIC-114, ORIC-533 and ORIC-944. If we are unable to complete development of, obtain approval for and commercialize our product candidates for one or more indications in a timely manner, our business will be harmed.</w:t>
      </w:r>
    </w:p>
    <w:p>
      <w:pPr>
        <w:spacing w:after="0" w:line="76"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We allocate the majority of our efforts and financial resources to the development of ORIC-114, ORIC-533 and ORIC-944. Our future success is dependent on our ability to timely and successfully complete clinical trials, obtain marketing approval for and successfully commercialize ORIC-114, ORIC-533 and ORIC-944.</w:t>
      </w:r>
    </w:p>
    <w:p>
      <w:pPr>
        <w:spacing w:after="0" w:line="76"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ORIC-114 is a brain penetrant, orally bioavailable, irreversible inhibitor designed to selectively target EGFR and HER2 with high potency against exon 20 mutations. In the fourth quarter of 2021, we filed a CTA for ORIC-114 in South Korea, which was cleared in the first quarter of 2022. We also filed and cleared an IND with the FDA for ORIC-114 in the third quarter of 2022. We are enrolling a Phase 1b trial of ORIC-114 as a single-agent, in patients with advanced solid tumors with EGFR and HER2 exon 20 alterations or HER2 amplifications and allows patients with CNS metastases that are either treated or untreated but asymptomatic. ORIC-533 is an orally bioavailable small molecule inhibitor of CD73 that has demonstrated more potent adenosine inhibition in vitro compared to an antibody-based approach and other small molecule CD73 inhibitors. In the second quarter of 2021, the FDA cleared the IND for ORIC-533 and, in the first quarter of 2023, a CTA was cleared in Canada for ORIC-533. We are enrolling a Phase 1b trial of ORIC-533 as a single-agent, in patients with relapsed/refractory multiple myeloma. ORIC-944 is a potent and selective allosteric inhibitor of PRC2 via the EED subunit and is efficacious in androgen-insensitive and enzalutamide-resistant prostate cancer models in preclinical studies. We filed and cleared an IND with the FDA for ORIC-944 in the fourth quarter of 2021, and we are enrolling a Phase 1b trial of ORIC-944 as a single-agent, in patients with advanced prostate cancer. These product candidates will require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7" w:name="page28"/>
    <w:bookmarkEnd w:id="27"/>
    <w:p>
      <w:pPr>
        <w:ind w:right="20"/>
        <w:spacing w:after="0" w:line="259" w:lineRule="auto"/>
        <w:rPr>
          <w:sz w:val="20"/>
          <w:szCs w:val="20"/>
          <w:color w:val="auto"/>
        </w:rPr>
      </w:pPr>
      <w:r>
        <w:rPr>
          <w:rFonts w:ascii="Arial" w:cs="Arial" w:eastAsia="Arial" w:hAnsi="Arial"/>
          <w:sz w:val="18"/>
          <w:szCs w:val="18"/>
          <w:color w:val="auto"/>
        </w:rPr>
        <w:t>additional clinical development, expansion of manufacturing capabilities, marketing approval from government regulators, substantial investment and significant marketing efforts before we can generate any revenues from product sales. We are not permitted to market or promote ORIC-114, ORIC-533, ORIC-944, or any other product candidate, before we receive marketing approval from the FDA and comparable foreign regulatory authorities, and we may never receive such marketing approvals.</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117" w:lineRule="exact"/>
        <w:rPr>
          <w:sz w:val="20"/>
          <w:szCs w:val="20"/>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successful and timely completion of our ongoing clinical trials of our product candidates;</w:t>
      </w:r>
    </w:p>
    <w:p>
      <w:pPr>
        <w:spacing w:after="0" w:line="117" w:lineRule="exact"/>
        <w:rPr>
          <w:rFonts w:ascii="Arial" w:cs="Arial" w:eastAsia="Arial" w:hAnsi="Arial"/>
          <w:sz w:val="18"/>
          <w:szCs w:val="18"/>
          <w:color w:val="auto"/>
        </w:rPr>
      </w:pPr>
    </w:p>
    <w:p>
      <w:pPr>
        <w:ind w:left="1260" w:right="920" w:hanging="503"/>
        <w:spacing w:after="0" w:line="308" w:lineRule="auto"/>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addressing any delays in our clinical trials and additional costs incurred as a result of a global pandemic or other public health emergencies, including those resulting from preclinical study delays and adjustment to our clinical trials;</w:t>
      </w:r>
    </w:p>
    <w:p>
      <w:pPr>
        <w:spacing w:after="0" w:line="38" w:lineRule="exact"/>
        <w:rPr>
          <w:rFonts w:ascii="Arial" w:cs="Arial" w:eastAsia="Arial" w:hAnsi="Arial"/>
          <w:sz w:val="17"/>
          <w:szCs w:val="17"/>
          <w:color w:val="auto"/>
        </w:rPr>
      </w:pPr>
    </w:p>
    <w:p>
      <w:pPr>
        <w:ind w:left="1260" w:hanging="503"/>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initiation and successful patient enrollment and completion of additional clinical trials of our product candidates on a timely basis;</w:t>
      </w:r>
    </w:p>
    <w:p>
      <w:pPr>
        <w:spacing w:after="0" w:line="128" w:lineRule="exact"/>
        <w:rPr>
          <w:rFonts w:ascii="Arial" w:cs="Arial" w:eastAsia="Arial" w:hAnsi="Arial"/>
          <w:sz w:val="17"/>
          <w:szCs w:val="17"/>
          <w:color w:val="auto"/>
        </w:rPr>
      </w:pPr>
    </w:p>
    <w:p>
      <w:pPr>
        <w:ind w:left="1260" w:right="80" w:hanging="503"/>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and establishing relationships with CROs and clinical sites for the clinical development of our product candidates both in the United States and internationally;</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frequency and severity of adverse events in clinical trials;</w:t>
      </w:r>
    </w:p>
    <w:p>
      <w:pPr>
        <w:spacing w:after="0" w:line="117" w:lineRule="exact"/>
        <w:rPr>
          <w:rFonts w:ascii="Arial" w:cs="Arial" w:eastAsia="Arial" w:hAnsi="Arial"/>
          <w:sz w:val="18"/>
          <w:szCs w:val="18"/>
          <w:color w:val="auto"/>
        </w:rPr>
      </w:pPr>
    </w:p>
    <w:p>
      <w:pPr>
        <w:ind w:left="1260" w:right="560" w:hanging="503"/>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demonstrating efficacy, safety and tolerability profiles that are satisfactory to the FDA, EMA or any comparable foreign regulatory authority for marketing approval;</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timely receipt of marketing approvals for our product candidates from applicable regulatory authorities;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timely identification, development and approval of companion diagnostic tests, if required;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17" w:lineRule="exact"/>
        <w:rPr>
          <w:rFonts w:ascii="Arial" w:cs="Arial" w:eastAsia="Arial" w:hAnsi="Arial"/>
          <w:sz w:val="18"/>
          <w:szCs w:val="18"/>
          <w:color w:val="auto"/>
        </w:rPr>
      </w:pPr>
    </w:p>
    <w:p>
      <w:pPr>
        <w:ind w:left="1260" w:right="200" w:hanging="503"/>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supply arrangements with third-party drug product suppliers and manufacturers for clinical development and, if approved, commercialization of our product candidates;</w:t>
      </w:r>
    </w:p>
    <w:p>
      <w:pPr>
        <w:spacing w:after="0" w:line="62" w:lineRule="exact"/>
        <w:rPr>
          <w:rFonts w:ascii="Arial" w:cs="Arial" w:eastAsia="Arial" w:hAnsi="Arial"/>
          <w:sz w:val="18"/>
          <w:szCs w:val="18"/>
          <w:color w:val="auto"/>
        </w:rPr>
      </w:pPr>
    </w:p>
    <w:p>
      <w:pPr>
        <w:ind w:left="1260" w:right="1060" w:hanging="503"/>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protection of our rights in our intellectual property portfolio;</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successful launch of commercial sales following any marketing approval;</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117"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our product candidates, which would materially harm our business. If we do not receive marketing approvals for our product candidates, we may not be able to continue our operations.</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 addition to ORIC-114, ORIC-533 and ORIC-944, our prospects depend in part upon discovering, developing and commercializing additional product candidates, which may fail in development or suffer delays that adversely affect their commercial viability.</w:t>
      </w:r>
    </w:p>
    <w:p>
      <w:pPr>
        <w:spacing w:after="0" w:line="62" w:lineRule="exact"/>
        <w:rPr>
          <w:sz w:val="20"/>
          <w:szCs w:val="20"/>
          <w:color w:val="auto"/>
        </w:rPr>
      </w:pPr>
    </w:p>
    <w:p>
      <w:pPr>
        <w:ind w:right="40" w:firstLine="749"/>
        <w:spacing w:after="0" w:line="296" w:lineRule="auto"/>
        <w:rPr>
          <w:sz w:val="20"/>
          <w:szCs w:val="20"/>
          <w:color w:val="auto"/>
        </w:rPr>
      </w:pPr>
      <w:r>
        <w:rPr>
          <w:rFonts w:ascii="Arial" w:cs="Arial" w:eastAsia="Arial" w:hAnsi="Arial"/>
          <w:sz w:val="16"/>
          <w:szCs w:val="16"/>
          <w:color w:val="auto"/>
        </w:rPr>
        <w:t>Our future operating results are dependent on our ability to successfully discover, develop, obtain regulatory approval for and commercialize product candidates. All of our current programs other than ORIC-114, ORIC-533 and ORIC-944, are in research or preclinical development. A product candidate can unexpectedly fail at any stage of preclinical and/or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success of other product candidates we may develop will depend on many factors, including the following:</w:t>
      </w:r>
    </w:p>
    <w:p>
      <w:pPr>
        <w:spacing w:after="0" w:line="117" w:lineRule="exact"/>
        <w:rPr>
          <w:sz w:val="20"/>
          <w:szCs w:val="20"/>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addressing any delays in our research programs resulting from factors related to a global pandemic or other public health emergencies;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a product candidate for use in clinical trials;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events in clinical trials.</w:t>
      </w:r>
    </w:p>
    <w:p>
      <w:pPr>
        <w:spacing w:after="0" w:line="117"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Even if we successfully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product candidates.</w:t>
      </w:r>
    </w:p>
    <w:p>
      <w:pPr>
        <w:spacing w:after="0" w:line="7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76"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17" w:lineRule="exact"/>
        <w:rPr>
          <w:sz w:val="20"/>
          <w:szCs w:val="20"/>
          <w:color w:val="auto"/>
        </w:rPr>
      </w:pPr>
    </w:p>
    <w:p>
      <w:pPr>
        <w:ind w:left="1260" w:right="80" w:hanging="503"/>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the design, implementation or results of our clinical trials;</w:t>
      </w:r>
    </w:p>
    <w:p>
      <w:pPr>
        <w:spacing w:after="0" w:line="62" w:lineRule="exact"/>
        <w:rPr>
          <w:rFonts w:ascii="Arial" w:cs="Arial" w:eastAsia="Arial" w:hAnsi="Arial"/>
          <w:sz w:val="18"/>
          <w:szCs w:val="18"/>
          <w:color w:val="auto"/>
        </w:rPr>
      </w:pPr>
    </w:p>
    <w:p>
      <w:pPr>
        <w:ind w:left="1260" w:right="80" w:hanging="503"/>
        <w:spacing w:after="0" w:line="263"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75" w:lineRule="exact"/>
        <w:rPr>
          <w:rFonts w:ascii="Arial" w:cs="Arial" w:eastAsia="Arial" w:hAnsi="Arial"/>
          <w:sz w:val="18"/>
          <w:szCs w:val="18"/>
          <w:color w:val="auto"/>
        </w:rPr>
      </w:pPr>
    </w:p>
    <w:p>
      <w:pPr>
        <w:ind w:left="1260" w:right="760" w:hanging="503"/>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1260" w:right="60" w:hanging="503"/>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260" w:right="140" w:hanging="503"/>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other comparable foreign regulatory authorities that our product candidate’s risk-benefit ratio for its proposed indication is acceptable;</w:t>
      </w:r>
    </w:p>
    <w:p>
      <w:pPr>
        <w:spacing w:after="0" w:line="62" w:lineRule="exact"/>
        <w:rPr>
          <w:rFonts w:ascii="Arial" w:cs="Arial" w:eastAsia="Arial" w:hAnsi="Arial"/>
          <w:sz w:val="18"/>
          <w:szCs w:val="18"/>
          <w:color w:val="auto"/>
        </w:rPr>
      </w:pPr>
    </w:p>
    <w:p>
      <w:pPr>
        <w:ind w:left="1260" w:right="180" w:hanging="503"/>
        <w:spacing w:after="0" w:line="308" w:lineRule="auto"/>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38" w:lineRule="exact"/>
        <w:rPr>
          <w:rFonts w:ascii="Arial" w:cs="Arial" w:eastAsia="Arial" w:hAnsi="Arial"/>
          <w:sz w:val="17"/>
          <w:szCs w:val="17"/>
          <w:color w:val="auto"/>
        </w:rPr>
      </w:pPr>
    </w:p>
    <w:p>
      <w:pPr>
        <w:ind w:left="1260" w:right="560" w:hanging="503"/>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or other comparable regulatory authorities may fail to approve companion diagnostic tests that are required for our product candidates; and</w:t>
      </w:r>
    </w:p>
    <w:p>
      <w:pPr>
        <w:spacing w:after="0" w:line="62" w:lineRule="exact"/>
        <w:rPr>
          <w:rFonts w:ascii="Arial" w:cs="Arial" w:eastAsia="Arial" w:hAnsi="Arial"/>
          <w:sz w:val="18"/>
          <w:szCs w:val="18"/>
          <w:color w:val="auto"/>
        </w:rPr>
      </w:pPr>
    </w:p>
    <w:p>
      <w:pPr>
        <w:ind w:left="1260" w:right="260" w:hanging="503"/>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other comparable foreign regulatory authorities may significantly change in a manner rendering our clinical data insufficient for 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ind w:right="640" w:firstLine="749"/>
        <w:spacing w:after="0" w:line="342" w:lineRule="auto"/>
        <w:rPr>
          <w:sz w:val="20"/>
          <w:szCs w:val="20"/>
          <w:color w:val="auto"/>
        </w:rPr>
      </w:pPr>
      <w:r>
        <w:rPr>
          <w:rFonts w:ascii="Arial" w:cs="Arial" w:eastAsia="Arial" w:hAnsi="Arial"/>
          <w:sz w:val="16"/>
          <w:szCs w:val="16"/>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clinical trials of our product candidates may not demonstrate safety and efficacy to the satisfaction of the FDA, EMA or other comparable foreign regulatory authorities or otherwise produce positive results.</w:t>
      </w:r>
    </w:p>
    <w:p>
      <w:pPr>
        <w:spacing w:after="0" w:line="62"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87"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2" w:lineRule="exact"/>
        <w:rPr>
          <w:sz w:val="20"/>
          <w:szCs w:val="20"/>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17" w:lineRule="exact"/>
        <w:rPr>
          <w:rFonts w:ascii="Arial" w:cs="Arial" w:eastAsia="Arial" w:hAnsi="Arial"/>
          <w:sz w:val="18"/>
          <w:szCs w:val="18"/>
          <w:color w:val="auto"/>
        </w:rPr>
      </w:pPr>
    </w:p>
    <w:p>
      <w:pPr>
        <w:ind w:left="1260" w:right="80" w:hanging="503"/>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62" w:lineRule="exact"/>
        <w:rPr>
          <w:rFonts w:ascii="Arial" w:cs="Arial" w:eastAsia="Arial" w:hAnsi="Arial"/>
          <w:sz w:val="18"/>
          <w:szCs w:val="18"/>
          <w:color w:val="auto"/>
        </w:rPr>
      </w:pPr>
    </w:p>
    <w:p>
      <w:pPr>
        <w:ind w:left="1260" w:right="620" w:hanging="503"/>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62" w:lineRule="exact"/>
        <w:rPr>
          <w:rFonts w:ascii="Arial" w:cs="Arial" w:eastAsia="Arial" w:hAnsi="Arial"/>
          <w:sz w:val="18"/>
          <w:szCs w:val="18"/>
          <w:color w:val="auto"/>
        </w:rPr>
      </w:pPr>
    </w:p>
    <w:p>
      <w:pPr>
        <w:ind w:left="1260" w:right="100" w:hanging="503"/>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third-party contractors failing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260" w:right="540" w:hanging="503"/>
        <w:spacing w:after="0" w:line="308" w:lineRule="auto"/>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38" w:lineRule="exact"/>
        <w:rPr>
          <w:rFonts w:ascii="Arial" w:cs="Arial" w:eastAsia="Arial" w:hAnsi="Arial"/>
          <w:sz w:val="17"/>
          <w:szCs w:val="17"/>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anticipated;</w:t>
      </w:r>
    </w:p>
    <w:p>
      <w:pPr>
        <w:spacing w:after="0" w:line="117" w:lineRule="exact"/>
        <w:rPr>
          <w:rFonts w:ascii="Arial" w:cs="Arial" w:eastAsia="Arial" w:hAnsi="Arial"/>
          <w:sz w:val="18"/>
          <w:szCs w:val="18"/>
          <w:color w:val="auto"/>
        </w:rPr>
      </w:pPr>
    </w:p>
    <w:p>
      <w:pPr>
        <w:ind w:left="1260" w:right="460" w:hanging="503"/>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117"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6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6" w:lineRule="exact"/>
        <w:rPr>
          <w:sz w:val="20"/>
          <w:szCs w:val="20"/>
          <w:color w:val="auto"/>
        </w:rPr>
      </w:pPr>
    </w:p>
    <w:p>
      <w:pPr>
        <w:ind w:right="120" w:firstLine="749"/>
        <w:spacing w:after="0" w:line="273" w:lineRule="auto"/>
        <w:rPr>
          <w:sz w:val="20"/>
          <w:szCs w:val="20"/>
          <w:color w:val="auto"/>
        </w:rPr>
      </w:pPr>
      <w:r>
        <w:rPr>
          <w:rFonts w:ascii="Arial" w:cs="Arial" w:eastAsia="Arial" w:hAnsi="Arial"/>
          <w:sz w:val="17"/>
          <w:szCs w:val="17"/>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70"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Patients in our ongoing and planned clinical trials may in the future suffer other significant adverse events or other side effects not observed in our preclinical studies or previous clinical trials. Our product candidates may be used in populations for which safety concerns may be particularly scrutinized by regulatory agencies.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experience major clinical events either during the course of our clinical trials or after participating in such trials, which has occurred in the past.</w:t>
      </w:r>
    </w:p>
    <w:p>
      <w:pPr>
        <w:spacing w:after="0" w:line="129" w:lineRule="exact"/>
        <w:rPr>
          <w:sz w:val="20"/>
          <w:szCs w:val="20"/>
          <w:color w:val="auto"/>
        </w:rPr>
      </w:pPr>
    </w:p>
    <w:p>
      <w:pPr>
        <w:ind w:right="80" w:firstLine="749"/>
        <w:spacing w:after="0" w:line="287" w:lineRule="auto"/>
        <w:rPr>
          <w:sz w:val="20"/>
          <w:szCs w:val="20"/>
          <w:color w:val="auto"/>
        </w:rPr>
      </w:pPr>
      <w:r>
        <w:rPr>
          <w:rFonts w:ascii="Arial" w:cs="Arial" w:eastAsia="Arial" w:hAnsi="Arial"/>
          <w:sz w:val="16"/>
          <w:szCs w:val="16"/>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w:t>
      </w:r>
    </w:p>
    <w:p>
      <w:pPr>
        <w:spacing w:after="0" w:line="6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spacing w:after="0" w:line="38"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ORIC-114, ORIC-533, ORIC-944 will perform in current or future preclinical studies or future clinical trials as they have in prior preclinical studies. Product candidates in later-stage clinical trials may fail to demonstrate sufficient safety and efficacy to the satisfaction of the FDA, EMA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84"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87" w:lineRule="exact"/>
        <w:rPr>
          <w:sz w:val="20"/>
          <w:szCs w:val="20"/>
          <w:color w:val="auto"/>
        </w:rPr>
      </w:pPr>
    </w:p>
    <w:p>
      <w:pPr>
        <w:ind w:right="480" w:firstLine="749"/>
        <w:spacing w:after="0" w:line="277"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6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right="20" w:firstLine="749"/>
        <w:spacing w:after="0" w:line="287" w:lineRule="auto"/>
        <w:rPr>
          <w:sz w:val="20"/>
          <w:szCs w:val="20"/>
          <w:color w:val="auto"/>
        </w:rPr>
      </w:pPr>
      <w:r>
        <w:rPr>
          <w:rFonts w:ascii="Arial" w:cs="Arial" w:eastAsia="Arial" w:hAnsi="Arial"/>
          <w:sz w:val="16"/>
          <w:szCs w:val="16"/>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140" w:firstLine="749"/>
        <w:spacing w:after="0" w:line="293" w:lineRule="auto"/>
        <w:rPr>
          <w:sz w:val="20"/>
          <w:szCs w:val="20"/>
          <w:color w:val="auto"/>
        </w:rPr>
      </w:pPr>
      <w:r>
        <w:rPr>
          <w:rFonts w:ascii="Arial" w:cs="Arial" w:eastAsia="Arial" w:hAnsi="Arial"/>
          <w:sz w:val="16"/>
          <w:szCs w:val="16"/>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may be harmed, which could harm our business, financial condition, results of operations and prospects.</w:t>
      </w:r>
    </w:p>
    <w:p>
      <w:pPr>
        <w:spacing w:after="0" w:line="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Adverse results of clinical trials conducted by third parties investigating the same product candidates as us in the same or different territories could adversely affect our development of such product candidate.</w:t>
      </w:r>
    </w:p>
    <w:p>
      <w:pPr>
        <w:spacing w:after="0" w:line="62"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Lack of efficacy, adverse events, undesirable side effects or other adverse results may emerge in clinical trials conducted by third parties investigating the same product candidates as us in different territories. For example, pursuant to the Voronoi License Agreement, Voronoi retains the right to develop and commercialize the same compounds licensed to us, after a certain period, as specified in the Voronoi License Agreement, including the compound we refer to as ORIC-114, in the People’s Republic of China, Hong Kong, Macau and Taiwan and, subject to certain restrictions, to collaborate with others for such development and commercialization. We do not have control over Voronoi’s clinical trials or development program, and adverse findings from or Voronoi’s conduct of clinical trials could adversely affect our development of ORIC-114 or even the viability of ORIC-114 as a product candidate. We may be required to report Voronoi’s adverse events or unexpected side effects to the FDA or comparable foreign regulatory authorities, which could, among other things, order us to cease further development of ORIC-114.</w:t>
      </w:r>
    </w:p>
    <w:p>
      <w:pPr>
        <w:spacing w:after="0" w:line="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regulatory submissions or receipt of necessary marketing approvals could be delayed or prevented.</w:t>
      </w:r>
    </w:p>
    <w:p>
      <w:pPr>
        <w:spacing w:after="0" w:line="62"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Often done through biomarker testing, patient identification and enrollment are significant factors in the timing of clinical trials. Our ability to identify and enroll eligible patients may be limited or may result in slower enrollment than we anticipate. If patient identification proves unsuccessful, we may have difficulty enrolling or maintaining patients appropriate for our product candidates. Similarly, enrollment in trials for our product candidates may be limited or slower than we anticipated if any required laboratory biomarker tests are not available due to pandemic shortages of staff or reagents.</w:t>
      </w:r>
    </w:p>
    <w:p>
      <w:pPr>
        <w:spacing w:after="0" w:line="56"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Enrollment of patients in our clinical trials and maintaining patients in our ongoing clinical trials may be delayed or limited if our clinical trial sites limit their onsite staff or temporarily close as a result of a global pandemic or other public health emergencies. For instance, certain of our clinical trial sites in 2020 temporarily stopped or delayed enrolling new patients in response to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could delay the anticipated readouts from our clinical trials and our regulatory submissions.</w:t>
      </w:r>
    </w:p>
    <w:p>
      <w:pPr>
        <w:spacing w:after="0" w:line="84"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76" w:lineRule="exact"/>
        <w:rPr>
          <w:sz w:val="20"/>
          <w:szCs w:val="20"/>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jc w:val="both"/>
        <w:ind w:left="1260" w:right="380" w:hanging="503"/>
        <w:spacing w:after="0" w:line="263"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75" w:lineRule="exact"/>
        <w:rPr>
          <w:rFonts w:ascii="Arial" w:cs="Arial" w:eastAsia="Arial" w:hAnsi="Arial"/>
          <w:sz w:val="18"/>
          <w:szCs w:val="18"/>
          <w:color w:val="auto"/>
        </w:rPr>
      </w:pPr>
    </w:p>
    <w:p>
      <w:pPr>
        <w:ind w:left="1260" w:right="420" w:hanging="503"/>
        <w:spacing w:after="0" w:line="277"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clinicians’ willingness to screen their patients for biomarkers to indicate which patients may be eligible for enrollment in our clinical trials;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17" w:lineRule="exact"/>
        <w:rPr>
          <w:rFonts w:ascii="Arial" w:cs="Arial" w:eastAsia="Arial" w:hAnsi="Arial"/>
          <w:sz w:val="18"/>
          <w:szCs w:val="18"/>
          <w:color w:val="auto"/>
        </w:rPr>
      </w:pPr>
    </w:p>
    <w:p>
      <w:pPr>
        <w:ind w:left="1260" w:right="500" w:hanging="503"/>
        <w:spacing w:after="0" w:line="277"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62"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operations and financial results could be adversely impacted by global pandemics or other public health emergencies in the United States and the rest of the world.</w:t>
      </w:r>
    </w:p>
    <w:p>
      <w:pPr>
        <w:spacing w:after="0" w:line="62" w:lineRule="exact"/>
        <w:rPr>
          <w:sz w:val="20"/>
          <w:szCs w:val="20"/>
          <w:color w:val="auto"/>
        </w:rPr>
      </w:pPr>
    </w:p>
    <w:p>
      <w:pPr>
        <w:ind w:right="680" w:firstLine="749"/>
        <w:spacing w:after="0" w:line="277" w:lineRule="auto"/>
        <w:rPr>
          <w:sz w:val="20"/>
          <w:szCs w:val="20"/>
          <w:color w:val="auto"/>
        </w:rPr>
      </w:pPr>
      <w:r>
        <w:rPr>
          <w:rFonts w:ascii="Arial" w:cs="Arial" w:eastAsia="Arial" w:hAnsi="Arial"/>
          <w:sz w:val="18"/>
          <w:szCs w:val="18"/>
          <w:color w:val="auto"/>
        </w:rPr>
        <w:t>We may experience disruptions that could severely impact our business and clinical trials due to global pandemics or other public health emergencies, including:</w:t>
      </w:r>
    </w:p>
    <w:p>
      <w:pPr>
        <w:spacing w:after="0" w:line="62" w:lineRule="exact"/>
        <w:rPr>
          <w:sz w:val="20"/>
          <w:szCs w:val="20"/>
          <w:color w:val="auto"/>
        </w:rPr>
      </w:pPr>
    </w:p>
    <w:p>
      <w:pPr>
        <w:ind w:left="1260" w:right="260" w:hanging="503"/>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 of key research and discovery or other activities related to any impact of disease contraction by or transmission among our employees, including those that are essential workers and work within our laboratory;</w:t>
      </w:r>
    </w:p>
    <w:p>
      <w:pPr>
        <w:spacing w:after="0" w:line="62" w:lineRule="exact"/>
        <w:rPr>
          <w:rFonts w:ascii="Arial" w:cs="Arial" w:eastAsia="Arial" w:hAnsi="Arial"/>
          <w:sz w:val="18"/>
          <w:szCs w:val="18"/>
          <w:color w:val="auto"/>
        </w:rPr>
      </w:pPr>
    </w:p>
    <w:p>
      <w:pPr>
        <w:ind w:left="1260" w:right="340" w:hanging="503"/>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or those conducted by third parties, and further incurrence of additional costs as a result of preclinical study and clinical trial delays and adjustments;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challenges related to ongoing and increased operational expenses related to a global pandemic or other public health emergency;</w:t>
      </w:r>
    </w:p>
    <w:p>
      <w:pPr>
        <w:spacing w:after="0" w:line="128" w:lineRule="exact"/>
        <w:rPr>
          <w:rFonts w:ascii="Arial" w:cs="Arial" w:eastAsia="Arial" w:hAnsi="Arial"/>
          <w:sz w:val="17"/>
          <w:szCs w:val="17"/>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260" w:right="180" w:hanging="503"/>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the manufacturing supply chain, which could delay or otherwise impact procurement of materials for certain of our ongoing or planned clinical studies;</w:t>
      </w:r>
    </w:p>
    <w:p>
      <w:pPr>
        <w:spacing w:after="0" w:line="62" w:lineRule="exact"/>
        <w:rPr>
          <w:rFonts w:ascii="Arial" w:cs="Arial" w:eastAsia="Arial" w:hAnsi="Arial"/>
          <w:sz w:val="18"/>
          <w:szCs w:val="18"/>
          <w:color w:val="auto"/>
        </w:rPr>
      </w:pPr>
    </w:p>
    <w:p>
      <w:pPr>
        <w:ind w:left="1260" w:right="140" w:hanging="503"/>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62" w:lineRule="exact"/>
        <w:rPr>
          <w:rFonts w:ascii="Arial" w:cs="Arial" w:eastAsia="Arial" w:hAnsi="Arial"/>
          <w:sz w:val="18"/>
          <w:szCs w:val="18"/>
          <w:color w:val="auto"/>
        </w:rPr>
      </w:pPr>
    </w:p>
    <w:p>
      <w:pPr>
        <w:ind w:left="1260" w:right="180" w:hanging="503"/>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1260" w:hanging="503"/>
        <w:spacing w:after="0" w:line="263"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in resources that would otherwise be focused on the conduct of our business or our clinical trials, including because of sickness or the desire to avoid contact with large groups of people or as a result of government-imposed “shelter in place” or similar working restrictions;</w:t>
      </w:r>
    </w:p>
    <w:p>
      <w:pPr>
        <w:spacing w:after="0" w:line="75"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17" w:lineRule="exact"/>
        <w:rPr>
          <w:rFonts w:ascii="Arial" w:cs="Arial" w:eastAsia="Arial" w:hAnsi="Arial"/>
          <w:sz w:val="18"/>
          <w:szCs w:val="18"/>
          <w:color w:val="auto"/>
        </w:rPr>
      </w:pPr>
    </w:p>
    <w:p>
      <w:pPr>
        <w:ind w:left="1260" w:right="360" w:hanging="503"/>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used in our clinical trials;</w:t>
      </w:r>
    </w:p>
    <w:p>
      <w:pPr>
        <w:spacing w:after="0" w:line="62" w:lineRule="exact"/>
        <w:rPr>
          <w:rFonts w:ascii="Arial" w:cs="Arial" w:eastAsia="Arial" w:hAnsi="Arial"/>
          <w:sz w:val="18"/>
          <w:szCs w:val="18"/>
          <w:color w:val="auto"/>
        </w:rPr>
      </w:pPr>
    </w:p>
    <w:p>
      <w:pPr>
        <w:jc w:val="both"/>
        <w:ind w:left="1260" w:right="280" w:hanging="503"/>
        <w:spacing w:after="0" w:line="342" w:lineRule="auto"/>
        <w:tabs>
          <w:tab w:leader="none" w:pos="1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regulations as part of a response to a global pandemic or other public health emergency which may require us to change the ways in which our clinical trials are conducted, or to discontinue the clinical trials altogether, or which may result in unexpected costs;</w:t>
      </w:r>
    </w:p>
    <w:p>
      <w:pPr>
        <w:spacing w:after="0" w:line="15" w:lineRule="exact"/>
        <w:rPr>
          <w:rFonts w:ascii="Arial" w:cs="Arial" w:eastAsia="Arial" w:hAnsi="Arial"/>
          <w:sz w:val="16"/>
          <w:szCs w:val="16"/>
          <w:color w:val="auto"/>
        </w:rPr>
      </w:pPr>
    </w:p>
    <w:p>
      <w:pPr>
        <w:ind w:left="1260" w:right="420" w:hanging="503"/>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117" w:lineRule="exact"/>
        <w:rPr>
          <w:sz w:val="20"/>
          <w:szCs w:val="20"/>
          <w:color w:val="auto"/>
        </w:rPr>
      </w:pPr>
    </w:p>
    <w:p>
      <w:pPr>
        <w:ind w:right="160" w:firstLine="749"/>
        <w:spacing w:after="0" w:line="286" w:lineRule="auto"/>
        <w:rPr>
          <w:sz w:val="20"/>
          <w:szCs w:val="20"/>
          <w:color w:val="auto"/>
        </w:rPr>
      </w:pPr>
      <w:r>
        <w:rPr>
          <w:rFonts w:ascii="Arial" w:cs="Arial" w:eastAsia="Arial" w:hAnsi="Arial"/>
          <w:sz w:val="17"/>
          <w:szCs w:val="17"/>
          <w:color w:val="auto"/>
        </w:rPr>
        <w:t>We will continue to assess the impact that any public health emergencies may have on our ability to effectively conduct our business operations as planned and there can be no assurance that we will be able to avoid a material impact on our business from such public health emergencies or their consequences, including disruption to our business and downturns in business sentiment generally or in our industry.</w:t>
      </w:r>
    </w:p>
    <w:p>
      <w:pPr>
        <w:spacing w:after="0" w:line="57"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To the extent a global pandemic or other public health emergency adversely affects our business, financial condition and operating results, it may also have the effect of heightening many of the risks described in this “Risk factors” section.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right="80"/>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develop any required companion diagnostic tests for our product candidates, experience significant delays in doing so, or rely on third parties in the development of such companion diagnostic tests, we may not realize the full commercial potential of our product candidates.</w:t>
      </w:r>
    </w:p>
    <w:p>
      <w:pPr>
        <w:spacing w:after="0" w:line="76"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We are exploring predictive biomarkers to determine patient selection for our clinical trials and to evaluate whether a companion diagnostic test will be required for any of our product candidates. In general, the FDA expects to review and approve simultaneously NDA and pre-market approval submissions for a therapeutic and its companion diagnostic, respectively, so any delay in diagnostic approval could delay drug approval. On April 13, 2020, the FDA issued new guidance on developing and labeling companion diagnostics for a specific group of oncology therapeutic products, including recommendations to support a broader labeling claim rather than individual therapeutic products. In June 2023, the FDA announced a new voluntary pilot program through which drug manufacturers can provide to the FDA the diagnostic test performance information used to enroll patients into clinical trials for drug approval. Based on assessment of the performance information, the FDA will publish the minimum performance characteristics recommended for similar tests that may be used to select patients for treatment with the approved drug to help laboratories identify specific biomarkers for their development of laboratory-developed tests, or LDTs, and to ensure more consistent performance of these tests for drug selection and improved cancer patient care. We will continue to evaluate the impact of these guidance documents on our companion diagnostic development and strategy. These guidance documents and future issuances from the FDA and other regulatory authorities, including changes in the FDA’s regulation of diagnostic tests and LTDs,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any of our companion diagnostic development plans or we may not be able to compete effectively upon approval, which could adversely impact our ability to generate revenue from the sale of our approved products and our business operations.</w:t>
      </w:r>
    </w:p>
    <w:p>
      <w:pPr>
        <w:spacing w:after="0" w:line="59" w:lineRule="exact"/>
        <w:rPr>
          <w:sz w:val="20"/>
          <w:szCs w:val="20"/>
          <w:color w:val="auto"/>
        </w:rPr>
      </w:pPr>
    </w:p>
    <w:p>
      <w:pPr>
        <w:ind w:right="100" w:firstLine="749"/>
        <w:spacing w:after="0" w:line="275" w:lineRule="auto"/>
        <w:rPr>
          <w:sz w:val="20"/>
          <w:szCs w:val="20"/>
          <w:color w:val="auto"/>
        </w:rPr>
      </w:pPr>
      <w:r>
        <w:rPr>
          <w:rFonts w:ascii="Arial" w:cs="Arial" w:eastAsia="Arial" w:hAnsi="Arial"/>
          <w:sz w:val="17"/>
          <w:szCs w:val="17"/>
          <w:color w:val="auto"/>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 of our product candidates may be adversely affected or we may not obtain marketing approval, and we may not realize the full commercial potential of our product candidates.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develop our programs in combination with other therapies, which exposes us to additional risks.</w:t>
      </w:r>
    </w:p>
    <w:p>
      <w:pPr>
        <w:spacing w:after="0" w:line="117"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We may develop our programs, in combination with one or more currently approved cancer therapies or therapies in development. Patients may not be able to tolerate our product candidates in combination with other therapies or dosing of our product candidates in combination with other therapies may have unexpected consequences. 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70" w:lineRule="exact"/>
        <w:rPr>
          <w:sz w:val="20"/>
          <w:szCs w:val="20"/>
          <w:color w:val="auto"/>
        </w:rPr>
      </w:pPr>
    </w:p>
    <w:p>
      <w:pPr>
        <w:ind w:right="300" w:firstLine="749"/>
        <w:spacing w:after="0" w:line="263" w:lineRule="auto"/>
        <w:rPr>
          <w:sz w:val="20"/>
          <w:szCs w:val="20"/>
          <w:color w:val="auto"/>
        </w:rPr>
      </w:pPr>
      <w:r>
        <w:rPr>
          <w:rFonts w:ascii="Arial" w:cs="Arial" w:eastAsia="Arial" w:hAnsi="Arial"/>
          <w:sz w:val="18"/>
          <w:szCs w:val="18"/>
          <w:color w:val="auto"/>
        </w:rPr>
        <w:t>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w:t>
      </w:r>
    </w:p>
    <w:p>
      <w:pPr>
        <w:spacing w:after="0" w:line="76"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If the FDA, EMA or other comparable foreign regulatory authorities do not approve or revoke their approval of these other therapies, or if safety, efficacy, commercial adoption, manufacturing or supply issues arise with the therapies we choose to evaluate in combination with our product candidates, we may be unable to obtain approval of or successfully market any one or all of the product candidates we develop.</w:t>
      </w:r>
    </w:p>
    <w:p>
      <w:pPr>
        <w:spacing w:after="0" w:line="57"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limited resources and are focusing our efforts on developing ORIC-114, ORIC-533 and ORIC-944, and advancing our preclinical programs.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a result, we may fail to capitalize on other indications or product candidates that may ultimately have proven to be more profitable.</w:t>
      </w:r>
    </w:p>
    <w:p>
      <w:pPr>
        <w:spacing w:after="0" w:line="114" w:lineRule="exact"/>
        <w:rPr>
          <w:sz w:val="20"/>
          <w:szCs w:val="20"/>
          <w:color w:val="auto"/>
        </w:rPr>
      </w:pPr>
    </w:p>
    <w:p>
      <w:pPr>
        <w:jc w:val="both"/>
        <w:ind w:right="300" w:firstLine="749"/>
        <w:spacing w:after="0" w:line="263" w:lineRule="auto"/>
        <w:rPr>
          <w:sz w:val="20"/>
          <w:szCs w:val="20"/>
          <w:color w:val="auto"/>
        </w:rPr>
      </w:pPr>
      <w:r>
        <w:rPr>
          <w:rFonts w:ascii="Arial" w:cs="Arial" w:eastAsia="Arial" w:hAnsi="Arial"/>
          <w:sz w:val="18"/>
          <w:szCs w:val="18"/>
          <w:color w:val="auto"/>
        </w:rPr>
        <w:t>We focus our resources and efforts on developing ORIC-114, ORIC-533 and ORIC-944, and advancing our preclinical programs. As a result, because we have limited resources, we may forgo or delay pursuit of opportunities for other indications or with other product candidates that may have greater commercial potential. Our resource allocation decisions may cause us to fail to</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right="100"/>
        <w:spacing w:after="0" w:line="275" w:lineRule="auto"/>
        <w:rPr>
          <w:sz w:val="20"/>
          <w:szCs w:val="20"/>
          <w:color w:val="auto"/>
        </w:rPr>
      </w:pPr>
      <w:r>
        <w:rPr>
          <w:rFonts w:ascii="Arial" w:cs="Arial" w:eastAsia="Arial" w:hAnsi="Arial"/>
          <w:sz w:val="17"/>
          <w:szCs w:val="17"/>
          <w:color w:val="auto"/>
        </w:rPr>
        <w:t>capitalize on viable commercial drugs or profitable market opportunities. Our spending on current and future research and development activities for ORIC-114, ORIC-533, ORIC-944 and other preclinical programs, may not yield any commercially viable drugs. If we do not accurately evaluate the commercial potential or target markets for ORIC-114, ORIC-533, ORIC-944 or any of our other programs, we may relinquish valuable rights to that product candidate or program through collaboration, licensing or other strategic arrangements in cases in which it would have been more advantageous for us to retain sole development and commercialization rights to such product candidate or program.</w:t>
      </w:r>
    </w:p>
    <w:p>
      <w:pPr>
        <w:spacing w:after="0" w:line="6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38"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w:t>
      </w:r>
    </w:p>
    <w:p>
      <w:pPr>
        <w:spacing w:after="0" w:line="62"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physicians use off-label to treat the indications for which we seek approval. This may make it difficult for us to replace existing therapies with our products.</w:t>
      </w:r>
    </w:p>
    <w:p>
      <w:pPr>
        <w:spacing w:after="0" w:line="84" w:lineRule="exact"/>
        <w:rPr>
          <w:sz w:val="20"/>
          <w:szCs w:val="20"/>
          <w:color w:val="auto"/>
        </w:rPr>
      </w:pPr>
    </w:p>
    <w:p>
      <w:pPr>
        <w:ind w:right="180" w:firstLine="749"/>
        <w:spacing w:after="0" w:line="273" w:lineRule="auto"/>
        <w:rPr>
          <w:sz w:val="20"/>
          <w:szCs w:val="20"/>
          <w:color w:val="auto"/>
        </w:rPr>
      </w:pPr>
      <w:r>
        <w:rPr>
          <w:rFonts w:ascii="Arial" w:cs="Arial" w:eastAsia="Arial" w:hAnsi="Arial"/>
          <w:sz w:val="17"/>
          <w:szCs w:val="17"/>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We expect to face competition from existing products and products in development for each of our programs.</w:t>
      </w:r>
    </w:p>
    <w:p>
      <w:pPr>
        <w:spacing w:after="0" w:line="70"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For ORIC-114, we are aware of two companies with an FDA-approved product for patients with EGFR exon 20 insertion mutations, including Takeda and The Janssen Pharmaceutical Companies of Johnson &amp; Johnson. We are also aware of several companies developing inhibitors against EGFR or HER2 exon 20 insertion mutations that are currently in clinical trials, including Jiangsu Hengrui Medicine Co., Daiichi Sankyo, Dizal Pharmaceuticals, Cullinan Oncology in collaboration with Taiho Pharmaceutical, Bayer, ArriVent BioPharma in collaboration with Allist Pharmaceuticals, Boehringer Ingelheim, Junshi Biosciences, Blueprint Medicines, Nalo Therapeutics, Avistone Biotechnology and Enliven Therapeutics. Additionally, Seattle Genetics has an FDA-approved product for the treatment of patients with HER2-positive breast cancer, including patients with brain metastases. We are also aware that Dizal Pharmaceuticals and Zion Pharma are developing brain penetrant inhibitors currently in clinical trials for patients with HER2-positive breast cancer.</w:t>
      </w:r>
    </w:p>
    <w:p>
      <w:pPr>
        <w:spacing w:after="0" w:line="84" w:lineRule="exact"/>
        <w:rPr>
          <w:sz w:val="20"/>
          <w:szCs w:val="20"/>
          <w:color w:val="auto"/>
        </w:rPr>
      </w:pPr>
    </w:p>
    <w:p>
      <w:pPr>
        <w:ind w:right="280" w:firstLine="749"/>
        <w:spacing w:after="0" w:line="296" w:lineRule="auto"/>
        <w:rPr>
          <w:sz w:val="20"/>
          <w:szCs w:val="20"/>
          <w:color w:val="auto"/>
        </w:rPr>
      </w:pPr>
      <w:r>
        <w:rPr>
          <w:rFonts w:ascii="Arial" w:cs="Arial" w:eastAsia="Arial" w:hAnsi="Arial"/>
          <w:sz w:val="16"/>
          <w:szCs w:val="16"/>
          <w:color w:val="auto"/>
        </w:rPr>
        <w:t>For ORIC-533, we are aware of several companies developing antibodies against this target that are in clinical trials, including AstraZeneca, Bristol-Myers Squibb, Novartis, Incyte Corporation, Corvus Pharmaceuticals, Innate Pharma, Tracon Pharmaceuticals in collaboration with I-Mab Biopharma, Akeso, Symphogen, Innovent, Henlius Biotech, Jacobio Pharmaceuticals and Phanes Therapeutics. Other companies, such as Arcus Biosciences in collaboration with Gilead Sciences and Antengene, have small-molecule programs in clinical trials against this target. To our knowledge, only Antengene has an orally available, small molecule CD73 inhibitor in an active clinical trial for patients with cancer.</w:t>
      </w:r>
    </w:p>
    <w:p>
      <w:pPr>
        <w:spacing w:after="0" w:line="53" w:lineRule="exact"/>
        <w:rPr>
          <w:sz w:val="20"/>
          <w:szCs w:val="20"/>
          <w:color w:val="auto"/>
        </w:rPr>
      </w:pPr>
    </w:p>
    <w:p>
      <w:pPr>
        <w:jc w:val="both"/>
        <w:ind w:right="160" w:firstLine="749"/>
        <w:spacing w:after="0" w:line="263" w:lineRule="auto"/>
        <w:rPr>
          <w:sz w:val="20"/>
          <w:szCs w:val="20"/>
          <w:color w:val="auto"/>
        </w:rPr>
      </w:pPr>
      <w:r>
        <w:rPr>
          <w:rFonts w:ascii="Arial" w:cs="Arial" w:eastAsia="Arial" w:hAnsi="Arial"/>
          <w:sz w:val="18"/>
          <w:szCs w:val="18"/>
          <w:color w:val="auto"/>
        </w:rPr>
        <w:t>For ORIC-944, we are aware of several companies developing inhibitors against PRC2 via EZH2 inhibition that are currently in clinical trials, including Ipsen, Morphosys, Daiichi Sankyo, Pfizer, Shanghai HaiHe Pharmaceutical and Jiangsu Hengrui Medicine Co. To our knowledge, Novartis and Ascentage Pharma have allosteric PRC2 inhibitors in clinical trials for patients with cancer.</w:t>
      </w:r>
    </w:p>
    <w:p>
      <w:pPr>
        <w:spacing w:after="0" w:line="76" w:lineRule="exact"/>
        <w:rPr>
          <w:sz w:val="20"/>
          <w:szCs w:val="20"/>
          <w:color w:val="auto"/>
        </w:rPr>
      </w:pPr>
    </w:p>
    <w:p>
      <w:pPr>
        <w:ind w:right="80" w:firstLine="749"/>
        <w:spacing w:after="0" w:line="269" w:lineRule="auto"/>
        <w:rPr>
          <w:sz w:val="20"/>
          <w:szCs w:val="20"/>
          <w:color w:val="auto"/>
        </w:rPr>
      </w:pPr>
      <w:r>
        <w:rPr>
          <w:rFonts w:ascii="Arial" w:cs="Arial" w:eastAsia="Arial" w:hAnsi="Arial"/>
          <w:sz w:val="17"/>
          <w:szCs w:val="17"/>
          <w:color w:val="auto"/>
        </w:rPr>
        <w:t>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 In addition, we may face increasing competition from companies utilizing artificial intelligence, or AI, and other computational approaches for drug discovery or other processes. Some of these competitors are involved in drug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right="140"/>
        <w:spacing w:after="0" w:line="311" w:lineRule="auto"/>
        <w:rPr>
          <w:sz w:val="20"/>
          <w:szCs w:val="20"/>
          <w:color w:val="auto"/>
        </w:rPr>
      </w:pPr>
      <w:r>
        <w:rPr>
          <w:rFonts w:ascii="Arial" w:cs="Arial" w:eastAsia="Arial" w:hAnsi="Arial"/>
          <w:sz w:val="16"/>
          <w:szCs w:val="16"/>
          <w:color w:val="auto"/>
        </w:rPr>
        <w:t>discovery themselves and/or with partners, and others develop software or other tools utilizing AI which can be used, directly or indirectly, in drug discovery. To the extent these or other AI uses prove to be successful, or more successful than our approaches, the development of our product candidates could be adversely affected, reduce the demand for us as a collaborator in drug discovery or negatively impact our operations in other ways.</w:t>
      </w:r>
    </w:p>
    <w:p>
      <w:pPr>
        <w:spacing w:after="0" w:line="41"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or supply chain. If any of our third-party manufacturers encounter such difficulties, our ability to provide adequate supply of our product candidates for clinical trials or our products for patients, if approved, could be delayed or prevented.</w:t>
      </w:r>
    </w:p>
    <w:p>
      <w:pPr>
        <w:spacing w:after="0" w:line="76" w:lineRule="exact"/>
        <w:rPr>
          <w:sz w:val="20"/>
          <w:szCs w:val="20"/>
          <w:color w:val="auto"/>
        </w:rPr>
      </w:pPr>
    </w:p>
    <w:p>
      <w:pPr>
        <w:ind w:right="20" w:firstLine="749"/>
        <w:spacing w:after="0" w:line="268" w:lineRule="auto"/>
        <w:rPr>
          <w:sz w:val="20"/>
          <w:szCs w:val="20"/>
          <w:color w:val="auto"/>
        </w:rPr>
      </w:pPr>
      <w:r>
        <w:rPr>
          <w:rFonts w:ascii="Arial" w:cs="Arial" w:eastAsia="Arial" w:hAnsi="Arial"/>
          <w:sz w:val="17"/>
          <w:szCs w:val="17"/>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Additionally, we may experience supply chain disruptions or slowdowns, including related manufacturing, logistics, labor supply or other factors related to the supply chains of products and materials that we use. If our third-party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ind w:right="160" w:firstLine="749"/>
        <w:spacing w:after="0" w:line="254"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third-party payors and others in the medical community. The degree of market acceptance of any of our approved product candidates will depend on a number of factors, including:</w:t>
      </w:r>
    </w:p>
    <w:p>
      <w:pPr>
        <w:spacing w:after="0" w:line="76" w:lineRule="exact"/>
        <w:rPr>
          <w:sz w:val="20"/>
          <w:szCs w:val="20"/>
          <w:color w:val="auto"/>
        </w:rPr>
      </w:pPr>
    </w:p>
    <w:p>
      <w:pPr>
        <w:ind w:left="1260" w:hanging="503"/>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17" w:lineRule="exact"/>
        <w:rPr>
          <w:rFonts w:ascii="Arial" w:cs="Arial" w:eastAsia="Arial" w:hAnsi="Arial"/>
          <w:sz w:val="18"/>
          <w:szCs w:val="18"/>
          <w:color w:val="auto"/>
        </w:rPr>
      </w:pPr>
    </w:p>
    <w:p>
      <w:pPr>
        <w:ind w:left="1260" w:right="100" w:hanging="503"/>
        <w:spacing w:after="0" w:line="263"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6" w:name="page37"/>
    <w:bookmarkEnd w:id="36"/>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an approved product candidate for use as a combination therapy;</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260" w:right="380" w:hanging="503"/>
        <w:spacing w:after="0" w:line="277" w:lineRule="auto"/>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undergo required diagnostic screening to determine treatment eligibility and of physicians to prescribe these therapies and diagnostic tests;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17" w:lineRule="exact"/>
        <w:rPr>
          <w:sz w:val="20"/>
          <w:szCs w:val="20"/>
          <w:color w:val="auto"/>
        </w:rPr>
      </w:pPr>
    </w:p>
    <w:p>
      <w:pPr>
        <w:ind w:right="100" w:firstLine="749"/>
        <w:spacing w:after="0" w:line="342" w:lineRule="auto"/>
        <w:rPr>
          <w:sz w:val="20"/>
          <w:szCs w:val="20"/>
          <w:color w:val="auto"/>
        </w:rPr>
      </w:pPr>
      <w:r>
        <w:rPr>
          <w:rFonts w:ascii="Arial" w:cs="Arial" w:eastAsia="Arial" w:hAnsi="Arial"/>
          <w:sz w:val="16"/>
          <w:szCs w:val="16"/>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opportunities for our product candidates we develop, if approved, may be limited to certain smaller patient subsets.</w:t>
      </w:r>
    </w:p>
    <w:p>
      <w:pPr>
        <w:spacing w:after="0" w:line="117"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Cancer therapies are sometimes characterized as first-line, second-line or third-line, and the FDA often approves new therapies initially only for a particular line of use. When cancer is detected early enough, first-line therapy, such as chemotherapy, hormone therapy, surgery, radiation therapy or a combination of these, is sometimes adequate to cure the cancer or prolong life without a cure. Second- and third-line therapies are administered to patients when prior therapy is not effective. There is no guarantee that product candidates we develop, even if approved, would be approved for first-line therapy, and, prior to any such approvals, we may have to conduct additional clinical trials that may be costly, time-consuming and subject to risk.</w:t>
      </w:r>
    </w:p>
    <w:p>
      <w:pPr>
        <w:spacing w:after="0" w:line="53"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The number of patients who have the cancers we are targeting may turn out to be lower than expected. Additionally, the potentially addressable patient population for the product candidates we develop may be limited or may not be amenable to treatment with our product candidates. Regulatory approval may limit the market of a product candidate to target patient populations when biomarker-driven identification and/or highly specific criteria related to the stage of disease progression are utilized.</w:t>
      </w:r>
    </w:p>
    <w:p>
      <w:pPr>
        <w:spacing w:after="0" w:line="79" w:lineRule="exact"/>
        <w:rPr>
          <w:sz w:val="20"/>
          <w:szCs w:val="20"/>
          <w:color w:val="auto"/>
        </w:rPr>
      </w:pPr>
    </w:p>
    <w:p>
      <w:pPr>
        <w:ind w:right="700" w:firstLine="749"/>
        <w:spacing w:after="0" w:line="277" w:lineRule="auto"/>
        <w:rPr>
          <w:sz w:val="20"/>
          <w:szCs w:val="20"/>
          <w:color w:val="auto"/>
        </w:rPr>
      </w:pPr>
      <w:r>
        <w:rPr>
          <w:rFonts w:ascii="Arial" w:cs="Arial" w:eastAsia="Arial" w:hAnsi="Arial"/>
          <w:sz w:val="18"/>
          <w:szCs w:val="18"/>
          <w:color w:val="auto"/>
        </w:rPr>
        <w:t>Even if we obtain significant market share for any approved product, if the potential target populations are small, we may never achieve profitability without obtaining marketing approval for additional indications.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augmenting our product pipeline through acquisitions and in-licenses.</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7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62"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firstLine="749"/>
        <w:spacing w:after="0" w:line="254"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4"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84"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80" w:lineRule="exact"/>
        <w:rPr>
          <w:sz w:val="20"/>
          <w:szCs w:val="20"/>
          <w:color w:val="auto"/>
        </w:rPr>
      </w:pPr>
    </w:p>
    <w:p>
      <w:pPr>
        <w:ind w:right="40" w:firstLine="749"/>
        <w:spacing w:after="0" w:line="288"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60"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62" w:lineRule="exact"/>
        <w:rPr>
          <w:sz w:val="20"/>
          <w:szCs w:val="20"/>
          <w:color w:val="auto"/>
        </w:rPr>
      </w:pPr>
    </w:p>
    <w:p>
      <w:pPr>
        <w:ind w:right="140" w:firstLine="749"/>
        <w:spacing w:after="0" w:line="287"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20"/>
        <w:spacing w:after="0" w:line="277" w:lineRule="auto"/>
        <w:rPr>
          <w:sz w:val="20"/>
          <w:szCs w:val="20"/>
          <w:color w:val="auto"/>
        </w:rPr>
      </w:pPr>
      <w:r>
        <w:rPr>
          <w:rFonts w:ascii="Arial" w:cs="Arial" w:eastAsia="Arial" w:hAnsi="Arial"/>
          <w:sz w:val="18"/>
          <w:szCs w:val="18"/>
          <w:b w:val="1"/>
          <w:bCs w:val="1"/>
          <w:i w:val="1"/>
          <w:iCs w:val="1"/>
          <w:color w:val="auto"/>
        </w:rPr>
        <w:t>Information obtained from expanded access studies may not reliably predict the efficacy of our product candidates in our clinical trials and may lead to adverse events that could materially harm our business.</w:t>
      </w:r>
    </w:p>
    <w:p>
      <w:pPr>
        <w:spacing w:after="0" w:line="62"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Expanded access studies that we may support are likely to be uncontrolled, carried out by individual investigators and not conducted in strict compliance with GCPs, all of which can lead to a treatment effect which may differ from that in our clinical trials. These studies provide only anecdotal evidence of efficacy for regulatory review. Patient data from these studies are not designed to be aggregated or reported as study results and may be highly variable.</w:t>
      </w:r>
    </w:p>
    <w:p>
      <w:pPr>
        <w:spacing w:after="0" w:line="79"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Expanded access studies provide supportive safety information for regulatory review. Physicians conducting these studies may use our product candidates in a manner inconsistent with the protocol, including in children and in individuals with conditions beyond those being studied in our clinical trials. In addition, patients who receive access to unapproved drugs through expanded access studies have life-threatening illnesses and generally have exhausted all other available therapies. The risk for serious adverse events in this patient population is high and may be attributed to our product candidates. This could have a negative impact on the safety profile of our product candidates, which could cause significant delays or an inability to successfully commercialize our product candidates and could materially harm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obtain U.S. or foreign regulatory approval and, as a result, may be unable to commercialize our product candidates.</w:t>
      </w:r>
    </w:p>
    <w:p>
      <w:pPr>
        <w:spacing w:after="0" w:line="129"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56"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87"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70" w:lineRule="exact"/>
        <w:rPr>
          <w:sz w:val="20"/>
          <w:szCs w:val="20"/>
          <w:color w:val="auto"/>
        </w:rPr>
      </w:pPr>
    </w:p>
    <w:p>
      <w:pPr>
        <w:jc w:val="both"/>
        <w:ind w:right="20" w:firstLine="749"/>
        <w:spacing w:after="0" w:line="279"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6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color w:val="auto"/>
        </w:rPr>
        <w:t>We have conducted and still conduct clinical trials in the United States. We may choose to conduct additional clinical trials internationally, including a Phase 1b trial for ORIC-114 in South Korea and Australia.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right="300"/>
        <w:spacing w:after="0" w:line="277" w:lineRule="auto"/>
        <w:rPr>
          <w:sz w:val="20"/>
          <w:szCs w:val="20"/>
          <w:color w:val="auto"/>
        </w:rPr>
      </w:pPr>
      <w:r>
        <w:rPr>
          <w:rFonts w:ascii="Arial" w:cs="Arial" w:eastAsia="Arial" w:hAnsi="Arial"/>
          <w:sz w:val="18"/>
          <w:szCs w:val="18"/>
          <w:color w:val="auto"/>
        </w:rPr>
        <w:t>additional trials, which would be costly and time-consuming and delay aspects of our business plan, and which may result in our product candidates not receiving approval or clearance for commercialization in the applicable jurisdiction.</w:t>
      </w:r>
    </w:p>
    <w:p>
      <w:pPr>
        <w:spacing w:after="0" w:line="62"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Brexit and uncertainty in the regulatory framework as well as future legislation in the United Kingdom (UK), EU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 and/or the UK and increase our costs. We cannot predict the impact of such changes and future regulation on our business or the results of our operations.</w:t>
      </w:r>
    </w:p>
    <w:p>
      <w:pPr>
        <w:spacing w:after="0" w:line="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57" w:lineRule="exact"/>
        <w:rPr>
          <w:sz w:val="20"/>
          <w:szCs w:val="20"/>
          <w:color w:val="auto"/>
        </w:rPr>
      </w:pPr>
    </w:p>
    <w:p>
      <w:pPr>
        <w:ind w:right="300" w:firstLine="749"/>
        <w:spacing w:after="0" w:line="279" w:lineRule="auto"/>
        <w:rPr>
          <w:sz w:val="20"/>
          <w:szCs w:val="20"/>
          <w:color w:val="auto"/>
        </w:rPr>
      </w:pPr>
      <w:r>
        <w:rPr>
          <w:rFonts w:ascii="Arial" w:cs="Arial" w:eastAsia="Arial" w:hAnsi="Arial"/>
          <w:sz w:val="17"/>
          <w:szCs w:val="17"/>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152"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59" w:lineRule="exact"/>
        <w:rPr>
          <w:sz w:val="20"/>
          <w:szCs w:val="20"/>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79" w:lineRule="exact"/>
        <w:rPr>
          <w:sz w:val="20"/>
          <w:szCs w:val="20"/>
          <w:color w:val="auto"/>
        </w:rPr>
      </w:pPr>
    </w:p>
    <w:p>
      <w:pPr>
        <w:ind w:right="540" w:firstLine="749"/>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if approved, and generate revenue.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ORIC-533 as a treatment for multiple myeloma, physicians may nevertheless use our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7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If we are required by the FDA to obtain approval of a companion diagnostic test in connection with approval of any of our product candidates or a group of therapeutic products, and we do not obtain or we face delays in obtaining FDA approval of a diagnostic test, we will not be able to commercialize the product candidate and our ability to generate revenue will be materially impaired.</w:t>
      </w:r>
    </w:p>
    <w:p>
      <w:pPr>
        <w:spacing w:after="0" w:line="57" w:lineRule="exact"/>
        <w:rPr>
          <w:sz w:val="20"/>
          <w:szCs w:val="20"/>
          <w:color w:val="auto"/>
        </w:rPr>
      </w:pPr>
    </w:p>
    <w:p>
      <w:pPr>
        <w:ind w:right="100" w:firstLine="749"/>
        <w:spacing w:after="0" w:line="269" w:lineRule="auto"/>
        <w:rPr>
          <w:sz w:val="20"/>
          <w:szCs w:val="20"/>
          <w:color w:val="auto"/>
        </w:rPr>
      </w:pPr>
      <w:r>
        <w:rPr>
          <w:rFonts w:ascii="Arial" w:cs="Arial" w:eastAsia="Arial" w:hAnsi="Arial"/>
          <w:sz w:val="17"/>
          <w:szCs w:val="17"/>
          <w:color w:val="auto"/>
        </w:rPr>
        <w:t>In connection with the development of our potential product candidates,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our product candidates. To be successful in developing and commercializing product candidates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74"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of our product candidates, whether before or concurrently with approval of the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right="20"/>
        <w:spacing w:after="0" w:line="285" w:lineRule="auto"/>
        <w:rPr>
          <w:sz w:val="20"/>
          <w:szCs w:val="20"/>
          <w:color w:val="auto"/>
        </w:rPr>
      </w:pPr>
      <w:r>
        <w:rPr>
          <w:rFonts w:ascii="Arial" w:cs="Arial" w:eastAsia="Arial" w:hAnsi="Arial"/>
          <w:sz w:val="16"/>
          <w:szCs w:val="16"/>
          <w:color w:val="auto"/>
        </w:rPr>
        <w:t>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 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27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We may seek Fast Track designation from the FDA for one or more of our product candidates. Even if one or more of our product candidates receive Fast Track designation, we may be unable to obtain or maintain the benefits associated with the Fast Track designation.</w:t>
      </w:r>
    </w:p>
    <w:p>
      <w:pPr>
        <w:spacing w:after="0" w:line="16"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w:t>
      </w:r>
    </w:p>
    <w:p>
      <w:pPr>
        <w:spacing w:after="0" w:line="6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16"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Regulatory authorities in some jurisdictions, including the United States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70"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10 years in Europe. The European exclusivity period can be reduced to six years if a drug no longer meets the criteria for orphan drug designation or if the drug is sufficiently profitable so that market exclusivity is no longer justified.</w:t>
      </w:r>
    </w:p>
    <w:p>
      <w:pPr>
        <w:spacing w:after="0" w:line="56"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20"/>
        <w:spacing w:after="0" w:line="254" w:lineRule="auto"/>
        <w:rPr>
          <w:sz w:val="20"/>
          <w:szCs w:val="20"/>
          <w:color w:val="auto"/>
        </w:rPr>
      </w:pPr>
      <w:r>
        <w:rPr>
          <w:rFonts w:ascii="Arial" w:cs="Arial" w:eastAsia="Arial" w:hAnsi="Arial"/>
          <w:sz w:val="18"/>
          <w:szCs w:val="18"/>
          <w:color w:val="auto"/>
        </w:rPr>
        <w:t>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8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i w:val="1"/>
          <w:iCs w:val="1"/>
          <w:color w:val="auto"/>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8" w:lineRule="exact"/>
        <w:rPr>
          <w:sz w:val="20"/>
          <w:szCs w:val="20"/>
          <w:color w:val="auto"/>
        </w:rPr>
      </w:pPr>
    </w:p>
    <w:p>
      <w:pPr>
        <w:ind w:right="40" w:firstLine="749"/>
        <w:spacing w:after="0" w:line="253" w:lineRule="auto"/>
        <w:rPr>
          <w:sz w:val="20"/>
          <w:szCs w:val="20"/>
          <w:color w:val="auto"/>
        </w:rPr>
      </w:pPr>
      <w:r>
        <w:rPr>
          <w:rFonts w:ascii="Arial" w:cs="Arial" w:eastAsia="Arial" w:hAnsi="Arial"/>
          <w:sz w:val="18"/>
          <w:szCs w:val="18"/>
          <w:color w:val="auto"/>
        </w:rPr>
        <w:t>Where possible, we plan to pursue accelerated development strategies in areas of high unmet need. We may seek an accelerated approval pathway for one or more of our product candidates.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88"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color w:val="auto"/>
        </w:rPr>
        <w:t>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88" w:lineRule="exact"/>
        <w:rPr>
          <w:sz w:val="20"/>
          <w:szCs w:val="20"/>
          <w:color w:val="auto"/>
        </w:rPr>
      </w:pPr>
    </w:p>
    <w:p>
      <w:pPr>
        <w:ind w:right="60" w:firstLine="749"/>
        <w:spacing w:after="0" w:line="288" w:lineRule="auto"/>
        <w:rPr>
          <w:sz w:val="20"/>
          <w:szCs w:val="20"/>
          <w:color w:val="auto"/>
        </w:rPr>
      </w:pPr>
      <w:r>
        <w:rPr>
          <w:rFonts w:ascii="Arial" w:cs="Arial" w:eastAsia="Arial" w:hAnsi="Arial"/>
          <w:sz w:val="16"/>
          <w:szCs w:val="16"/>
          <w:color w:val="auto"/>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117"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0" w:lineRule="exact"/>
        <w:rPr>
          <w:sz w:val="20"/>
          <w:szCs w:val="20"/>
          <w:color w:val="auto"/>
        </w:rPr>
      </w:pPr>
    </w:p>
    <w:p>
      <w:pPr>
        <w:ind w:right="260" w:firstLine="749"/>
        <w:spacing w:after="0" w:line="263" w:lineRule="auto"/>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260"/>
        <w:spacing w:after="0" w:line="275" w:lineRule="auto"/>
        <w:rPr>
          <w:sz w:val="20"/>
          <w:szCs w:val="20"/>
          <w:color w:val="auto"/>
        </w:rPr>
      </w:pPr>
      <w:r>
        <w:rPr>
          <w:rFonts w:ascii="Arial" w:cs="Arial" w:eastAsia="Arial" w:hAnsi="Arial"/>
          <w:sz w:val="17"/>
          <w:szCs w:val="17"/>
          <w:color w:val="auto"/>
        </w:rPr>
        <w:t>enactment, there have been legislative and judicial efforts to repeal, replace, or change some or all of the ACA. In June 2021, the United States Supreme Court held that Texas and other challengers had no legal standing to challenge the ACA, dismissing the case without specifically ruling on the constitutionality of the ACA. It is unclear how future litigation and healthcare measures promulgated by the Biden administration will impact the implementation of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68"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included aggregate reductions to Medicare payments to providers of up to 2% per fiscal year, effective April 1, 2013, which will stay in effect through 2031, with the exception of a temporary suspension implemented under various COVID-19 relief legislation from May 1, 2020 through March 31, 2022. The Consolidated Appropriations Act, 2023, extends the 2% Medicare sequester for the first six months of FY 2032 and revises the sequester percentage up to 2% for FY 2030 and 2031.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70" w:lineRule="exact"/>
        <w:rPr>
          <w:sz w:val="20"/>
          <w:szCs w:val="20"/>
          <w:color w:val="auto"/>
        </w:rPr>
      </w:pPr>
    </w:p>
    <w:p>
      <w:pPr>
        <w:ind w:firstLine="749"/>
        <w:spacing w:after="0" w:line="284" w:lineRule="auto"/>
        <w:rPr>
          <w:sz w:val="20"/>
          <w:szCs w:val="20"/>
          <w:color w:val="auto"/>
        </w:rPr>
      </w:pPr>
      <w:r>
        <w:rPr>
          <w:rFonts w:ascii="Arial" w:cs="Arial" w:eastAsia="Arial" w:hAnsi="Arial"/>
          <w:sz w:val="16"/>
          <w:szCs w:val="16"/>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the IRA are unconstitutional. The impact of these judicial challenges as well as future legislative, executive, and administrative actions and agency rules implemented by the government on us and the pharmaceutical industry as a whole is unclear. Further, uncertainties created by the IRA, including its long-term impact on drug pricing, may negatively impact investments, company valuation, mergers, and acquisitions in the industry. Further, the Biden administration released an additional executive order in October 2022, directing the HHS to submit a report on how the Center for Medicare and Medicaid Innovation can be further leveraged to test new models for lowering drug costs for Medicare and Medicaid beneficiaries.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and expose us to greater liability.</w:t>
      </w:r>
    </w:p>
    <w:p>
      <w:pPr>
        <w:spacing w:after="0" w:line="70"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57"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ind w:right="80" w:firstLine="749"/>
        <w:spacing w:after="0" w:line="301"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49"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Additionally, the collection and use of health data in the EU is governed by the General Data Protection Regulation (GDPR), which extends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geographical scope of EU data protection law to non-EU entities under certain conditions and imposes substantial obligations upon companies and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for individuals. Failure to comply with the GDPR and the applicable national data protection laws of EU Member States may result in fines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€20,000,000 or up to 4% of the total worldwide annual turnover of the preceding financial year, whichever is higher, and other administrative penalties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liabilities. The GDPR has increased our responsibility and liability in relation to personal data that we may process, and we may be required to put in place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mechanisms in an effort to comply with the GDPR or other laws and regulations relating to privacy, data protection and cybersecurity. This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onerous and if our efforts to comply with GDPR or other applicable laws and regulations are not successful, it could adversely affect our business.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Further, the European Court of Justice (ECJ) in 2020 invalidated the EU-U.S. Privacy Shield and imposed additional requirements for companies making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 of standard contractual clauses issued by the European Commission (SCCs), including requirements to make use of updated SCCs. The UK also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updated standard contractual clauses that also are required to be implemented. The ECJ’s decision and other events with respect to cross-border data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transfer may impose additional obligations with respect to the transfer of personal data from the European Economic Area, the UK and Switzerland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and may require us to modify our policies and practices and engage in additional contractual negotiations, each of which could increase our costs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obligations and impose limitations upon our ability to efficiently transfer personal data from those regions to the U.S.</w:t>
      </w:r>
    </w:p>
    <w:p>
      <w:pPr>
        <w:spacing w:after="0" w:line="103"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Further, the UK has implemented legislation that implements and complements the GDPR, with penalties for noncompliance of up to the greater of £17.5 million or four percent of worldwide revenues. Aspects of data protection regulation in the UK, however, including with respect to cross-border data transfers, remain unclear in the medium to longer term following the exit of the UK from the EU. We may be required to incur significant costs and expenses in an effort to comply with distinct privacy and data protection requirements in the EU and UK. More generally, we may incur liabilities, expenses, costs, and other operational losses under the GDPR and the privacy and data protection laws of applicable EU Member States and the UK in connection with any measures we take to comply with them.</w:t>
      </w:r>
    </w:p>
    <w:p>
      <w:pPr>
        <w:spacing w:after="0" w:line="84" w:lineRule="exact"/>
        <w:rPr>
          <w:sz w:val="20"/>
          <w:szCs w:val="20"/>
          <w:color w:val="auto"/>
        </w:rPr>
      </w:pPr>
    </w:p>
    <w:p>
      <w:pPr>
        <w:ind w:right="20" w:firstLine="749"/>
        <w:spacing w:after="0" w:line="285" w:lineRule="auto"/>
        <w:rPr>
          <w:sz w:val="20"/>
          <w:szCs w:val="20"/>
          <w:color w:val="auto"/>
        </w:rPr>
      </w:pPr>
      <w:r>
        <w:rPr>
          <w:rFonts w:ascii="Arial" w:cs="Arial" w:eastAsia="Arial" w:hAnsi="Arial"/>
          <w:sz w:val="16"/>
          <w:szCs w:val="16"/>
          <w:color w:val="auto"/>
        </w:rPr>
        <w:t>Finally, state and foreign laws may apply generally to the privacy and security of information we maintain, and may differ from each other in significant ways, thus complicating compliance efforts. For example, the California Consumer Privacy Act of 2018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may increase our compliance costs and potential liability with respect to other personal information we collect about California residents. Additionally, the California Privacy Rights Act (CPRA) was approved by California voters in November 2020, and it became operative in most respects on January 1, 2023. The CPRA significantly modified the CCPA, which may require us to modify our practices and policies and may further increase our compliance costs and potential liability. Numerous other states’ legislatures are considering or have enacted similar laws that will require ongoing compliance efforts and investment, and which may increase our potential liability and adversely affect our business. For example, Connecticut, Virginia, and Colorado have enacted legislation similar to the CCPA and CPRA that has taken effect in 2023; Utah has enacted such legislation that will take effect on December 31, 2023; Florida, Montana, and Texas have enacted similar legislation that becomes effective in 2024; Tennessee and Iowa have enacted similar legislation that will take effect in 2025; and Indiana has enacted similar legislation that will become effective in 2026. Complying with emerging and changing legal and regulatory requirements relating to privacy, data protection and other matters may cause us to incur costs or require us to change our business practices, which could harm our business, financial condition, and results of operations and prospects.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5" w:name="page46"/>
    <w:bookmarkEnd w:id="45"/>
    <w:p>
      <w:pPr>
        <w:ind w:right="32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100" w:firstLine="749"/>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49"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public health emergency, the FDA temporarily postponed inspections of foreign manufacturing facilities and routine surveillance inspections of domestic manufacturing facilities. While the FDA has largely caught up with domestic preapproval inspections, it continues to work through its backlog of foreign inspections. If a prolonged government shutdown or other disruption occurs, including due to travel restrictions, foreign COVID-19-related policies, staffing shortages or public health reasons,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0" w:lineRule="exact"/>
        <w:rPr>
          <w:sz w:val="20"/>
          <w:szCs w:val="20"/>
          <w:color w:val="auto"/>
        </w:rPr>
      </w:pPr>
    </w:p>
    <w:p>
      <w:pPr>
        <w:ind w:right="120" w:firstLine="749"/>
        <w:spacing w:after="0" w:line="275"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68" w:lineRule="exact"/>
        <w:rPr>
          <w:sz w:val="20"/>
          <w:szCs w:val="20"/>
          <w:color w:val="auto"/>
        </w:rPr>
      </w:pPr>
    </w:p>
    <w:p>
      <w:pPr>
        <w:ind w:left="1260" w:right="180" w:hanging="503"/>
        <w:spacing w:after="0" w:line="259"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(AKS)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1260" w:right="120" w:hanging="503"/>
        <w:spacing w:after="0" w:line="259"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(FCA),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260" w:right="60" w:hanging="503"/>
        <w:spacing w:after="0" w:line="277"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HIPAA, prohibits, among other things, executing or attempting to execute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1260" w:right="380" w:hanging="503"/>
        <w:spacing w:after="0" w:line="301" w:lineRule="auto"/>
        <w:tabs>
          <w:tab w:leader="none" w:pos="1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with respect to safeguarding the privacy, security and transmission of individually identifiable health information;</w:t>
      </w:r>
    </w:p>
    <w:p>
      <w:pPr>
        <w:spacing w:after="0" w:line="49" w:lineRule="exact"/>
        <w:rPr>
          <w:rFonts w:ascii="Arial" w:cs="Arial" w:eastAsia="Arial" w:hAnsi="Arial"/>
          <w:sz w:val="16"/>
          <w:szCs w:val="16"/>
          <w:color w:val="auto"/>
        </w:rPr>
      </w:pPr>
    </w:p>
    <w:p>
      <w:pPr>
        <w:ind w:left="1260" w:right="60" w:hanging="503"/>
        <w:spacing w:after="0" w:line="255"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covered recipients, including physicians (defined to include doctors, dentists, optometrists, podiatrists and chiropractors), certain non-physician healthcare providers (such as physician assistants and nurse practitioners), and teaching hospitals, as well as information regarding ownership and investment interests held by physicians and their immediate family members;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left="1260" w:hanging="503"/>
        <w:spacing w:after="0" w:line="271" w:lineRule="auto"/>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70"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7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38"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7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other U.S. healthcare laws and compliance requirements, we could become subject to fines or penalties or incur costs that could have a material adverse effect on our business.</w:t>
      </w:r>
    </w:p>
    <w:p>
      <w:pPr>
        <w:spacing w:after="0" w:line="62" w:lineRule="exact"/>
        <w:rPr>
          <w:sz w:val="20"/>
          <w:szCs w:val="20"/>
          <w:color w:val="auto"/>
        </w:rPr>
      </w:pPr>
    </w:p>
    <w:p>
      <w:pPr>
        <w:ind w:right="160" w:firstLine="749"/>
        <w:spacing w:after="0" w:line="254" w:lineRule="auto"/>
        <w:rPr>
          <w:sz w:val="20"/>
          <w:szCs w:val="20"/>
          <w:color w:val="auto"/>
        </w:rPr>
      </w:pPr>
      <w:r>
        <w:rPr>
          <w:rFonts w:ascii="Arial" w:cs="Arial" w:eastAsia="Arial" w:hAnsi="Arial"/>
          <w:sz w:val="18"/>
          <w:szCs w:val="18"/>
          <w:color w:val="auto"/>
        </w:rPr>
        <w:t>In the United States, our current and future activities with investigators, healthcare professionals, consultants, third-party payors, patient organizations and customers are subject to regulation by various federal, state and local authorities in addition to the FDA, which may include but are not limited to, CMS, other divisions of the U.S. Department of Health and Human Services (e.g., the Office of Inspector General), the U.S. Department of Justice (DOJ) and individual U.S. Attorney offices within the DOJ, and state and local governments. For example, our business practices, including our clinical research, sales, marketing and scientific/educational grant programs may be required to comply with the anti-fraud and abuse provisions of the Social Security Act, the false claims laws, the patient data privacy and security provisions of HIPAA transparency requirements, and similar state laws, each as amended, as applicable.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7" w:name="page48"/>
    <w:bookmarkEnd w:id="47"/>
    <w:p>
      <w:pPr>
        <w:ind w:right="20" w:firstLine="749"/>
        <w:spacing w:after="0" w:line="269" w:lineRule="auto"/>
        <w:rPr>
          <w:sz w:val="20"/>
          <w:szCs w:val="20"/>
          <w:color w:val="auto"/>
        </w:rPr>
      </w:pPr>
      <w:r>
        <w:rPr>
          <w:rFonts w:ascii="Arial" w:cs="Arial" w:eastAsia="Arial" w:hAnsi="Arial"/>
          <w:sz w:val="17"/>
          <w:szCs w:val="17"/>
          <w:color w:val="auto"/>
        </w:rPr>
        <w:t>The federal AKS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good, item, facility or service reimbursable, in whole or part, under Medicare, Medicaid or other federal healthcare programs. The term “remuneration” has been interpreted broadly to include anything of value. The federal AKS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74" w:lineRule="exact"/>
        <w:rPr>
          <w:sz w:val="20"/>
          <w:szCs w:val="20"/>
          <w:color w:val="auto"/>
        </w:rPr>
      </w:pPr>
    </w:p>
    <w:p>
      <w:pPr>
        <w:ind w:right="320" w:firstLine="749"/>
        <w:spacing w:after="0" w:line="301" w:lineRule="auto"/>
        <w:rPr>
          <w:sz w:val="20"/>
          <w:szCs w:val="20"/>
          <w:color w:val="auto"/>
        </w:rPr>
      </w:pPr>
      <w:r>
        <w:rPr>
          <w:rFonts w:ascii="Arial" w:cs="Arial" w:eastAsia="Arial" w:hAnsi="Arial"/>
          <w:sz w:val="16"/>
          <w:szCs w:val="16"/>
          <w:color w:val="auto"/>
        </w:rPr>
        <w:t>Additionally, the intent standard under the federal AKS was amended by the ACA, to a stricter standard such that a person or entity no longer needs to have actual knowledge of the federal AKS or specific intent to violate it in order to have committed a violation. Rather, if “one purpose” of the remuneration is to induce referrals, the federal AKS is implicated. In addition, the ACA codified case law that a claim that includes items or services resulting from a violation of the federal AKS constitutes a false or fraudulent claim for purposes of the federal civil FCA (discussed below).</w:t>
      </w:r>
    </w:p>
    <w:p>
      <w:pPr>
        <w:spacing w:after="0" w:line="49" w:lineRule="exact"/>
        <w:rPr>
          <w:sz w:val="20"/>
          <w:szCs w:val="20"/>
          <w:color w:val="auto"/>
        </w:rPr>
      </w:pPr>
    </w:p>
    <w:p>
      <w:pPr>
        <w:jc w:val="both"/>
        <w:ind w:right="160" w:firstLine="749"/>
        <w:spacing w:after="0" w:line="263"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to a federal healthcare program that the person knows or should know is for a medical or other item or service that was not provided as claimed or is false or fraudulent.</w:t>
      </w:r>
    </w:p>
    <w:p>
      <w:pPr>
        <w:spacing w:after="0" w:line="76"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The federal civil FCA prohibits, among other things, any person or entity from knowingly presenting, or causing to be presented, a false claim for payment to, or approval by, the federal government,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As a result of a modification made by the Fraud Enforcement and Recovery Act of 2009, a claim includes “any request or demand” for money or property presented to the U.S. government. Pharmaceutical and other healthcare companies are being investigated or, in the past,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70"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HIPAA imposes criminal and civil liability for,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Like the AKS,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56"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Analogous U.S. state laws and regulations, including state anti-kickback and false claims laws, may apply to claims involving healthcare items or services reimbursed by any third-party payor, including private insurers our business practices.</w:t>
      </w:r>
    </w:p>
    <w:p>
      <w:pPr>
        <w:spacing w:after="0" w:line="62"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HIPAA, as amended by HITECH, and their implementing regulations, imposes requirements on certain types of individuals and entities relating to the privacy, security and transmission of individually identifiable health information. Among other things, HITECH makes HIPAA’s privacy and security standards directly applicable to business associates that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56"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covered recipients, including physicians (defined to include doctors, dentists, optometrists, podiatrists and chiropractors), certain non-physician healthcare providers (such as physician assistants and nurse practitioners) and teaching hospitals, or to entities or individuals at the request of, or designated on behalf of, such covered recipients, and to report annually certain ownership and investment interests held by physicians and their immediate family members.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right="140" w:firstLine="749"/>
        <w:spacing w:after="0" w:line="275" w:lineRule="auto"/>
        <w:rPr>
          <w:sz w:val="20"/>
          <w:szCs w:val="20"/>
          <w:color w:val="auto"/>
        </w:rPr>
      </w:pPr>
      <w:r>
        <w:rPr>
          <w:rFonts w:ascii="Arial" w:cs="Arial" w:eastAsia="Arial" w:hAnsi="Arial"/>
          <w:sz w:val="17"/>
          <w:szCs w:val="17"/>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pacing w:after="0" w:line="68"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State and local laws also require pharmaceutical and biotechnology companies to comply with the pharmaceutical industry’s voluntary compliance guidelines and the relevant compliance guidance promulgated by the U.S. federal government, establish marketing compliance programs, restrict payments that may be made to healthcare providers professionals and entities and other potential referral sources, file periodic reports with the state relating to pricing and marketing, make periodic public disclosures on sales, marketing, pricing, clinical trials and other activities, and/or register field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 Ensuring that our internal operations and future business arrangements with third parties comply with applicable healthcare laws and regulations will involve substantial costs.</w:t>
      </w:r>
    </w:p>
    <w:p>
      <w:pPr>
        <w:spacing w:after="0" w:line="70" w:lineRule="exact"/>
        <w:rPr>
          <w:sz w:val="20"/>
          <w:szCs w:val="20"/>
          <w:color w:val="auto"/>
        </w:rPr>
      </w:pPr>
    </w:p>
    <w:p>
      <w:pPr>
        <w:ind w:right="120" w:firstLine="749"/>
        <w:spacing w:after="0" w:line="269"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exclusion, debarment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62"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0"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9"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7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41"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DOJ have increased their FCPA enforcement activities with respect to biotechnology and pharmaceutical companies. There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40"/>
        <w:spacing w:after="0" w:line="296" w:lineRule="auto"/>
        <w:rPr>
          <w:sz w:val="20"/>
          <w:szCs w:val="20"/>
          <w:color w:val="auto"/>
        </w:rPr>
      </w:pPr>
      <w:r>
        <w:rPr>
          <w:rFonts w:ascii="Arial" w:cs="Arial" w:eastAsia="Arial" w:hAnsi="Arial"/>
          <w:sz w:val="16"/>
          <w:szCs w:val="16"/>
          <w:color w:val="auto"/>
        </w:rPr>
        <w:t>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53" w:lineRule="exact"/>
        <w:rPr>
          <w:sz w:val="20"/>
          <w:szCs w:val="20"/>
          <w:color w:val="auto"/>
        </w:rPr>
      </w:pPr>
    </w:p>
    <w:p>
      <w:pPr>
        <w:ind w:right="40" w:firstLine="749"/>
        <w:spacing w:after="0" w:line="288" w:lineRule="auto"/>
        <w:rPr>
          <w:sz w:val="20"/>
          <w:szCs w:val="20"/>
          <w:color w:val="auto"/>
        </w:rPr>
      </w:pPr>
      <w:r>
        <w:rPr>
          <w:rFonts w:ascii="Arial" w:cs="Arial" w:eastAsia="Arial" w:hAnsi="Arial"/>
          <w:sz w:val="16"/>
          <w:szCs w:val="16"/>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54" w:lineRule="exact"/>
        <w:rPr>
          <w:sz w:val="20"/>
          <w:szCs w:val="20"/>
          <w:color w:val="auto"/>
        </w:rPr>
      </w:pPr>
    </w:p>
    <w:p>
      <w:pPr>
        <w:ind w:right="220"/>
        <w:spacing w:after="0" w:line="300" w:lineRule="auto"/>
        <w:rPr>
          <w:sz w:val="20"/>
          <w:szCs w:val="20"/>
          <w:color w:val="auto"/>
        </w:rPr>
      </w:pPr>
      <w:r>
        <w:rPr>
          <w:rFonts w:ascii="Arial" w:cs="Arial" w:eastAsia="Arial" w:hAnsi="Arial"/>
          <w:sz w:val="18"/>
          <w:szCs w:val="18"/>
          <w:b w:val="1"/>
          <w:bCs w:val="1"/>
          <w:i w:val="1"/>
          <w:iCs w:val="1"/>
          <w:color w:val="auto"/>
        </w:rPr>
        <w:t>If we fail to comply with California laws or Nasdaq rules governing the diversity of our board of directors, we could be exposed to financial penalties and suffer reputational harm.</w:t>
      </w:r>
    </w:p>
    <w:p>
      <w:pPr>
        <w:spacing w:after="0" w:line="43"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In September 2018, California’s Senate Bill 826 was signed into law. Senate Bill 826 generally requires that a public company with a principal executive office in California have a minimum number of females on its board of directors, with such minimum number dependent on the size of such board of directors. By December 31, 2019, each public company with a principal executive office in California was required to have at least one female on its board of directors. On May 13, 2022, the Los Angeles County Superior Court in California found that Senate Bill 826 violated California’s Constitution and ruled that the State is precluded from enforcing the law with taxpayer funds or resources. This ruling may be appealed, but the injunction against enforcement will remain in place during potential appeals.</w:t>
      </w:r>
    </w:p>
    <w:p>
      <w:pPr>
        <w:spacing w:after="0" w:line="84" w:lineRule="exact"/>
        <w:rPr>
          <w:sz w:val="20"/>
          <w:szCs w:val="20"/>
          <w:color w:val="auto"/>
        </w:rPr>
      </w:pPr>
    </w:p>
    <w:p>
      <w:pPr>
        <w:ind w:firstLine="794"/>
        <w:spacing w:after="0" w:line="257" w:lineRule="auto"/>
        <w:rPr>
          <w:sz w:val="20"/>
          <w:szCs w:val="20"/>
          <w:color w:val="auto"/>
        </w:rPr>
      </w:pPr>
      <w:r>
        <w:rPr>
          <w:rFonts w:ascii="Arial" w:cs="Arial" w:eastAsia="Arial" w:hAnsi="Arial"/>
          <w:sz w:val="18"/>
          <w:szCs w:val="18"/>
          <w:color w:val="auto"/>
        </w:rPr>
        <w:t>Additionally, in September 2020, Assembly Bill 979 was signed into law. Assembly Bill 979 generally required that a public company with a principal executive office in California have a minimum number of directors from underrepresented communities, with such minimum number dependent on the size of such board of directors. On April 1, 2022, the Los Angeles County Superior Court in California found that Assembly Bill 979 violated California’s Constitution and ruled that the State is precluded from enforcing the law with taxpayer funds or resources. This ruling may be appealed, but the injunction against enforcement will remain in place during potential appeals.</w:t>
      </w:r>
    </w:p>
    <w:p>
      <w:pPr>
        <w:spacing w:after="0" w:line="80"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In addition, in December 2020, Nasdaq announced that it filed with the SEC a proposal to advance board diversity and enhance transparency of board diversity statistics through new listing requirements. In August 2021, the SEC approved Nasdaq's proposal, which requires certain Nasdaq-listed companies to annually disclose diversity statistics regarding their directors’ voluntary self-identified characteristics and include at least two diverse directors on their boards of directors or publicly disclose why their boards of directors do not include diverse directors. Under the rule, a diverse director is someone who self-identifies either as female, Black or African American, Hispanic or Latinx, Asian, Native American or Alaska Native, Native Hawaiian or Pacific Islander, or two or more races or ethnicities, or lesbian, gay, bisexual, transgender or a member of the queer community. Under a phase-in period for companies listed on the Nasdaq Global Select Market, this disclosure requirement would require one diverse director two years after rule adoption and two diverse directors four years after rule adoption.</w:t>
      </w:r>
    </w:p>
    <w:p>
      <w:pPr>
        <w:spacing w:after="0" w:line="70"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Our board of directors currently includes three female directors and two directors from an underrepresented community. Based on the current composition of our board of directors we would be in compliance with Senate Bill 826 and Assembly Bill 979 should either law be appealed and reinstated. In addition, under the Nasdaq diversity rule, if our current or future diverse directors no longer serve on our board of directors we could be out of compliance with Nasdaq. Additionally, we cannot guarantee that we can recruit, attract and/or retain qualified members of the board of directors and meet gender and diversity requirements under California law (if appealed and reinstated) or the Nasdaq rule, which may expose us to financial penalties and adversely affect our reputation.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right="300"/>
        <w:spacing w:after="0" w:line="263" w:lineRule="auto"/>
        <w:rPr>
          <w:sz w:val="20"/>
          <w:szCs w:val="20"/>
          <w:color w:val="auto"/>
        </w:rPr>
      </w:pPr>
      <w:r>
        <w:rPr>
          <w:rFonts w:ascii="Arial" w:cs="Arial" w:eastAsia="Arial" w:hAnsi="Arial"/>
          <w:sz w:val="18"/>
          <w:szCs w:val="18"/>
          <w:color w:val="auto"/>
        </w:rPr>
        <w:t>more of our executive officers could be detrimental to us if we cannot recruit suitable replacements in a timely manner. We could in the future have difficulty attracting and retaining experienced personnel and may be required to expend significant financial resources in our employee recruitment and retention efforts.</w:t>
      </w:r>
    </w:p>
    <w:p>
      <w:pPr>
        <w:spacing w:after="0" w:line="76"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68"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62"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79" w:lineRule="exact"/>
        <w:rPr>
          <w:sz w:val="20"/>
          <w:szCs w:val="20"/>
          <w:color w:val="auto"/>
        </w:rPr>
      </w:pPr>
    </w:p>
    <w:p>
      <w:pPr>
        <w:ind w:right="40" w:firstLine="749"/>
        <w:spacing w:after="0" w:line="287" w:lineRule="auto"/>
        <w:rPr>
          <w:sz w:val="20"/>
          <w:szCs w:val="20"/>
          <w:color w:val="auto"/>
        </w:rPr>
      </w:pPr>
      <w:r>
        <w:rPr>
          <w:rFonts w:ascii="Arial" w:cs="Arial" w:eastAsia="Arial" w:hAnsi="Arial"/>
          <w:sz w:val="16"/>
          <w:szCs w:val="16"/>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right="180" w:firstLine="749"/>
        <w:spacing w:after="0" w:line="286" w:lineRule="auto"/>
        <w:rPr>
          <w:sz w:val="20"/>
          <w:szCs w:val="20"/>
          <w:color w:val="auto"/>
        </w:rPr>
      </w:pPr>
      <w:r>
        <w:rPr>
          <w:rFonts w:ascii="Arial" w:cs="Arial" w:eastAsia="Arial" w:hAnsi="Arial"/>
          <w:sz w:val="17"/>
          <w:szCs w:val="17"/>
          <w:color w:val="auto"/>
        </w:rPr>
        <w:t>As of June 30, 2023, we had 89 full-time employees, including 65 employees engaged in research and development.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57" w:lineRule="exact"/>
        <w:rPr>
          <w:sz w:val="20"/>
          <w:szCs w:val="20"/>
          <w:color w:val="auto"/>
        </w:rPr>
      </w:pPr>
    </w:p>
    <w:p>
      <w:pPr>
        <w:ind w:left="1260" w:hanging="503"/>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260" w:right="440" w:hanging="503"/>
        <w:spacing w:after="0" w:line="263" w:lineRule="auto"/>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75" w:lineRule="exact"/>
        <w:rPr>
          <w:rFonts w:ascii="Arial" w:cs="Arial" w:eastAsia="Arial" w:hAnsi="Arial"/>
          <w:sz w:val="18"/>
          <w:szCs w:val="18"/>
          <w:color w:val="auto"/>
        </w:rPr>
      </w:pPr>
    </w:p>
    <w:p>
      <w:pPr>
        <w:ind w:left="1260" w:hanging="503"/>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17" w:lineRule="exact"/>
        <w:rPr>
          <w:sz w:val="20"/>
          <w:szCs w:val="20"/>
          <w:color w:val="auto"/>
        </w:rPr>
      </w:pPr>
    </w:p>
    <w:p>
      <w:pPr>
        <w:jc w:val="both"/>
        <w:ind w:right="100" w:firstLine="749"/>
        <w:spacing w:after="0" w:line="263"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76"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1" w:name="page52"/>
    <w:bookmarkEnd w:id="51"/>
    <w:p>
      <w:pPr>
        <w:ind w:right="40"/>
        <w:spacing w:after="0" w:line="296" w:lineRule="auto"/>
        <w:rPr>
          <w:sz w:val="20"/>
          <w:szCs w:val="20"/>
          <w:color w:val="auto"/>
        </w:rPr>
      </w:pPr>
      <w:r>
        <w:rPr>
          <w:rFonts w:ascii="Arial" w:cs="Arial" w:eastAsia="Arial" w:hAnsi="Arial"/>
          <w:sz w:val="16"/>
          <w:szCs w:val="16"/>
          <w:color w:val="auto"/>
        </w:rPr>
        <w:t>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our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53"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our product candidates and, accordingly, may not achieve our research, development and commercialization goals.</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incidents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9" w:lineRule="exact"/>
        <w:rPr>
          <w:sz w:val="20"/>
          <w:szCs w:val="20"/>
          <w:color w:val="auto"/>
        </w:rPr>
      </w:pPr>
    </w:p>
    <w:p>
      <w:pPr>
        <w:ind w:firstLine="749"/>
        <w:spacing w:after="0" w:line="283" w:lineRule="auto"/>
        <w:rPr>
          <w:sz w:val="20"/>
          <w:szCs w:val="20"/>
          <w:color w:val="auto"/>
        </w:rPr>
      </w:pPr>
      <w:r>
        <w:rPr>
          <w:rFonts w:ascii="Arial" w:cs="Arial" w:eastAsia="Arial" w:hAnsi="Arial"/>
          <w:sz w:val="16"/>
          <w:szCs w:val="16"/>
          <w:color w:val="auto"/>
        </w:rPr>
        <w:t>Despite the implementation of security measures in an effort to protect systems that store our information, given their size and complexity and the increasing amounts of information maintained and otherwise processed on our information technology systems, and those of our third-party CROs, other contractors (including sites performing our clinical trials) and consultants, these systems are potentially vulnerable to breakdown or other damage, disruption,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disclosure, or dissemination of, or damage or unauthorized access to, our data or data that is processed or maintained on our behalf, or other assets. For example, we have received phishing attacks, and companies have experienced an increase in phishing and social engineering attacks from third parties in recent years, and the increase in remote working further increases security threats. The military conflict in Ukraine may also increase cybersecurity threats that we and our CROs and other contractors and consultants face. If any disruption or security breach or incident were to result in any loss, destruction, unavailability, alteration, disclosure, or dissemination of, or damage or unauthorized access to, our applications, any data processed or maintained on our behalf, or other assets, or for it to be believed or reported that any of these occurred, we could incur liability, financial harm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disruptions, or breaches in systems or have prevented or will prevent other cyber incidents that cause loss, destruction, unavailability, alteration or dissemination of, or damage or unauthorized access to, our data or other data processed or maintained on our behalf or other assets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information technology systems or security breaches or incidents, suffered by us, or any of our third-party CROs, other contractors, or consultants, could result in the loss, misappropriation, and/or unauthorized access, use, or disclosure or dissemination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or any other security breach or incident that leads to loss, damage, or unauthorized access to, or use, alteration, or disclosure or dissemination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80"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Notifications and follow-up actions related to a security breach or incident could impact our reputation and cause us to incur significant costs, including legal expenses and remediation costs. We expect to incur significant costs in an effort to detect and prevent security incidents, and we may face increased costs and requirements to expend substantial resources in the event of an actual or perceived security breach or incident. We also rely on third parties to manufacture our product candidates, and similar events relating to their computer systems could also have a material adverse effect on our business. If any damage, disruption, or interruption of systems, or security breach or incident, were to result in any disruption of our operations or loss, destruction, unavailability, or alteration of, or damage or unauthorized access to, our data or other information that is processed or maintained on our behalf, or inappropriate disclosure or dissemination of any such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right="60" w:firstLine="749"/>
        <w:spacing w:after="0" w:line="257"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in or, failure or security breach or incident of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earthquakes, power loss, telecommunications failure, terrorist activity, pandemics and other events beyond our control, which could harm our business.</w:t>
      </w:r>
    </w:p>
    <w:p>
      <w:pPr>
        <w:spacing w:after="0" w:line="6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Our facilities are located in California. We have not undertaken a systematic analysis of the potential consequences to our business and financial results from a major flood, 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Chief Financial Officer and Chief Business Officer were subpoenaed for information by the Securities and Exchange Commission on a matter unrelated to ORIC.</w:t>
      </w:r>
    </w:p>
    <w:p>
      <w:pPr>
        <w:spacing w:after="0" w:line="62"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Our Chief Financial Officer and Chief Business Officer each received subpoenas for documents and information, in their personal capacities, from the SEC in March and April 2020 related to an SEC investigation into the trading of securities of certain other companies. On August 17, 2021, our Chief Financial Officer received a letter from the SEC indicating that the SEC had concluded its investigation as to him without recommending further action. On the same date, the SEC filed a civil enforcement action against our Chief Business Officer. The SEC’s civil enforcement action may become time consuming and distracting for our Chief Business Officer, and if such action is successful, he could be subject to fines, penalties and the imposition of restrictive sanctions that may affect his ability to serve as an officer of our company.</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to offset future taxable income may be limited.</w:t>
      </w:r>
    </w:p>
    <w:p>
      <w:pPr>
        <w:spacing w:after="0" w:line="129" w:lineRule="exact"/>
        <w:rPr>
          <w:sz w:val="20"/>
          <w:szCs w:val="20"/>
          <w:color w:val="auto"/>
        </w:rPr>
      </w:pPr>
    </w:p>
    <w:p>
      <w:pPr>
        <w:ind w:right="40" w:firstLine="749"/>
        <w:spacing w:after="0" w:line="253" w:lineRule="auto"/>
        <w:rPr>
          <w:sz w:val="20"/>
          <w:szCs w:val="20"/>
          <w:color w:val="auto"/>
        </w:rPr>
      </w:pPr>
      <w:r>
        <w:rPr>
          <w:rFonts w:ascii="Arial" w:cs="Arial" w:eastAsia="Arial" w:hAnsi="Arial"/>
          <w:sz w:val="18"/>
          <w:szCs w:val="18"/>
          <w:color w:val="auto"/>
        </w:rPr>
        <w:t>Our net operating loss (NOL) carryforwards may be unavailable to offset future taxable income because of restrictions under U.S. tax law. Our NOLs generated in tax years beginning prior to January 1, 2018 are only permitted to be carried forward for 20 taxable years under applicable U.S. federal tax law, and therefore could expire unused. Our federal NOLs generated in tax years beginning after December 31, 2017 may be carried forward indefinitely, but for taxable years beginning after December 31, 2020, the deductibility of federal NOLs generated in tax years beginning after December 31, 2017 is limited to 80% of our current year taxable income. As of December 31, 2022, we had available NOL carryforwards of $215.2 million, of which $173.6 million do not expire. We also had available California NOL carryforwards of approximately $268.5 million as of December 31, 2022, which begin to expire in 2034 and are subject to limitation on use. In addition, as of December 31, 2022, we had federal and California research and development credit carryforwards totaling $8.7 million and $5.0 million, respectively. The federal credits begin to expire in 2034 unless previously utilized, while the state credits do not expire.</w:t>
      </w:r>
    </w:p>
    <w:p>
      <w:pPr>
        <w:spacing w:after="0" w:line="88" w:lineRule="exact"/>
        <w:rPr>
          <w:sz w:val="20"/>
          <w:szCs w:val="20"/>
          <w:color w:val="auto"/>
        </w:rPr>
      </w:pPr>
    </w:p>
    <w:p>
      <w:pPr>
        <w:ind w:right="120" w:firstLine="749"/>
        <w:spacing w:after="0" w:line="290" w:lineRule="auto"/>
        <w:rPr>
          <w:sz w:val="20"/>
          <w:szCs w:val="20"/>
          <w:color w:val="auto"/>
        </w:rPr>
      </w:pPr>
      <w:r>
        <w:rPr>
          <w:rFonts w:ascii="Arial" w:cs="Arial" w:eastAsia="Arial" w:hAnsi="Arial"/>
          <w:sz w:val="16"/>
          <w:szCs w:val="16"/>
          <w:color w:val="auto"/>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may have experienced such ownership changes in the past, and we may experience ownership changes in the future as a result of shifts in our stock ownership, some of which are outside our control. We have not conducted any studies to determine annual limitations, if any, that could result from such changes in the ownership. Our ability to utilize our NOLs and certain other tax attributes could be limited by an “ownership change” as described above and consequently, we may not be able to utilize a material portion of our NOLs and certain other tax attributes before they expire, which could have a material adverse effect on our cash flows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could have a material adverse effect on our business, cash flow, results of operations or financial conditions.</w:t>
      </w:r>
    </w:p>
    <w:p>
      <w:pPr>
        <w:spacing w:after="0" w:line="117"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We are subject to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the United States recently enacted a 1% excise tax on stock buybacks and a 15% alternative minimum tax on adjusted financial statement income. In addition, the current administration has proposed changes to the tax credits available for orphan drug development. Further, many countries, and organizations such as the Organization for Economic Cooperation and Development have proposed implementing changes to existing tax laws, including a proposed 15% global minimum tax. Any of these developments or changes in federal, state, or international tax laws or tax rulings could adversely affect our effective tax rate and our operating results. There can be no assurance that our effective tax rates, tax payments, or tax credits and incentives will not be adversely affected by these or other developments or changes in law.</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ind w:right="12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contracting with foreign third parties or marketing our product candidates internationally could materially adversely affect our business.</w:t>
      </w:r>
    </w:p>
    <w:p>
      <w:pPr>
        <w:spacing w:after="0" w:line="62" w:lineRule="exact"/>
        <w:rPr>
          <w:sz w:val="20"/>
          <w:szCs w:val="20"/>
          <w:color w:val="auto"/>
        </w:rPr>
      </w:pPr>
    </w:p>
    <w:p>
      <w:pPr>
        <w:ind w:right="200" w:firstLine="749"/>
        <w:spacing w:after="0" w:line="342" w:lineRule="auto"/>
        <w:rPr>
          <w:sz w:val="20"/>
          <w:szCs w:val="20"/>
          <w:color w:val="auto"/>
        </w:rPr>
      </w:pPr>
      <w:r>
        <w:rPr>
          <w:rFonts w:ascii="Arial" w:cs="Arial" w:eastAsia="Arial" w:hAnsi="Arial"/>
          <w:sz w:val="16"/>
          <w:szCs w:val="16"/>
          <w:color w:val="auto"/>
        </w:rPr>
        <w:t>We may contract with foreign third parties or seek regulatory approval of our product candidates outside of the United States and, accordingly, we expect that we will be subject to additional risks related to operating in foreign countries if we obtain the necessary approvals, including:</w:t>
      </w:r>
    </w:p>
    <w:p>
      <w:pPr>
        <w:spacing w:after="0" w:line="16" w:lineRule="exact"/>
        <w:rPr>
          <w:sz w:val="20"/>
          <w:szCs w:val="20"/>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260" w:right="80" w:hanging="503"/>
        <w:spacing w:after="0" w:line="277"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weakness, including inflation, financial market volatility and uncertainty or political instability in particular foreign economies and markets;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260" w:right="160" w:hanging="503"/>
        <w:spacing w:after="0" w:line="277"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117" w:lineRule="exact"/>
        <w:rPr>
          <w:rFonts w:ascii="Arial" w:cs="Arial" w:eastAsia="Arial" w:hAnsi="Arial"/>
          <w:sz w:val="18"/>
          <w:szCs w:val="18"/>
          <w:color w:val="auto"/>
        </w:rPr>
      </w:pPr>
    </w:p>
    <w:p>
      <w:pPr>
        <w:ind w:left="1260" w:right="160" w:hanging="503"/>
        <w:spacing w:after="0" w:line="277"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17"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Military conflict between Russia and Ukraine</w:t>
      </w:r>
    </w:p>
    <w:p>
      <w:pPr>
        <w:spacing w:after="0" w:line="117"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Russia’s invasion of Ukraine has triggered significant economic sanctions from various countries. These events are contributing to volatile global economic and financial conditions. Changes in countries’ economic, trade and financial policies could trigger retaliatory actions by Russia, its allies and other affected countries, resulting in a “trade war,” “cyberwar,” escalation of the conventional military conflict, and other adverse events. The military conflict in Ukraine, and any resulting effects that may follow, could result in increased costs for, or unavailability of, certain materials used in the third-party manufacturing of our product candidates and potential product candidates in our discovery research programs. These increased costs could have a negative effect on our financial condition, and any supply interruptions could hinder our product development and make it harder for us to find favorable pricing and reliable sources for the materials needed to manufacture our product candidates and potential product candidates in our discovery research programs.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and market volatility may adversely affect us by increasing our costs.</w:t>
      </w:r>
    </w:p>
    <w:p>
      <w:pPr>
        <w:spacing w:after="0" w:line="117"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Recently, inflation and market volatility have increased and caused economic uncertainty throughout the U.S. and global economy. Inflation and market volatility can adversely affect us by increasing the costs of clinical trials and research, the development of our product candidates, administration and other costs of doing business. In fact, we have experienced, and continue to experience, increases in the prices of labor and other costs of doing business. In an inflationary, volatile and economically uncertain environment, cost increases may outpace our expectations, causing us to use our cash and other liquid assets faster than forecasted. If this continues to occur or happens more frequently or at a larger scale, we may need to raise additional capital to fund our operations sooner than expected and we may not be able to secure financing on acceptable terms.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17" w:lineRule="exact"/>
        <w:rPr>
          <w:sz w:val="20"/>
          <w:szCs w:val="20"/>
          <w:color w:val="auto"/>
        </w:rPr>
      </w:pPr>
    </w:p>
    <w:p>
      <w:pPr>
        <w:ind w:right="180" w:firstLine="749"/>
        <w:spacing w:after="0" w:line="257"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w:t>
      </w:r>
    </w:p>
    <w:p>
      <w:pPr>
        <w:spacing w:after="0" w:line="80"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80"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The degree of future protection for our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80"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Although as of June 30, 2023, we owned seven and licensed five issued patents in the United States pertaining to our three product candidates, we cannot be certain that the claims in our other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we be certain that the claims in our issued or licensed patents will not be found invalid or unenforceable if challenged.</w:t>
      </w:r>
    </w:p>
    <w:p>
      <w:pPr>
        <w:spacing w:after="0" w:line="80"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76" w:lineRule="exact"/>
        <w:rPr>
          <w:sz w:val="20"/>
          <w:szCs w:val="20"/>
          <w:color w:val="auto"/>
        </w:rPr>
      </w:pPr>
    </w:p>
    <w:p>
      <w:pPr>
        <w:ind w:left="1260" w:hanging="503"/>
        <w:spacing w:after="0" w:line="286" w:lineRule="auto"/>
        <w:tabs>
          <w:tab w:leader="none" w:pos="1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7" w:lineRule="exact"/>
        <w:rPr>
          <w:rFonts w:ascii="Arial" w:cs="Arial" w:eastAsia="Arial" w:hAnsi="Arial"/>
          <w:sz w:val="17"/>
          <w:szCs w:val="17"/>
          <w:color w:val="auto"/>
        </w:rPr>
      </w:pPr>
    </w:p>
    <w:p>
      <w:pPr>
        <w:ind w:left="1260" w:hanging="503"/>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17" w:lineRule="exact"/>
        <w:rPr>
          <w:rFonts w:ascii="Arial" w:cs="Arial" w:eastAsia="Arial" w:hAnsi="Arial"/>
          <w:sz w:val="18"/>
          <w:szCs w:val="18"/>
          <w:color w:val="auto"/>
        </w:rPr>
      </w:pPr>
    </w:p>
    <w:p>
      <w:pPr>
        <w:ind w:left="1260" w:right="260" w:hanging="503"/>
        <w:spacing w:after="0" w:line="277" w:lineRule="auto"/>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62" w:lineRule="exact"/>
        <w:rPr>
          <w:rFonts w:ascii="Arial" w:cs="Arial" w:eastAsia="Arial" w:hAnsi="Arial"/>
          <w:sz w:val="18"/>
          <w:szCs w:val="18"/>
          <w:color w:val="auto"/>
        </w:rPr>
      </w:pPr>
    </w:p>
    <w:p>
      <w:pPr>
        <w:jc w:val="both"/>
        <w:ind w:left="1260" w:right="40" w:hanging="503"/>
        <w:spacing w:after="0" w:line="263" w:lineRule="auto"/>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75" w:lineRule="exact"/>
        <w:rPr>
          <w:rFonts w:ascii="Arial" w:cs="Arial" w:eastAsia="Arial" w:hAnsi="Arial"/>
          <w:sz w:val="18"/>
          <w:szCs w:val="18"/>
          <w:color w:val="auto"/>
        </w:rPr>
      </w:pPr>
    </w:p>
    <w:p>
      <w:pPr>
        <w:jc w:val="both"/>
        <w:ind w:left="1260" w:right="260" w:hanging="503"/>
        <w:spacing w:after="0" w:line="263" w:lineRule="auto"/>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5" w:lineRule="exact"/>
        <w:rPr>
          <w:rFonts w:ascii="Arial" w:cs="Arial" w:eastAsia="Arial" w:hAnsi="Arial"/>
          <w:sz w:val="18"/>
          <w:szCs w:val="18"/>
          <w:color w:val="auto"/>
        </w:rPr>
      </w:pPr>
    </w:p>
    <w:p>
      <w:pPr>
        <w:ind w:left="1260" w:right="60" w:hanging="503"/>
        <w:spacing w:after="0" w:line="277" w:lineRule="auto"/>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2"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w:t>
      </w:r>
    </w:p>
    <w:p>
      <w:pPr>
        <w:spacing w:after="0" w:line="79" w:lineRule="exact"/>
        <w:rPr>
          <w:sz w:val="20"/>
          <w:szCs w:val="20"/>
          <w:color w:val="auto"/>
        </w:rPr>
      </w:pPr>
    </w:p>
    <w:p>
      <w:pPr>
        <w:ind w:right="480" w:firstLine="749"/>
        <w:spacing w:after="0" w:line="277"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ind w:right="460"/>
        <w:spacing w:after="0" w:line="277" w:lineRule="auto"/>
        <w:rPr>
          <w:sz w:val="20"/>
          <w:szCs w:val="20"/>
          <w:color w:val="auto"/>
        </w:rPr>
      </w:pPr>
      <w:r>
        <w:rPr>
          <w:rFonts w:ascii="Arial" w:cs="Arial" w:eastAsia="Arial" w:hAnsi="Arial"/>
          <w:sz w:val="18"/>
          <w:szCs w:val="18"/>
          <w:color w:val="auto"/>
        </w:rPr>
        <w:t>manufacturers, consultants, advisors and other third parties, any of these parties may breach such agreements and disclose such output before a patent application is filed, thereby jeopardizing our ability to seek patent protection.</w:t>
      </w:r>
    </w:p>
    <w:p>
      <w:pPr>
        <w:spacing w:after="0" w:line="62"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2"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79"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84"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(IPR), or other similar proceedings challenging our owned or in-licensed patent rights. An adverse determination in any such submission, proceeding or litigation could reduce the scope of, or invalidate or render unenforceable, our patent rights or those of our licensors,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260" w:right="80" w:hanging="503"/>
        <w:spacing w:after="0" w:line="277" w:lineRule="auto"/>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260" w:right="800" w:hanging="503"/>
        <w:spacing w:after="0" w:line="277" w:lineRule="auto"/>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the issued patents or patent application that we own or license;</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1260" w:right="720" w:hanging="503"/>
        <w:spacing w:after="0" w:line="277" w:lineRule="auto"/>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left="1260" w:hanging="503"/>
        <w:spacing w:after="0"/>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issued patents that we own or license may be held invalid or unenforceable, as a result of legal challenges by our competitors;</w:t>
      </w:r>
    </w:p>
    <w:p>
      <w:pPr>
        <w:spacing w:after="0" w:line="128" w:lineRule="exact"/>
        <w:rPr>
          <w:rFonts w:ascii="Arial" w:cs="Arial" w:eastAsia="Arial" w:hAnsi="Arial"/>
          <w:sz w:val="17"/>
          <w:szCs w:val="17"/>
          <w:color w:val="auto"/>
        </w:rPr>
      </w:pPr>
    </w:p>
    <w:p>
      <w:pPr>
        <w:ind w:left="1260" w:right="460" w:hanging="503"/>
        <w:spacing w:after="0" w:line="308" w:lineRule="auto"/>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260" w:hanging="503"/>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1260" w:right="40" w:hanging="503"/>
        <w:spacing w:after="0" w:line="277"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11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76" w:lineRule="exact"/>
        <w:rPr>
          <w:sz w:val="20"/>
          <w:szCs w:val="20"/>
          <w:color w:val="auto"/>
        </w:rPr>
      </w:pPr>
    </w:p>
    <w:p>
      <w:pPr>
        <w:ind w:right="80" w:firstLine="749"/>
        <w:spacing w:after="0" w:line="270" w:lineRule="auto"/>
        <w:rPr>
          <w:sz w:val="20"/>
          <w:szCs w:val="20"/>
          <w:color w:val="auto"/>
        </w:rPr>
      </w:pPr>
      <w:r>
        <w:rPr>
          <w:rFonts w:ascii="Arial" w:cs="Arial" w:eastAsia="Arial" w:hAnsi="Arial"/>
          <w:sz w:val="17"/>
          <w:szCs w:val="17"/>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73"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or our licensors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4" w:lineRule="exact"/>
        <w:rPr>
          <w:sz w:val="20"/>
          <w:szCs w:val="20"/>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1260" w:right="20" w:hanging="503"/>
        <w:spacing w:after="0" w:line="277"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not infringed, or unenforceable in a court of law;</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17" w:lineRule="exact"/>
        <w:rPr>
          <w:rFonts w:ascii="Arial" w:cs="Arial" w:eastAsia="Arial" w:hAnsi="Arial"/>
          <w:sz w:val="18"/>
          <w:szCs w:val="18"/>
          <w:color w:val="auto"/>
        </w:rPr>
      </w:pPr>
    </w:p>
    <w:p>
      <w:pPr>
        <w:ind w:left="1260" w:right="60" w:hanging="503"/>
        <w:spacing w:after="0" w:line="277"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62"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periodic report, others may hold proprietary rights that could prevent our product candidates from being marketed.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7" w:name="page58"/>
    <w:bookmarkEnd w:id="57"/>
    <w:p>
      <w:pPr>
        <w:ind w:right="20" w:firstLine="749"/>
        <w:spacing w:after="0" w:line="269" w:lineRule="auto"/>
        <w:rPr>
          <w:sz w:val="20"/>
          <w:szCs w:val="20"/>
          <w:color w:val="auto"/>
        </w:rPr>
      </w:pPr>
      <w:r>
        <w:rPr>
          <w:rFonts w:ascii="Arial" w:cs="Arial" w:eastAsia="Arial" w:hAnsi="Arial"/>
          <w:sz w:val="17"/>
          <w:szCs w:val="17"/>
          <w:color w:val="auto"/>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reasonable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71"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68" w:lineRule="exact"/>
        <w:rPr>
          <w:sz w:val="20"/>
          <w:szCs w:val="20"/>
          <w:color w:val="auto"/>
        </w:rPr>
      </w:pPr>
    </w:p>
    <w:p>
      <w:pPr>
        <w:ind w:right="40" w:firstLine="749"/>
        <w:spacing w:after="0" w:line="289" w:lineRule="auto"/>
        <w:rPr>
          <w:sz w:val="20"/>
          <w:szCs w:val="20"/>
          <w:color w:val="auto"/>
        </w:rPr>
      </w:pPr>
      <w:r>
        <w:rPr>
          <w:rFonts w:ascii="Arial" w:cs="Arial" w:eastAsia="Arial" w:hAnsi="Arial"/>
          <w:sz w:val="16"/>
          <w:szCs w:val="16"/>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Because our development programs may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or maintain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our licensors’ patents, which could be expensive, time consuming and unsuccessful.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our issued patents or our licensors’ patents could be found invalid, unenforceable or not infringed if challenged in court.</w:t>
      </w:r>
    </w:p>
    <w:p>
      <w:pPr>
        <w:spacing w:after="0" w:line="103"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right="240"/>
        <w:spacing w:after="0" w:line="277" w:lineRule="auto"/>
        <w:rPr>
          <w:sz w:val="20"/>
          <w:szCs w:val="20"/>
          <w:color w:val="auto"/>
        </w:rPr>
      </w:pPr>
      <w:r>
        <w:rPr>
          <w:rFonts w:ascii="Arial" w:cs="Arial" w:eastAsia="Arial" w:hAnsi="Arial"/>
          <w:sz w:val="18"/>
          <w:szCs w:val="18"/>
          <w:color w:val="auto"/>
        </w:rPr>
        <w:t>could include an allegation that someone connected with prosecution of the patent withheld relevant information from the USPTO or made a misleading statement during prosecution.</w:t>
      </w:r>
    </w:p>
    <w:p>
      <w:pPr>
        <w:spacing w:after="0" w:line="62"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73" w:lineRule="exact"/>
        <w:rPr>
          <w:sz w:val="20"/>
          <w:szCs w:val="20"/>
          <w:color w:val="auto"/>
        </w:rPr>
      </w:pPr>
    </w:p>
    <w:p>
      <w:pPr>
        <w:jc w:val="both"/>
        <w:ind w:right="60" w:firstLine="749"/>
        <w:spacing w:after="0" w:line="286" w:lineRule="auto"/>
        <w:rPr>
          <w:sz w:val="20"/>
          <w:szCs w:val="20"/>
          <w:color w:val="auto"/>
        </w:rPr>
      </w:pPr>
      <w:r>
        <w:rPr>
          <w:rFonts w:ascii="Arial" w:cs="Arial" w:eastAsia="Arial" w:hAnsi="Arial"/>
          <w:sz w:val="17"/>
          <w:szCs w:val="17"/>
          <w:color w:val="auto"/>
        </w:rPr>
        <w:t>As of June 1, 2023, European patent applications have the option, upon grant of a patent, of becoming a Unitary Patent, which will be subject to the jurisdiction of the Unitary Patent Court (UPC). The option of a Unitary Patent will be a significant change in European patent practice. As the UPC is a new court system, there is no precedent for the court, increasing the uncertainty of any litigation in the UPC.</w:t>
      </w:r>
    </w:p>
    <w:p>
      <w:pPr>
        <w:spacing w:after="0" w:line="57" w:lineRule="exact"/>
        <w:rPr>
          <w:sz w:val="20"/>
          <w:szCs w:val="20"/>
          <w:color w:val="auto"/>
        </w:rPr>
      </w:pPr>
    </w:p>
    <w:p>
      <w:pPr>
        <w:jc w:val="both"/>
        <w:ind w:right="180" w:firstLine="749"/>
        <w:spacing w:after="0" w:line="342" w:lineRule="auto"/>
        <w:rPr>
          <w:sz w:val="20"/>
          <w:szCs w:val="20"/>
          <w:color w:val="auto"/>
        </w:rPr>
      </w:pPr>
      <w:r>
        <w:rPr>
          <w:rFonts w:ascii="Arial" w:cs="Arial" w:eastAsia="Arial" w:hAnsi="Arial"/>
          <w:sz w:val="16"/>
          <w:szCs w:val="16"/>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16"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57"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76"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2" w:lineRule="exact"/>
        <w:rPr>
          <w:sz w:val="20"/>
          <w:szCs w:val="20"/>
          <w:color w:val="auto"/>
        </w:rPr>
      </w:pPr>
    </w:p>
    <w:p>
      <w:pPr>
        <w:ind w:right="80" w:firstLine="749"/>
        <w:spacing w:after="0" w:line="272"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9" w:name="page60"/>
    <w:bookmarkEnd w:id="59"/>
    <w:p>
      <w:pPr>
        <w:ind w:right="46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62" w:lineRule="exact"/>
        <w:rPr>
          <w:sz w:val="20"/>
          <w:szCs w:val="20"/>
          <w:color w:val="auto"/>
        </w:rPr>
      </w:pPr>
    </w:p>
    <w:p>
      <w:pPr>
        <w:ind w:right="120" w:firstLine="749"/>
        <w:spacing w:after="0" w:line="269" w:lineRule="auto"/>
        <w:rPr>
          <w:sz w:val="20"/>
          <w:szCs w:val="20"/>
          <w:color w:val="auto"/>
        </w:rPr>
      </w:pPr>
      <w:r>
        <w:rPr>
          <w:rFonts w:ascii="Arial" w:cs="Arial" w:eastAsia="Arial" w:hAnsi="Arial"/>
          <w:sz w:val="17"/>
          <w:szCs w:val="17"/>
          <w:color w:val="auto"/>
        </w:rPr>
        <w:t>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74"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80"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6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those of our licensors or in third-party patents. In addition, Congress or other foreign legislative bodies may pass patent reform legislation that is unfavorable to us.</w:t>
      </w:r>
    </w:p>
    <w:p>
      <w:pPr>
        <w:spacing w:after="0" w:line="87"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those of our licensors and the patents we might obtain or license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those of our licensors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ind w:right="200"/>
        <w:spacing w:after="0" w:line="286" w:lineRule="auto"/>
        <w:rPr>
          <w:sz w:val="20"/>
          <w:szCs w:val="20"/>
          <w:color w:val="auto"/>
        </w:rPr>
      </w:pPr>
      <w:r>
        <w:rPr>
          <w:rFonts w:ascii="Arial" w:cs="Arial" w:eastAsia="Arial" w:hAnsi="Arial"/>
          <w:sz w:val="17"/>
          <w:szCs w:val="17"/>
          <w:color w:val="auto"/>
        </w:rPr>
        <w:t>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right="60" w:firstLine="749"/>
        <w:spacing w:after="0" w:line="286"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20" w:firstLine="749"/>
        <w:spacing w:after="0" w:line="269" w:lineRule="auto"/>
        <w:rPr>
          <w:sz w:val="20"/>
          <w:szCs w:val="20"/>
          <w:color w:val="auto"/>
        </w:rPr>
      </w:pPr>
      <w:r>
        <w:rPr>
          <w:rFonts w:ascii="Arial" w:cs="Arial" w:eastAsia="Arial" w:hAnsi="Arial"/>
          <w:sz w:val="17"/>
          <w:szCs w:val="17"/>
          <w:color w:val="auto"/>
        </w:rPr>
        <w:t>Although as of June 30, 2023, we owned seven and licensed five issued patents in the United States pertaining to our three product candidates and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77"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and those of our licensors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license, or obtain.</w:t>
      </w:r>
    </w:p>
    <w:p>
      <w:pPr>
        <w:spacing w:after="0" w:line="88" w:lineRule="exact"/>
        <w:rPr>
          <w:sz w:val="20"/>
          <w:szCs w:val="20"/>
          <w:color w:val="auto"/>
        </w:rPr>
      </w:pPr>
    </w:p>
    <w:p>
      <w:pPr>
        <w:ind w:right="220" w:firstLine="749"/>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80"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right="20"/>
        <w:spacing w:after="0" w:line="259" w:lineRule="auto"/>
        <w:rPr>
          <w:sz w:val="20"/>
          <w:szCs w:val="20"/>
          <w:color w:val="auto"/>
        </w:rPr>
      </w:pPr>
      <w:r>
        <w:rPr>
          <w:rFonts w:ascii="Arial" w:cs="Arial" w:eastAsia="Arial" w:hAnsi="Arial"/>
          <w:sz w:val="18"/>
          <w:szCs w:val="18"/>
          <w:color w:val="auto"/>
        </w:rPr>
        <w:t>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7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right="80" w:firstLine="749"/>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patent applications will be due to the USPTO and various foreign patent offices at various points over the lifetime of our patents and/or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intend to use registered or unregistered trademarks or trade names to brand and market ourselves and our products. As of June 30, 2023, we had two pending United States trademark applications. Our trademark applications may not result in any trademark registrations being issued, and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69"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that we or our employees have wrongfully used or disclosed alleged confidential information or trade secrets.</w:t>
      </w:r>
    </w:p>
    <w:p>
      <w:pPr>
        <w:spacing w:after="0" w:line="140"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A third party has inquired about a potential breach of a non-disclosure and confidentiality agreement in view of our developments in the CD73 inhibitor program. The inquiry may progress to a claim that we or our employees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2" w:name="page63"/>
    <w:bookmarkEnd w:id="62"/>
    <w:p>
      <w:pPr>
        <w:ind w:right="60"/>
        <w:spacing w:after="0" w:line="254" w:lineRule="auto"/>
        <w:rPr>
          <w:sz w:val="20"/>
          <w:szCs w:val="20"/>
          <w:color w:val="auto"/>
        </w:rPr>
      </w:pPr>
      <w:r>
        <w:rPr>
          <w:rFonts w:ascii="Arial" w:cs="Arial" w:eastAsia="Arial" w:hAnsi="Arial"/>
          <w:sz w:val="18"/>
          <w:szCs w:val="18"/>
          <w:color w:val="auto"/>
        </w:rPr>
        <w:t>inadvertently or otherwise breached the agreement and used trade secrets or other information proprietary to the third party.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87"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8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62"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79" w:lineRule="exact"/>
        <w:rPr>
          <w:sz w:val="20"/>
          <w:szCs w:val="20"/>
          <w:color w:val="auto"/>
        </w:rPr>
      </w:pPr>
    </w:p>
    <w:p>
      <w:pPr>
        <w:ind w:right="120" w:firstLine="749"/>
        <w:spacing w:after="0" w:line="255"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84"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9"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ind w:right="78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jc w:val="both"/>
        <w:ind w:right="100" w:firstLine="749"/>
        <w:spacing w:after="0" w:line="263" w:lineRule="auto"/>
        <w:rPr>
          <w:sz w:val="20"/>
          <w:szCs w:val="20"/>
          <w:color w:val="auto"/>
        </w:rPr>
      </w:pPr>
      <w:r>
        <w:rPr>
          <w:rFonts w:ascii="Arial" w:cs="Arial" w:eastAsia="Arial" w:hAnsi="Arial"/>
          <w:sz w:val="18"/>
          <w:szCs w:val="18"/>
          <w:color w:val="auto"/>
        </w:rPr>
        <w:t>Our existing license agreements, and we expect that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Moreover, disputes may arise between us and our licensors regarding intellectual property subject to a license agreement, including:</w:t>
      </w:r>
    </w:p>
    <w:p>
      <w:pPr>
        <w:spacing w:after="0" w:line="129" w:lineRule="exact"/>
        <w:rPr>
          <w:sz w:val="20"/>
          <w:szCs w:val="20"/>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260" w:right="320" w:hanging="503"/>
        <w:spacing w:after="0" w:line="277"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117" w:lineRule="exact"/>
        <w:rPr>
          <w:rFonts w:ascii="Arial" w:cs="Arial" w:eastAsia="Arial" w:hAnsi="Arial"/>
          <w:sz w:val="18"/>
          <w:szCs w:val="18"/>
          <w:color w:val="auto"/>
        </w:rPr>
      </w:pPr>
    </w:p>
    <w:p>
      <w:pPr>
        <w:ind w:left="1260" w:right="560" w:hanging="503"/>
        <w:spacing w:after="0" w:line="277"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17" w:lineRule="exact"/>
        <w:rPr>
          <w:sz w:val="20"/>
          <w:szCs w:val="20"/>
          <w:color w:val="auto"/>
        </w:rPr>
      </w:pPr>
    </w:p>
    <w:p>
      <w:pPr>
        <w:ind w:right="140" w:firstLine="749"/>
        <w:spacing w:after="0" w:line="272" w:lineRule="auto"/>
        <w:rPr>
          <w:sz w:val="20"/>
          <w:szCs w:val="20"/>
          <w:color w:val="auto"/>
        </w:rPr>
      </w:pPr>
      <w:r>
        <w:rPr>
          <w:rFonts w:ascii="Arial" w:cs="Arial" w:eastAsia="Arial" w:hAnsi="Arial"/>
          <w:sz w:val="17"/>
          <w:szCs w:val="17"/>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reasonable terms, we may be unable to successfully develop and commercialize the affected product candidates, which could have a material adverse effect on our business, financial conditions, results of operations, and prospects.</w:t>
      </w:r>
    </w:p>
    <w:p>
      <w:pPr>
        <w:spacing w:after="0" w:line="69"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In spite of our best efforts, our licensors might conclude that we have materially breached our obligations under such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and we may be required to cease our development and commercialization of certain of our product candidates. For example, if Mirati terminates the Mirati License Agreement, we may be required to cease our development and commercialization of licensed products directed to PRC2 and would be obligated to assign to Mirati, or grant an exclusive license to Mirati with respect to, certain of our patents, know-how and regulatory filings. Likewise, if Voronoi terminates the Voronoi License Agreement, we may be required to cease our development and commercialization of licensed products directed to epidermal growth factor receptor (EGFR, or ErbB1) and human epidermal growth factor receptor 2 (HER2, or ErbB2) with exon 20 insertion mutations and we would be obligated to grant a nonexclusive license to Voronoi under certain of our patents and know-how, and to assign to Voronoi certain of our regulatory filings. Any of the foregoing could have a material adverse effect on our competitive position, business, financial conditions, results of operations, and prospects.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While we normally seek to obtain the right to control the preparation, filing, prosecution, maintenance, enforcement, and defense of the patent applications and patents relating to our product candidates, there may be times when the preparation, filing, prosecution, maintenance, enforcement and defense activities for patents and patent applications relating to our product candidates are controlled by our licensors or collaboration partners. If any of our licensors or collaboration partners fail to prepare, file, prosecute, maintain, enforce, and defend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the preparation, filing, prosecution, maintenance, enforcement, and defense of patents and patent applications we have licensed to and from third parties, we may still be adversely affected or prejudiced by actions or inactions of our licensees, our licensors and their counsel that took place prior to the date upon which we assumed control over such activities.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ind w:right="400"/>
        <w:spacing w:after="0" w:line="263"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6" w:lineRule="exact"/>
        <w:rPr>
          <w:sz w:val="20"/>
          <w:szCs w:val="20"/>
          <w:color w:val="auto"/>
        </w:rPr>
      </w:pPr>
    </w:p>
    <w:p>
      <w:pPr>
        <w:ind w:right="20" w:firstLine="749"/>
        <w:spacing w:after="0" w:line="285" w:lineRule="auto"/>
        <w:rPr>
          <w:sz w:val="20"/>
          <w:szCs w:val="20"/>
          <w:color w:val="auto"/>
        </w:rPr>
      </w:pPr>
      <w:r>
        <w:rPr>
          <w:rFonts w:ascii="Arial" w:cs="Arial" w:eastAsia="Arial" w:hAnsi="Arial"/>
          <w:sz w:val="16"/>
          <w:szCs w:val="16"/>
          <w:color w:val="auto"/>
        </w:rPr>
        <w:t>Although we do not currently own issued patents or pending patent applications that have been generated through the use of U.S. government funding,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deadlines for the completion of such trials, research and studies.</w:t>
      </w:r>
    </w:p>
    <w:p>
      <w:pPr>
        <w:spacing w:after="0" w:line="62"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our product candidates. Third parties have a significant role in the conduct of our clinical trials and the subsequent collection and analysis of data. These third parties are not our employees, and except for remedies available to us under our agreements with such third parties, we have limited ability to control the amount or timing of resources that any such third party will devote to our clinical trials. The third parties we rely on for these services may also have relationships with other entities, some of which may be our competitors. Some of these third parties may terminate their engagements with us at any time. If we need to enter into alternative arrangements with a third party, it would delay our drug development activities.</w:t>
      </w:r>
    </w:p>
    <w:p>
      <w:pPr>
        <w:spacing w:after="0" w:line="69" w:lineRule="exact"/>
        <w:rPr>
          <w:sz w:val="20"/>
          <w:szCs w:val="20"/>
          <w:color w:val="auto"/>
        </w:rPr>
      </w:pPr>
    </w:p>
    <w:p>
      <w:pPr>
        <w:ind w:right="60" w:firstLine="749"/>
        <w:spacing w:after="0" w:line="269" w:lineRule="auto"/>
        <w:rPr>
          <w:sz w:val="20"/>
          <w:szCs w:val="20"/>
          <w:color w:val="auto"/>
        </w:rPr>
      </w:pPr>
      <w:r>
        <w:rPr>
          <w:rFonts w:ascii="Arial" w:cs="Arial" w:eastAsia="Arial" w:hAnsi="Arial"/>
          <w:sz w:val="17"/>
          <w:szCs w:val="17"/>
          <w:color w:val="auto"/>
        </w:rPr>
        <w:t>Our reliance on these third parties for such drug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substantially comply with GCP regulations. In addition, our clinical trials must be conducted with product produced under current cGMP regulations. Our failure to comply with these regulations may require us to repeat clinical trials, which would delay the marketing approval process.</w:t>
      </w:r>
    </w:p>
    <w:p>
      <w:pPr>
        <w:spacing w:after="0" w:line="74" w:lineRule="exact"/>
        <w:rPr>
          <w:sz w:val="20"/>
          <w:szCs w:val="20"/>
          <w:color w:val="auto"/>
        </w:rPr>
      </w:pPr>
    </w:p>
    <w:p>
      <w:pPr>
        <w:jc w:val="both"/>
        <w:ind w:right="280" w:firstLine="749"/>
        <w:spacing w:after="0" w:line="311" w:lineRule="auto"/>
        <w:rPr>
          <w:sz w:val="20"/>
          <w:szCs w:val="20"/>
          <w:color w:val="auto"/>
        </w:rPr>
      </w:pPr>
      <w:r>
        <w:rPr>
          <w:rFonts w:ascii="Arial" w:cs="Arial" w:eastAsia="Arial" w:hAnsi="Arial"/>
          <w:sz w:val="16"/>
          <w:szCs w:val="16"/>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right="80"/>
        <w:spacing w:after="0" w:line="279" w:lineRule="auto"/>
        <w:rPr>
          <w:sz w:val="20"/>
          <w:szCs w:val="20"/>
          <w:color w:val="auto"/>
        </w:rPr>
      </w:pPr>
      <w:r>
        <w:rPr>
          <w:rFonts w:ascii="Arial" w:cs="Arial" w:eastAsia="Arial" w:hAnsi="Arial"/>
          <w:sz w:val="17"/>
          <w:szCs w:val="17"/>
          <w:b w:val="1"/>
          <w:bCs w:val="1"/>
          <w:i w:val="1"/>
          <w:iCs w:val="1"/>
          <w:color w:val="auto"/>
        </w:rPr>
        <w:t>We contract with third parties for the production of our product candidates for preclinical studies and, in the case of ORIC-114, ORIC-533 and ORIC-944, our ongoing clinical trials, and expect to continue to do so for additional clinical trials and ultimately for commercialization.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63"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For each of our product candidates, we rely on a single third-party manufacturer and we currently have no alternative manufacturer in place. 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any product candidates for any reason, whether as a result of manufacturing, supply or storage issues or otherwise, we could experience delays, disruptions, suspensions or terminations of, or be required to restart or repeat, any pending or ongoing studies or clinical trials.</w:t>
      </w:r>
    </w:p>
    <w:p>
      <w:pPr>
        <w:spacing w:after="0" w:line="70"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57" w:lineRule="exact"/>
        <w:rPr>
          <w:sz w:val="20"/>
          <w:szCs w:val="20"/>
          <w:color w:val="auto"/>
        </w:rPr>
      </w:pPr>
    </w:p>
    <w:p>
      <w:pPr>
        <w:ind w:left="1260" w:right="80" w:hanging="503"/>
        <w:spacing w:after="0" w:line="263"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75"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40" w:lineRule="exact"/>
        <w:rPr>
          <w:rFonts w:ascii="Arial" w:cs="Arial" w:eastAsia="Arial" w:hAnsi="Arial"/>
          <w:sz w:val="16"/>
          <w:szCs w:val="16"/>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 including cGMPs;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7" w:lineRule="exact"/>
        <w:rPr>
          <w:rFonts w:ascii="Arial" w:cs="Arial" w:eastAsia="Arial" w:hAnsi="Arial"/>
          <w:sz w:val="18"/>
          <w:szCs w:val="18"/>
          <w:color w:val="auto"/>
        </w:rPr>
      </w:pPr>
    </w:p>
    <w:p>
      <w:pPr>
        <w:ind w:left="1260" w:right="280" w:hanging="503"/>
        <w:spacing w:after="0" w:line="277"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8"/>
          <w:szCs w:val="18"/>
          <w:color w:val="auto"/>
        </w:rPr>
      </w:pPr>
    </w:p>
    <w:p>
      <w:pPr>
        <w:ind w:left="1260" w:hanging="503"/>
        <w:spacing w:after="0" w:line="277"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117"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 As we advance our product candidates through development, we will consider our lack of redundant supply for the API and drug product for each of our product candidates to protect against any potential supply disruptions. However, we may be unsuccessful in putting in place such framework agreements or protecting against potential supply disruptions.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ind w:firstLine="749"/>
        <w:spacing w:after="0" w:line="287"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64" w:lineRule="exact"/>
        <w:rPr>
          <w:sz w:val="20"/>
          <w:szCs w:val="20"/>
          <w:color w:val="auto"/>
        </w:rPr>
      </w:pPr>
    </w:p>
    <w:p>
      <w:pPr>
        <w:ind w:right="140" w:firstLine="749"/>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From time to time, we evaluate various acquisition opportunities and strategic partnerships, including licensing or acquiring complementary products, intellectual property rights, technologies or businesses. For instance, in August 2020, we entered into the Mirati License Agreement pursuant to which we licensed from Mirati exclusive worldwide development and commercialization rights to its allosteric PRC2 inhibitor program and, in October 2020, we entered into the Voronoi License Agreement pursuant to which we licensed from Voronoi exclusive development and commercialization rights to its EGFR and HER2 exon 20 insertion mutation program worldwide (other than in the People’s Republic of China, Hong Kong, Macau and Taiwan). Any such acquisition or strategic partnership may entail numerous risks, including:</w:t>
      </w:r>
    </w:p>
    <w:p>
      <w:pPr>
        <w:spacing w:after="0" w:line="70" w:lineRule="exact"/>
        <w:rPr>
          <w:sz w:val="20"/>
          <w:szCs w:val="20"/>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1260" w:right="260" w:hanging="503"/>
        <w:spacing w:after="0" w:line="277"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programs and initiatives in pursuing such a strategic merger or acquisition;</w:t>
      </w:r>
    </w:p>
    <w:p>
      <w:pPr>
        <w:spacing w:after="0" w:line="140" w:lineRule="exact"/>
        <w:rPr>
          <w:rFonts w:ascii="Arial" w:cs="Arial" w:eastAsia="Arial" w:hAnsi="Arial"/>
          <w:sz w:val="16"/>
          <w:szCs w:val="16"/>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1260" w:right="600" w:hanging="503"/>
        <w:spacing w:after="0" w:line="277"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62" w:lineRule="exact"/>
        <w:rPr>
          <w:rFonts w:ascii="Arial" w:cs="Arial" w:eastAsia="Arial" w:hAnsi="Arial"/>
          <w:sz w:val="18"/>
          <w:szCs w:val="18"/>
          <w:color w:val="auto"/>
        </w:rPr>
      </w:pPr>
    </w:p>
    <w:p>
      <w:pPr>
        <w:ind w:left="1260" w:hanging="503"/>
        <w:spacing w:after="0" w:line="277"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62" w:lineRule="exact"/>
        <w:rPr>
          <w:sz w:val="20"/>
          <w:szCs w:val="20"/>
          <w:color w:val="auto"/>
        </w:rPr>
      </w:pPr>
    </w:p>
    <w:p>
      <w:pPr>
        <w:ind w:right="40" w:firstLine="749"/>
        <w:spacing w:after="0" w:line="279"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 For instance, in connection with the Mirati License Agreement, we issued to Mirati 588,235 shares of our common stock and, in connection with the Voronoi License Agreement, we issued Voronoi 283,259 shares of our common stock, each of which resulted in dilution to our existing stockholders.</w:t>
      </w:r>
    </w:p>
    <w:p>
      <w:pPr>
        <w:spacing w:after="0" w:line="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decide to establish additional collaborations, but are not able to establish those collaborations on commercially reasonable terms, we may have to alter our development and commercialization plans.</w:t>
      </w:r>
    </w:p>
    <w:p>
      <w:pPr>
        <w:spacing w:after="0" w:line="62"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We may seek to selectively form collaborations, such as our collaboration with Pfizer,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7" w:name="page68"/>
    <w:bookmarkEnd w:id="67"/>
    <w:p>
      <w:pPr>
        <w:ind w:firstLine="749"/>
        <w:spacing w:after="0" w:line="288" w:lineRule="auto"/>
        <w:rPr>
          <w:sz w:val="20"/>
          <w:szCs w:val="20"/>
          <w:color w:val="auto"/>
        </w:rPr>
      </w:pPr>
      <w:r>
        <w:rPr>
          <w:rFonts w:ascii="Arial" w:cs="Arial" w:eastAsia="Arial" w:hAnsi="Arial"/>
          <w:sz w:val="16"/>
          <w:szCs w:val="16"/>
          <w:color w:val="auto"/>
        </w:rPr>
        <w:t>We would face significant competition in seeking additional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60" w:lineRule="exact"/>
        <w:rPr>
          <w:sz w:val="20"/>
          <w:szCs w:val="20"/>
          <w:color w:val="auto"/>
        </w:rPr>
      </w:pPr>
    </w:p>
    <w:p>
      <w:pPr>
        <w:ind w:right="60" w:firstLine="749"/>
        <w:spacing w:after="0" w:line="311" w:lineRule="auto"/>
        <w:rPr>
          <w:sz w:val="20"/>
          <w:szCs w:val="20"/>
          <w:color w:val="auto"/>
        </w:rPr>
      </w:pPr>
      <w:r>
        <w:rPr>
          <w:rFonts w:ascii="Arial" w:cs="Arial" w:eastAsia="Arial" w:hAnsi="Arial"/>
          <w:sz w:val="16"/>
          <w:szCs w:val="16"/>
          <w:color w:val="auto"/>
        </w:rPr>
        <w:t>In addition, there have been a significant number of recent business combinations among large pharmaceutical companies that have resulted in a reduced number of potential future collaborators. Even when we are successful in entering into a collaboration, such as our collaboration with Pfizer, the terms and conditions of that collaboration may restrict us from entering into future agreements on certain terms with potential collaborators.</w:t>
      </w:r>
    </w:p>
    <w:p>
      <w:pPr>
        <w:spacing w:after="0" w:line="41"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62" w:lineRule="exact"/>
        <w:rPr>
          <w:sz w:val="20"/>
          <w:szCs w:val="20"/>
          <w:color w:val="auto"/>
        </w:rPr>
      </w:pPr>
    </w:p>
    <w:p>
      <w:pPr>
        <w:ind w:right="220" w:firstLine="749"/>
        <w:spacing w:after="0" w:line="279" w:lineRule="auto"/>
        <w:rPr>
          <w:sz w:val="20"/>
          <w:szCs w:val="20"/>
          <w:color w:val="auto"/>
        </w:rPr>
      </w:pPr>
      <w:r>
        <w:rPr>
          <w:rFonts w:ascii="Arial" w:cs="Arial" w:eastAsia="Arial" w:hAnsi="Arial"/>
          <w:sz w:val="17"/>
          <w:szCs w:val="17"/>
          <w:color w:val="auto"/>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63" w:lineRule="exact"/>
        <w:rPr>
          <w:sz w:val="20"/>
          <w:szCs w:val="20"/>
          <w:color w:val="auto"/>
        </w:rPr>
      </w:pPr>
    </w:p>
    <w:p>
      <w:pPr>
        <w:ind w:left="1260" w:right="320" w:hanging="503"/>
        <w:spacing w:after="0" w:line="277"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62" w:lineRule="exact"/>
        <w:rPr>
          <w:rFonts w:ascii="Arial" w:cs="Arial" w:eastAsia="Arial" w:hAnsi="Arial"/>
          <w:sz w:val="18"/>
          <w:szCs w:val="18"/>
          <w:color w:val="auto"/>
        </w:rPr>
      </w:pPr>
    </w:p>
    <w:p>
      <w:pPr>
        <w:ind w:left="1260" w:right="100" w:hanging="503"/>
        <w:spacing w:after="0" w:line="279" w:lineRule="auto"/>
        <w:tabs>
          <w:tab w:leader="none" w:pos="1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63" w:lineRule="exact"/>
        <w:rPr>
          <w:rFonts w:ascii="Arial" w:cs="Arial" w:eastAsia="Arial" w:hAnsi="Arial"/>
          <w:sz w:val="17"/>
          <w:szCs w:val="17"/>
          <w:color w:val="auto"/>
        </w:rPr>
      </w:pPr>
    </w:p>
    <w:p>
      <w:pPr>
        <w:ind w:left="1260" w:right="540" w:hanging="503"/>
        <w:spacing w:after="0" w:line="342" w:lineRule="auto"/>
        <w:tabs>
          <w:tab w:leader="none" w:pos="1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collaborators may rely on third parties to conduct development, manufacturing, and/or commercialization activities, and except for remedies available to us under our collaboration agreements, we have limited ability to control the conduct of such activities;</w:t>
      </w:r>
    </w:p>
    <w:p>
      <w:pPr>
        <w:spacing w:after="0" w:line="15" w:lineRule="exact"/>
        <w:rPr>
          <w:rFonts w:ascii="Arial" w:cs="Arial" w:eastAsia="Arial" w:hAnsi="Arial"/>
          <w:sz w:val="16"/>
          <w:szCs w:val="16"/>
          <w:color w:val="auto"/>
        </w:rPr>
      </w:pPr>
    </w:p>
    <w:p>
      <w:pPr>
        <w:ind w:left="1260" w:right="200" w:hanging="503"/>
        <w:spacing w:after="0" w:line="308" w:lineRule="auto"/>
        <w:tabs>
          <w:tab w:leader="none" w:pos="1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260" w:right="220" w:hanging="503"/>
        <w:spacing w:after="0" w:line="263"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260" w:right="500" w:hanging="503"/>
        <w:spacing w:after="0" w:line="277"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1260" w:right="60" w:hanging="503"/>
        <w:spacing w:after="0" w:line="277"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collaborators may not properly obtain, maintain, defend or enforce our intellectual property rights or may use our proprietary information and intellectual property in such a way as to invite litigation or other intellectual property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8" w:name="page69"/>
    <w:bookmarkEnd w:id="68"/>
    <w:p>
      <w:pPr>
        <w:ind w:left="1260" w:right="300"/>
        <w:spacing w:after="0" w:line="277" w:lineRule="auto"/>
        <w:rPr>
          <w:sz w:val="20"/>
          <w:szCs w:val="20"/>
          <w:color w:val="auto"/>
        </w:rPr>
      </w:pPr>
      <w:r>
        <w:rPr>
          <w:rFonts w:ascii="Arial" w:cs="Arial" w:eastAsia="Arial" w:hAnsi="Arial"/>
          <w:sz w:val="18"/>
          <w:szCs w:val="18"/>
          <w:color w:val="auto"/>
        </w:rPr>
        <w:t>related proceedings that could jeopardize or invalidate our proprietary information and intellectual property or expose us to potential litigation or other intellectual property related proceedings;</w:t>
      </w:r>
    </w:p>
    <w:p>
      <w:pPr>
        <w:spacing w:after="0" w:line="62" w:lineRule="exact"/>
        <w:rPr>
          <w:sz w:val="20"/>
          <w:szCs w:val="20"/>
          <w:color w:val="auto"/>
        </w:rPr>
      </w:pPr>
    </w:p>
    <w:p>
      <w:pPr>
        <w:ind w:left="1260" w:right="520" w:hanging="503"/>
        <w:spacing w:after="0" w:line="263"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75" w:lineRule="exact"/>
        <w:rPr>
          <w:rFonts w:ascii="Arial" w:cs="Arial" w:eastAsia="Arial" w:hAnsi="Arial"/>
          <w:sz w:val="18"/>
          <w:szCs w:val="18"/>
          <w:color w:val="auto"/>
        </w:rPr>
      </w:pPr>
    </w:p>
    <w:p>
      <w:pPr>
        <w:ind w:left="1260" w:right="620" w:hanging="503"/>
        <w:spacing w:after="0" w:line="277"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140" w:lineRule="exact"/>
        <w:rPr>
          <w:rFonts w:ascii="Arial" w:cs="Arial" w:eastAsia="Arial" w:hAnsi="Arial"/>
          <w:sz w:val="16"/>
          <w:szCs w:val="16"/>
          <w:color w:val="auto"/>
        </w:rPr>
      </w:pPr>
    </w:p>
    <w:p>
      <w:pPr>
        <w:ind w:left="1260" w:right="460" w:hanging="503"/>
        <w:spacing w:after="0" w:line="263"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75" w:lineRule="exact"/>
        <w:rPr>
          <w:rFonts w:ascii="Arial" w:cs="Arial" w:eastAsia="Arial" w:hAnsi="Arial"/>
          <w:sz w:val="18"/>
          <w:szCs w:val="18"/>
          <w:color w:val="auto"/>
        </w:rPr>
      </w:pPr>
    </w:p>
    <w:p>
      <w:pPr>
        <w:ind w:left="1260" w:right="100" w:hanging="503"/>
        <w:spacing w:after="0" w:line="277"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62" w:lineRule="exact"/>
        <w:rPr>
          <w:rFonts w:ascii="Arial" w:cs="Arial" w:eastAsia="Arial" w:hAnsi="Arial"/>
          <w:sz w:val="18"/>
          <w:szCs w:val="18"/>
          <w:color w:val="auto"/>
        </w:rPr>
      </w:pPr>
    </w:p>
    <w:p>
      <w:pPr>
        <w:ind w:left="1260" w:right="300" w:hanging="503"/>
        <w:spacing w:after="0" w:line="277"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continue for our common stock or what the market price of our common stock will be and as a result it may be difficult for you to sell your shares of our common stock.</w:t>
      </w:r>
    </w:p>
    <w:p>
      <w:pPr>
        <w:spacing w:after="0" w:line="62"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Prior to our IPO in April 2020, there was no public market for shares of our common stock. Shares of our common stock only recently began trading on Nasdaq, but we can provide no assurance that we will be able to sustain an active trading market for our shares.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is volatile.</w:t>
      </w:r>
    </w:p>
    <w:p>
      <w:pPr>
        <w:spacing w:after="0" w:line="117" w:lineRule="exact"/>
        <w:rPr>
          <w:sz w:val="20"/>
          <w:szCs w:val="20"/>
          <w:color w:val="auto"/>
        </w:rPr>
      </w:pPr>
    </w:p>
    <w:p>
      <w:pPr>
        <w:ind w:right="100" w:firstLine="749"/>
        <w:spacing w:after="0" w:line="286"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Broad market and industry factors may negatively affect the market price of our common stock, regardless of our actual operating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factors discussed in this “Risk factors” section and elsewhere in this periodic report, these factors include:</w:t>
      </w:r>
    </w:p>
    <w:p>
      <w:pPr>
        <w:spacing w:after="0" w:line="103" w:lineRule="exact"/>
        <w:rPr>
          <w:sz w:val="20"/>
          <w:szCs w:val="20"/>
          <w:color w:val="auto"/>
        </w:rPr>
      </w:pPr>
    </w:p>
    <w:p>
      <w:pPr>
        <w:ind w:left="1260" w:right="80" w:hanging="503"/>
        <w:spacing w:after="0" w:line="277"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of our product candidates, those conducted by third parties or those of our competitors;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260" w:right="340" w:hanging="503"/>
        <w:spacing w:after="0" w:line="277"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40" w:lineRule="exact"/>
        <w:rPr>
          <w:rFonts w:ascii="Arial" w:cs="Arial" w:eastAsia="Arial" w:hAnsi="Arial"/>
          <w:sz w:val="16"/>
          <w:szCs w:val="16"/>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69" w:name="page70"/>
    <w:bookmarkEnd w:id="69"/>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 and</w:t>
      </w:r>
    </w:p>
    <w:p>
      <w:pPr>
        <w:spacing w:after="0" w:line="117" w:lineRule="exact"/>
        <w:rPr>
          <w:rFonts w:ascii="Arial" w:cs="Arial" w:eastAsia="Arial" w:hAnsi="Arial"/>
          <w:sz w:val="18"/>
          <w:szCs w:val="18"/>
          <w:color w:val="auto"/>
        </w:rPr>
      </w:pPr>
    </w:p>
    <w:p>
      <w:pPr>
        <w:ind w:left="1260" w:right="40" w:hanging="503"/>
        <w:spacing w:after="0" w:line="277"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 including the military conflict between Russia and Ukraine and instability in the financial markets and banking industry.</w:t>
      </w:r>
    </w:p>
    <w:p>
      <w:pPr>
        <w:spacing w:after="0" w:line="62"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62" w:lineRule="exact"/>
        <w:rPr>
          <w:sz w:val="20"/>
          <w:szCs w:val="20"/>
          <w:color w:val="auto"/>
        </w:rPr>
      </w:pPr>
    </w:p>
    <w:p>
      <w:pPr>
        <w:ind w:right="40" w:firstLine="749"/>
        <w:spacing w:after="0" w:line="296" w:lineRule="auto"/>
        <w:rPr>
          <w:sz w:val="20"/>
          <w:szCs w:val="20"/>
          <w:color w:val="auto"/>
        </w:rPr>
      </w:pPr>
      <w:r>
        <w:rPr>
          <w:rFonts w:ascii="Arial" w:cs="Arial" w:eastAsia="Arial" w:hAnsi="Arial"/>
          <w:sz w:val="16"/>
          <w:szCs w:val="16"/>
          <w:color w:val="auto"/>
        </w:rPr>
        <w:t>The trading market for our common stock is influenced by the research and reports that securities or industry analysts publish about us, our business or our market. We currently have research coverage from a limited number of securities or industry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5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80" w:lineRule="exact"/>
        <w:rPr>
          <w:sz w:val="20"/>
          <w:szCs w:val="20"/>
          <w:color w:val="auto"/>
        </w:rPr>
      </w:pPr>
    </w:p>
    <w:p>
      <w:pPr>
        <w:jc w:val="both"/>
        <w:ind w:right="80" w:firstLine="749"/>
        <w:spacing w:after="0" w:line="259"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79" w:lineRule="exact"/>
        <w:rPr>
          <w:sz w:val="20"/>
          <w:szCs w:val="20"/>
          <w:color w:val="auto"/>
        </w:rPr>
      </w:pPr>
    </w:p>
    <w:p>
      <w:pPr>
        <w:jc w:val="both"/>
        <w:ind w:right="100" w:firstLine="749"/>
        <w:spacing w:after="0" w:line="277"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62" w:lineRule="exact"/>
        <w:rPr>
          <w:sz w:val="20"/>
          <w:szCs w:val="20"/>
          <w:color w:val="auto"/>
        </w:rPr>
      </w:pPr>
    </w:p>
    <w:p>
      <w:pPr>
        <w:ind w:left="1260" w:right="100" w:hanging="503"/>
        <w:spacing w:after="0" w:line="277"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1260" w:hanging="503"/>
        <w:spacing w:after="0" w:line="263"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75"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and outcomes of clinical trials for any of our product candidates, or competing product candidates;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17" w:lineRule="exact"/>
        <w:rPr>
          <w:rFonts w:ascii="Arial" w:cs="Arial" w:eastAsia="Arial" w:hAnsi="Arial"/>
          <w:sz w:val="18"/>
          <w:szCs w:val="18"/>
          <w:color w:val="auto"/>
        </w:rPr>
      </w:pPr>
    </w:p>
    <w:p>
      <w:pPr>
        <w:ind w:left="1260" w:right="100" w:hanging="503"/>
        <w:spacing w:after="0" w:line="277"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any of our product candidates, and changes in the competitive landscape of our industry, including consolidation among our competitors or partners;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delays in regulatory review or approval of any of our product candidates;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70" w:name="page71"/>
    <w:bookmarkEnd w:id="70"/>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of demand for any of our product candidates, if approved, which may fluctuate significantly and be difficult to predict;</w:t>
      </w:r>
    </w:p>
    <w:p>
      <w:pPr>
        <w:spacing w:after="0" w:line="117" w:lineRule="exact"/>
        <w:rPr>
          <w:rFonts w:ascii="Arial" w:cs="Arial" w:eastAsia="Arial" w:hAnsi="Arial"/>
          <w:sz w:val="18"/>
          <w:szCs w:val="18"/>
          <w:color w:val="auto"/>
        </w:rPr>
      </w:pPr>
    </w:p>
    <w:p>
      <w:pPr>
        <w:ind w:left="1260" w:right="280" w:hanging="503"/>
        <w:spacing w:after="0" w:line="277"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any of our product candidates;</w:t>
      </w:r>
    </w:p>
    <w:p>
      <w:pPr>
        <w:spacing w:after="0" w:line="62" w:lineRule="exact"/>
        <w:rPr>
          <w:rFonts w:ascii="Arial" w:cs="Arial" w:eastAsia="Arial" w:hAnsi="Arial"/>
          <w:sz w:val="18"/>
          <w:szCs w:val="18"/>
          <w:color w:val="auto"/>
        </w:rPr>
      </w:pPr>
    </w:p>
    <w:p>
      <w:pPr>
        <w:ind w:left="1260" w:right="200" w:hanging="503"/>
        <w:spacing w:after="0" w:line="277"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commercialize any of our product candidates, if approved, inside and outside of the United States, either independently or working with third parties;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117" w:lineRule="exact"/>
        <w:rPr>
          <w:sz w:val="20"/>
          <w:szCs w:val="20"/>
          <w:color w:val="auto"/>
        </w:rPr>
      </w:pPr>
    </w:p>
    <w:p>
      <w:pPr>
        <w:ind w:right="140" w:firstLine="749"/>
        <w:spacing w:after="0" w:line="293"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120" w:firstLine="749"/>
        <w:spacing w:after="0" w:line="291" w:lineRule="auto"/>
        <w:rPr>
          <w:sz w:val="20"/>
          <w:szCs w:val="20"/>
          <w:color w:val="auto"/>
        </w:rPr>
      </w:pPr>
      <w:r>
        <w:rPr>
          <w:rFonts w:ascii="Arial" w:cs="Arial" w:eastAsia="Arial" w:hAnsi="Arial"/>
          <w:sz w:val="16"/>
          <w:szCs w:val="16"/>
          <w:color w:val="auto"/>
        </w:rPr>
        <w:t>As of June 30, 2023, our executive officers, directors, holders of 5% or more of our common stock and their respective affiliates beneficially owned approximately 45% of our outstanding common stock.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200" w:firstLine="749"/>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38" w:lineRule="exact"/>
        <w:rPr>
          <w:sz w:val="20"/>
          <w:szCs w:val="20"/>
          <w:color w:val="auto"/>
        </w:rPr>
      </w:pPr>
    </w:p>
    <w:p>
      <w:pPr>
        <w:ind w:right="120" w:firstLine="749"/>
        <w:spacing w:after="0" w:line="301" w:lineRule="auto"/>
        <w:rPr>
          <w:sz w:val="20"/>
          <w:szCs w:val="20"/>
          <w:color w:val="auto"/>
        </w:rPr>
      </w:pPr>
      <w:r>
        <w:rPr>
          <w:rFonts w:ascii="Arial" w:cs="Arial" w:eastAsia="Arial" w:hAnsi="Arial"/>
          <w:sz w:val="16"/>
          <w:szCs w:val="16"/>
          <w:color w:val="auto"/>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spacing w:after="0" w:line="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76" w:lineRule="exact"/>
        <w:rPr>
          <w:sz w:val="20"/>
          <w:szCs w:val="20"/>
          <w:color w:val="auto"/>
        </w:rPr>
      </w:pPr>
    </w:p>
    <w:p>
      <w:pPr>
        <w:ind w:left="1260" w:right="300" w:hanging="503"/>
        <w:spacing w:after="0" w:line="263"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75" w:lineRule="exact"/>
        <w:rPr>
          <w:rFonts w:ascii="Arial" w:cs="Arial" w:eastAsia="Arial" w:hAnsi="Arial"/>
          <w:sz w:val="18"/>
          <w:szCs w:val="18"/>
          <w:color w:val="auto"/>
        </w:rPr>
      </w:pPr>
    </w:p>
    <w:p>
      <w:pPr>
        <w:ind w:left="1260" w:right="340" w:hanging="503"/>
        <w:spacing w:after="0" w:line="277"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(Sarbanes-Oxley Act);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1" w:name="page72"/>
    <w:bookmarkEnd w:id="71"/>
    <w:p>
      <w:pPr>
        <w:ind w:left="1260" w:right="220" w:hanging="503"/>
        <w:spacing w:after="0" w:line="263"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1260" w:hanging="503"/>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17" w:lineRule="exact"/>
        <w:rPr>
          <w:rFonts w:ascii="Arial" w:cs="Arial" w:eastAsia="Arial" w:hAnsi="Arial"/>
          <w:sz w:val="18"/>
          <w:szCs w:val="18"/>
          <w:color w:val="auto"/>
        </w:rPr>
      </w:pPr>
    </w:p>
    <w:p>
      <w:pPr>
        <w:ind w:left="1260" w:hanging="503"/>
        <w:spacing w:after="0" w:line="277"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62"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not to avail ourselves of this exemption from new or revised accounting standards and, therefore, will be subject to the same new or revised accounting standards as other public companies that are not emerging growth companies. As a result, our financial statements may not be comparable to emerging growth companies that elect to avail themselves of the exemption from new or revised accounting pronouncements as of public company effective dates.</w:t>
      </w:r>
    </w:p>
    <w:p>
      <w:pPr>
        <w:spacing w:after="0" w:line="80" w:lineRule="exact"/>
        <w:rPr>
          <w:sz w:val="20"/>
          <w:szCs w:val="20"/>
          <w:color w:val="auto"/>
        </w:rPr>
      </w:pPr>
    </w:p>
    <w:p>
      <w:pPr>
        <w:ind w:right="20" w:firstLine="749"/>
        <w:spacing w:after="0" w:line="311" w:lineRule="auto"/>
        <w:rPr>
          <w:sz w:val="20"/>
          <w:szCs w:val="20"/>
          <w:color w:val="auto"/>
        </w:rPr>
      </w:pPr>
      <w:r>
        <w:rPr>
          <w:rFonts w:ascii="Arial" w:cs="Arial" w:eastAsia="Arial" w:hAnsi="Arial"/>
          <w:sz w:val="16"/>
          <w:szCs w:val="16"/>
          <w:color w:val="auto"/>
        </w:rPr>
        <w:t>We will remain an emerging growth company until the earliest to occur of: (1) the last day of the fiscal year in which we have more than $1.235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spacing w:after="0" w:line="41" w:lineRule="exact"/>
        <w:rPr>
          <w:sz w:val="20"/>
          <w:szCs w:val="20"/>
          <w:color w:val="auto"/>
        </w:rPr>
      </w:pPr>
    </w:p>
    <w:p>
      <w:pPr>
        <w:ind w:right="240" w:firstLine="749"/>
        <w:spacing w:after="0" w:line="342"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related compliance initiatives. Additionally, if we fail to maintain proper and effective internal controls, our ability to produce accurate financial statements on a timely basis could be impaired.</w:t>
      </w:r>
    </w:p>
    <w:p>
      <w:pPr>
        <w:spacing w:after="0" w:line="76"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Nasdaq. Our management and other personnel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these rules and regulations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7" w:lineRule="exact"/>
        <w:rPr>
          <w:sz w:val="20"/>
          <w:szCs w:val="20"/>
          <w:color w:val="auto"/>
        </w:rPr>
      </w:pPr>
    </w:p>
    <w:p>
      <w:pPr>
        <w:ind w:right="160" w:firstLine="749"/>
        <w:spacing w:after="0" w:line="290" w:lineRule="auto"/>
        <w:rPr>
          <w:sz w:val="20"/>
          <w:szCs w:val="20"/>
          <w:color w:val="auto"/>
        </w:rPr>
      </w:pPr>
      <w:r>
        <w:rPr>
          <w:rFonts w:ascii="Arial" w:cs="Arial" w:eastAsia="Arial" w:hAnsi="Arial"/>
          <w:sz w:val="16"/>
          <w:szCs w:val="16"/>
          <w:color w:val="auto"/>
        </w:rPr>
        <w:t>In addition, as a public company we are required to incur additional costs and obligations in order to comply with SEC rules that implement Section 404 of the Sarbanes-Oxley Act. Under these rules, we are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57" w:lineRule="exact"/>
        <w:rPr>
          <w:sz w:val="20"/>
          <w:szCs w:val="20"/>
          <w:color w:val="auto"/>
        </w:rPr>
      </w:pPr>
    </w:p>
    <w:p>
      <w:pPr>
        <w:ind w:right="260" w:firstLine="749"/>
        <w:spacing w:after="0" w:line="254"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0"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The market price of our common stock is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76"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1"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6" w:lineRule="exact"/>
        <w:rPr>
          <w:sz w:val="20"/>
          <w:szCs w:val="20"/>
          <w:color w:val="auto"/>
        </w:rPr>
      </w:pPr>
    </w:p>
    <w:p>
      <w:pPr>
        <w:ind w:left="1260" w:hanging="503"/>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1260" w:right="140" w:hanging="503"/>
        <w:spacing w:after="0" w:line="277" w:lineRule="auto"/>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28" w:lineRule="exact"/>
        <w:rPr>
          <w:rFonts w:ascii="Arial" w:cs="Arial" w:eastAsia="Arial" w:hAnsi="Arial"/>
          <w:sz w:val="17"/>
          <w:szCs w:val="17"/>
          <w:color w:val="auto"/>
        </w:rPr>
      </w:pPr>
    </w:p>
    <w:p>
      <w:pPr>
        <w:ind w:left="1260" w:hanging="503"/>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17" w:lineRule="exact"/>
        <w:rPr>
          <w:rFonts w:ascii="Arial" w:cs="Arial" w:eastAsia="Arial" w:hAnsi="Arial"/>
          <w:sz w:val="18"/>
          <w:szCs w:val="18"/>
          <w:color w:val="auto"/>
        </w:rPr>
      </w:pPr>
    </w:p>
    <w:p>
      <w:pPr>
        <w:ind w:left="1260" w:right="600" w:hanging="503"/>
        <w:spacing w:after="0" w:line="277" w:lineRule="auto"/>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117"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9"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ind w:right="6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may limit our stockholders’ ability to obtain a favorable judicial forum for disputes with us or our directors, officers or employees.</w:t>
      </w:r>
    </w:p>
    <w:p>
      <w:pPr>
        <w:spacing w:after="0" w:line="76" w:lineRule="exact"/>
        <w:rPr>
          <w:sz w:val="20"/>
          <w:szCs w:val="20"/>
          <w:color w:val="auto"/>
        </w:rPr>
      </w:pPr>
    </w:p>
    <w:p>
      <w:pPr>
        <w:ind w:right="160" w:firstLine="749"/>
        <w:spacing w:after="0" w:line="275"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68" w:lineRule="exact"/>
        <w:rPr>
          <w:sz w:val="20"/>
          <w:szCs w:val="20"/>
          <w:color w:val="auto"/>
        </w:rPr>
      </w:pPr>
    </w:p>
    <w:p>
      <w:pPr>
        <w:ind w:left="1260" w:hanging="503"/>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17" w:lineRule="exact"/>
        <w:rPr>
          <w:rFonts w:ascii="Arial" w:cs="Arial" w:eastAsia="Arial" w:hAnsi="Arial"/>
          <w:sz w:val="18"/>
          <w:szCs w:val="18"/>
          <w:color w:val="auto"/>
        </w:rPr>
      </w:pPr>
    </w:p>
    <w:p>
      <w:pPr>
        <w:ind w:left="1260" w:hanging="503"/>
        <w:spacing w:after="0" w:line="277"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provision does not apply to suits brought to enforce a duty or liability created by the Exchange Act or any other claim for which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courts have exclusive jurisdiction.</w:t>
      </w:r>
    </w:p>
    <w:p>
      <w:pPr>
        <w:spacing w:after="0" w:line="103"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w:t>
      </w:r>
    </w:p>
    <w:p>
      <w:pPr>
        <w:spacing w:after="0" w:line="6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spacing w:after="0" w:line="80" w:lineRule="exact"/>
        <w:rPr>
          <w:sz w:val="20"/>
          <w:szCs w:val="20"/>
          <w:color w:val="auto"/>
        </w:rPr>
      </w:pPr>
    </w:p>
    <w:p>
      <w:pPr>
        <w:ind w:right="300" w:firstLine="749"/>
        <w:spacing w:after="0" w:line="263" w:lineRule="auto"/>
        <w:rPr>
          <w:sz w:val="20"/>
          <w:szCs w:val="20"/>
          <w:color w:val="auto"/>
        </w:rPr>
      </w:pPr>
      <w:r>
        <w:rPr>
          <w:rFonts w:ascii="Arial" w:cs="Arial" w:eastAsia="Arial" w:hAnsi="Arial"/>
          <w:sz w:val="18"/>
          <w:szCs w:val="18"/>
          <w:color w:val="auto"/>
        </w:rPr>
        <w:t>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On June 24, 2023, the Company entered into a securities purchase agreement with certain investors for the private placement of 9,285,710 shares of common stock at a price of $7.00 per share and pre-funded warrants to purchase 2,857,142 shares of common stock at a purchase price of $6.9999 per pre-funded warrant, resulting in gross proceeds of $85.0 million. The pre-funded warrants have an exercise price of $0.0001 per share of common stock, were immediately exercisable and will remain exercisable until exercised in full. The purchase price per share represents a premium to the market price at the time of sale. After deducting offering expenses related to the private placement of $0.2 million, the net proceeds to the Company from the private placement were $84.8 million. The private placement closed on June 27, 2023. The Company intends to use the net proceeds from the private placement to fund research and development of its clinical-stage product candidates and research programs and for working capital and general corporate purposes. The Company is relying on the exemptions from registration available under Section 4(a)(2) and/or Rule 506(b) of Regulation D promulgated under the Securities Act with respect to transactions by an issuer not involving any public offering, and the Company filed a Form D with respect to the private placement on July 5, 2023.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6. 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w w:val="92"/>
              </w:rPr>
              <w:t>Incorporated by Reference</w:t>
            </w:r>
          </w:p>
        </w:tc>
        <w:tc>
          <w:tcPr>
            <w:tcW w:w="1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20" w:type="dxa"/>
            <w:vAlign w:val="bottom"/>
          </w:tcPr>
          <w:p>
            <w:pPr>
              <w:ind w:left="280"/>
              <w:spacing w:after="0" w:line="133" w:lineRule="exact"/>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60" w:type="dxa"/>
            <w:vAlign w:val="bottom"/>
            <w:gridSpan w:val="10"/>
            <w:vMerge w:val="restart"/>
          </w:tcPr>
          <w:p>
            <w:pPr>
              <w:ind w:left="1440"/>
              <w:spacing w:after="0"/>
              <w:rPr>
                <w:sz w:val="20"/>
                <w:szCs w:val="20"/>
                <w:color w:val="auto"/>
              </w:rPr>
            </w:pPr>
            <w:r>
              <w:rPr>
                <w:rFonts w:ascii="Arial" w:cs="Arial" w:eastAsia="Arial" w:hAnsi="Arial"/>
                <w:sz w:val="14"/>
                <w:szCs w:val="14"/>
                <w:b w:val="1"/>
                <w:bCs w:val="1"/>
                <w:color w:val="auto"/>
              </w:rPr>
              <w:t>Exhibit Description</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6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26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85"/>
        </w:trPr>
        <w:tc>
          <w:tcPr>
            <w:tcW w:w="1020" w:type="dxa"/>
            <w:vAlign w:val="bottom"/>
          </w:tcPr>
          <w:p>
            <w:pPr>
              <w:ind w:left="26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60" w:type="dxa"/>
            <w:vAlign w:val="bottom"/>
            <w:gridSpan w:val="10"/>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4.1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100" w:type="dxa"/>
            <w:vAlign w:val="bottom"/>
            <w:tcBorders>
              <w:top w:val="single" w:sz="8" w:color="auto"/>
            </w:tcBorders>
            <w:gridSpan w:val="9"/>
          </w:tcPr>
          <w:p>
            <w:pPr>
              <w:spacing w:after="0" w:line="182" w:lineRule="exact"/>
              <w:rPr>
                <w:rFonts w:ascii="Arial" w:cs="Arial" w:eastAsia="Arial" w:hAnsi="Arial"/>
                <w:sz w:val="18"/>
                <w:szCs w:val="18"/>
                <w:color w:val="0000FF"/>
              </w:rPr>
            </w:pPr>
            <w:hyperlink r:id="rId222">
              <w:r>
                <w:rPr>
                  <w:rFonts w:ascii="Arial" w:cs="Arial" w:eastAsia="Arial" w:hAnsi="Arial"/>
                  <w:sz w:val="18"/>
                  <w:szCs w:val="18"/>
                  <w:color w:val="0000FF"/>
                </w:rPr>
                <w:t>Form of Pre-Funded Warrant</w:t>
              </w:r>
            </w:hyperlink>
          </w:p>
        </w:tc>
        <w:tc>
          <w:tcPr>
            <w:tcW w:w="260" w:type="dxa"/>
            <w:vAlign w:val="bottom"/>
          </w:tcPr>
          <w:p>
            <w:pPr>
              <w:spacing w:after="0"/>
              <w:rPr>
                <w:sz w:val="15"/>
                <w:szCs w:val="15"/>
                <w:color w:val="auto"/>
              </w:rPr>
            </w:pPr>
          </w:p>
        </w:tc>
        <w:tc>
          <w:tcPr>
            <w:tcW w:w="7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8-K</w:t>
            </w:r>
          </w:p>
        </w:tc>
        <w:tc>
          <w:tcPr>
            <w:tcW w:w="260" w:type="dxa"/>
            <w:vAlign w:val="bottom"/>
          </w:tcPr>
          <w:p>
            <w:pPr>
              <w:spacing w:after="0"/>
              <w:rPr>
                <w:sz w:val="15"/>
                <w:szCs w:val="15"/>
                <w:color w:val="auto"/>
              </w:rPr>
            </w:pPr>
          </w:p>
        </w:tc>
        <w:tc>
          <w:tcPr>
            <w:tcW w:w="12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001-39269</w:t>
            </w:r>
          </w:p>
        </w:tc>
        <w:tc>
          <w:tcPr>
            <w:tcW w:w="260" w:type="dxa"/>
            <w:vAlign w:val="bottom"/>
          </w:tcPr>
          <w:p>
            <w:pPr>
              <w:spacing w:after="0"/>
              <w:rPr>
                <w:sz w:val="15"/>
                <w:szCs w:val="15"/>
                <w:color w:val="auto"/>
              </w:rPr>
            </w:pPr>
          </w:p>
        </w:tc>
        <w:tc>
          <w:tcPr>
            <w:tcW w:w="860" w:type="dxa"/>
            <w:vAlign w:val="bottom"/>
            <w:tcBorders>
              <w:top w:val="single" w:sz="8" w:color="auto"/>
            </w:tcBorders>
          </w:tcPr>
          <w:p>
            <w:pPr>
              <w:jc w:val="right"/>
              <w:ind w:right="239"/>
              <w:spacing w:after="0" w:line="182" w:lineRule="exact"/>
              <w:rPr>
                <w:sz w:val="20"/>
                <w:szCs w:val="20"/>
                <w:color w:val="auto"/>
              </w:rPr>
            </w:pPr>
            <w:r>
              <w:rPr>
                <w:rFonts w:ascii="Arial" w:cs="Arial" w:eastAsia="Arial" w:hAnsi="Arial"/>
                <w:sz w:val="18"/>
                <w:szCs w:val="18"/>
                <w:color w:val="auto"/>
              </w:rPr>
              <w:t>4.1</w:t>
            </w:r>
          </w:p>
        </w:tc>
        <w:tc>
          <w:tcPr>
            <w:tcW w:w="260" w:type="dxa"/>
            <w:vAlign w:val="bottom"/>
          </w:tcPr>
          <w:p>
            <w:pPr>
              <w:spacing w:after="0"/>
              <w:rPr>
                <w:sz w:val="15"/>
                <w:szCs w:val="15"/>
                <w:color w:val="auto"/>
              </w:rPr>
            </w:pPr>
          </w:p>
        </w:tc>
        <w:tc>
          <w:tcPr>
            <w:tcW w:w="19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3"/>
              </w:rPr>
              <w:t>6/27/23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gridSpan w:val="10"/>
          </w:tcPr>
          <w:p>
            <w:pPr>
              <w:spacing w:after="0"/>
              <w:rPr>
                <w:rFonts w:ascii="Arial" w:cs="Arial" w:eastAsia="Arial" w:hAnsi="Arial"/>
                <w:sz w:val="18"/>
                <w:szCs w:val="18"/>
                <w:color w:val="0000FF"/>
              </w:rPr>
            </w:pPr>
            <w:hyperlink r:id="rId223">
              <w:r>
                <w:rPr>
                  <w:rFonts w:ascii="Arial" w:cs="Arial" w:eastAsia="Arial" w:hAnsi="Arial"/>
                  <w:sz w:val="18"/>
                  <w:szCs w:val="18"/>
                  <w:color w:val="0000FF"/>
                </w:rPr>
                <w:t>Securities Purchase Agreement, dated June 24, 2023</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001-39269</w:t>
            </w:r>
          </w:p>
        </w:tc>
        <w:tc>
          <w:tcPr>
            <w:tcW w:w="1120" w:type="dxa"/>
            <w:vAlign w:val="bottom"/>
            <w:gridSpan w:val="2"/>
          </w:tcPr>
          <w:p>
            <w:pPr>
              <w:jc w:val="right"/>
              <w:ind w:right="179"/>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6/27/23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3"/>
              </w:rPr>
              <w:t>Certification of Principal Executive Officer Pursuant to</w:t>
            </w:r>
          </w:p>
        </w:tc>
        <w:tc>
          <w:tcPr>
            <w:tcW w:w="340" w:type="dxa"/>
            <w:vAlign w:val="bottom"/>
            <w:gridSpan w:val="3"/>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Rules 13a-14(a) and 15d-14(a) under the Securities</w:t>
            </w:r>
          </w:p>
        </w:tc>
        <w:tc>
          <w:tcPr>
            <w:tcW w:w="60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0"/>
              </w:rPr>
              <w:t>Exchange Act of 1934, as Adopted Pursuant to Section</w:t>
            </w:r>
          </w:p>
        </w:tc>
        <w:tc>
          <w:tcPr>
            <w:tcW w:w="36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302 of the Sarbanes-Oxley Act of 2002.</w:t>
            </w:r>
          </w:p>
        </w:tc>
        <w:tc>
          <w:tcPr>
            <w:tcW w:w="20" w:type="dxa"/>
            <w:vAlign w:val="bottom"/>
            <w:tcBorders>
              <w:bottom w:val="single" w:sz="8" w:color="0000EE"/>
            </w:tcBorders>
          </w:tcPr>
          <w:p>
            <w:pPr>
              <w:spacing w:after="0"/>
              <w:rPr>
                <w:sz w:val="17"/>
                <w:szCs w:val="17"/>
                <w:color w:val="auto"/>
              </w:rPr>
            </w:pPr>
          </w:p>
        </w:tc>
        <w:tc>
          <w:tcPr>
            <w:tcW w:w="148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4"/>
              </w:rPr>
              <w:t>Certification of Principal Financial Officer Pursuant to</w:t>
            </w:r>
          </w:p>
        </w:tc>
        <w:tc>
          <w:tcPr>
            <w:tcW w:w="380" w:type="dxa"/>
            <w:vAlign w:val="bottom"/>
            <w:gridSpan w:val="5"/>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Rules 13a-14(a) and 15d-14(a) under the Securities</w:t>
            </w:r>
          </w:p>
        </w:tc>
        <w:tc>
          <w:tcPr>
            <w:tcW w:w="60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0"/>
              </w:rPr>
              <w:t>Exchange Act of 1934, as Adopted Pursuant to Section</w:t>
            </w:r>
          </w:p>
        </w:tc>
        <w:tc>
          <w:tcPr>
            <w:tcW w:w="36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302 of the Sarbanes-Oxley Act of 2002.</w:t>
            </w:r>
          </w:p>
        </w:tc>
        <w:tc>
          <w:tcPr>
            <w:tcW w:w="20" w:type="dxa"/>
            <w:vAlign w:val="bottom"/>
            <w:tcBorders>
              <w:bottom w:val="single" w:sz="8" w:color="0000EE"/>
            </w:tcBorders>
          </w:tcPr>
          <w:p>
            <w:pPr>
              <w:spacing w:after="0"/>
              <w:rPr>
                <w:sz w:val="17"/>
                <w:szCs w:val="17"/>
                <w:color w:val="auto"/>
              </w:rPr>
            </w:pPr>
          </w:p>
        </w:tc>
        <w:tc>
          <w:tcPr>
            <w:tcW w:w="148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3"/>
              </w:rPr>
              <w:t>Certification of Principal Executive Officer Pursuant to</w:t>
            </w:r>
          </w:p>
        </w:tc>
        <w:tc>
          <w:tcPr>
            <w:tcW w:w="340" w:type="dxa"/>
            <w:vAlign w:val="bottom"/>
            <w:gridSpan w:val="3"/>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89"/>
              </w:rPr>
              <w:t>18 U.S.C. Section 1350, as Adopted Pursuant to Section</w:t>
            </w:r>
          </w:p>
        </w:tc>
        <w:tc>
          <w:tcPr>
            <w:tcW w:w="28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906 of the Sarbanes-Oxley Act of 2002.</w:t>
            </w:r>
          </w:p>
        </w:tc>
        <w:tc>
          <w:tcPr>
            <w:tcW w:w="20" w:type="dxa"/>
            <w:vAlign w:val="bottom"/>
            <w:tcBorders>
              <w:bottom w:val="single" w:sz="8" w:color="0000EE"/>
            </w:tcBorders>
          </w:tcPr>
          <w:p>
            <w:pPr>
              <w:spacing w:after="0"/>
              <w:rPr>
                <w:sz w:val="17"/>
                <w:szCs w:val="17"/>
                <w:color w:val="auto"/>
              </w:rPr>
            </w:pPr>
          </w:p>
        </w:tc>
        <w:tc>
          <w:tcPr>
            <w:tcW w:w="148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4"/>
              </w:rPr>
              <w:t>Certification of Principal Financial Officer Pursuant to</w:t>
            </w:r>
          </w:p>
        </w:tc>
        <w:tc>
          <w:tcPr>
            <w:tcW w:w="380" w:type="dxa"/>
            <w:vAlign w:val="bottom"/>
            <w:gridSpan w:val="5"/>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89"/>
              </w:rPr>
              <w:t>18 U.S.C. Section 1350, as Adopted Pursuant to Section</w:t>
            </w:r>
          </w:p>
        </w:tc>
        <w:tc>
          <w:tcPr>
            <w:tcW w:w="28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906 of the Sarbanes-Oxley Act of 2002.</w:t>
            </w:r>
          </w:p>
        </w:tc>
        <w:tc>
          <w:tcPr>
            <w:tcW w:w="150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auto"/>
                <w:w w:val="99"/>
              </w:rPr>
              <w:t>Cover Page Interactive Data File (embedded within the</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auto"/>
              </w:rPr>
              <w:t>Inline XBRL document)</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right="40" w:hanging="479"/>
        <w:spacing w:after="0" w:line="203" w:lineRule="auto"/>
        <w:tabs>
          <w:tab w:leader="none" w:pos="500" w:val="left"/>
        </w:tabs>
        <w:numPr>
          <w:ilvl w:val="0"/>
          <w:numId w:val="59"/>
        </w:numPr>
        <w:rPr>
          <w:rFonts w:ascii="Arial" w:cs="Arial" w:eastAsia="Arial" w:hAnsi="Arial"/>
          <w:sz w:val="36"/>
          <w:szCs w:val="36"/>
          <w:color w:val="auto"/>
          <w:vertAlign w:val="superscript"/>
        </w:rPr>
      </w:pPr>
      <w:r>
        <w:rPr>
          <w:rFonts w:ascii="Arial" w:cs="Arial" w:eastAsia="Arial" w:hAnsi="Arial"/>
          <w:sz w:val="18"/>
          <w:szCs w:val="18"/>
          <w:color w:val="auto"/>
        </w:rPr>
        <w:t>The certifications attached as Exhibits 32.1 and 32.2 that accompany this quarterly report on Form 10-Q are not deemed filed with the Securities and Exchange Commission and are not to be incorporated by reference into any filing of ORIC 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20" w:type="dxa"/>
            <w:vAlign w:val="bottom"/>
            <w:gridSpan w:val="2"/>
          </w:tcPr>
          <w:p>
            <w:pPr>
              <w:ind w:left="1900"/>
              <w:spacing w:after="0"/>
              <w:rPr>
                <w:sz w:val="20"/>
                <w:szCs w:val="20"/>
                <w:color w:val="auto"/>
              </w:rPr>
            </w:pPr>
            <w:r>
              <w:rPr>
                <w:rFonts w:ascii="Arial" w:cs="Arial" w:eastAsia="Arial" w:hAnsi="Arial"/>
                <w:sz w:val="18"/>
                <w:szCs w:val="18"/>
                <w:b w:val="1"/>
                <w:bCs w:val="1"/>
                <w:color w:val="auto"/>
              </w:rPr>
              <w:t>ORIC Pharmaceuticals, Inc.</w:t>
            </w:r>
          </w:p>
        </w:tc>
      </w:tr>
      <w:tr>
        <w:trPr>
          <w:trHeight w:val="499"/>
        </w:trPr>
        <w:tc>
          <w:tcPr>
            <w:tcW w:w="3500" w:type="dxa"/>
            <w:vAlign w:val="bottom"/>
          </w:tcPr>
          <w:p>
            <w:pPr>
              <w:spacing w:after="0"/>
              <w:rPr>
                <w:sz w:val="20"/>
                <w:szCs w:val="20"/>
                <w:color w:val="auto"/>
              </w:rPr>
            </w:pPr>
            <w:r>
              <w:rPr>
                <w:rFonts w:ascii="Arial" w:cs="Arial" w:eastAsia="Arial" w:hAnsi="Arial"/>
                <w:sz w:val="18"/>
                <w:szCs w:val="18"/>
                <w:color w:val="auto"/>
              </w:rPr>
              <w:t>Date: August 10, 2023</w:t>
            </w:r>
          </w:p>
        </w:tc>
        <w:tc>
          <w:tcPr>
            <w:tcW w:w="2260" w:type="dxa"/>
            <w:vAlign w:val="bottom"/>
          </w:tcPr>
          <w:p>
            <w:pPr>
              <w:ind w:left="190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Jacob M. Chacko</w:t>
            </w:r>
          </w:p>
        </w:tc>
      </w:tr>
      <w:tr>
        <w:trPr>
          <w:trHeight w:val="228"/>
        </w:trPr>
        <w:tc>
          <w:tcPr>
            <w:tcW w:w="35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3"/>
              </w:rPr>
              <w:t>Jacob M. Chacko, M.D.</w:t>
            </w:r>
          </w:p>
        </w:tc>
      </w:tr>
      <w:tr>
        <w:trPr>
          <w:trHeight w:val="249"/>
        </w:trPr>
        <w:tc>
          <w:tcPr>
            <w:tcW w:w="35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60" w:type="dxa"/>
            <w:vAlign w:val="bottom"/>
          </w:tcPr>
          <w:p>
            <w:pPr>
              <w:jc w:val="center"/>
              <w:spacing w:after="0"/>
              <w:rPr>
                <w:sz w:val="20"/>
                <w:szCs w:val="20"/>
                <w:color w:val="auto"/>
              </w:rPr>
            </w:pPr>
            <w:r>
              <w:rPr>
                <w:rFonts w:ascii="Arial" w:cs="Arial" w:eastAsia="Arial" w:hAnsi="Arial"/>
                <w:sz w:val="13"/>
                <w:szCs w:val="13"/>
                <w:b w:val="1"/>
                <w:bCs w:val="1"/>
                <w:color w:val="auto"/>
                <w:w w:val="87"/>
              </w:rPr>
              <w:t>President and Chief Executive Officer</w:t>
            </w:r>
          </w:p>
        </w:tc>
      </w:tr>
      <w:tr>
        <w:trPr>
          <w:trHeight w:val="488"/>
        </w:trPr>
        <w:tc>
          <w:tcPr>
            <w:tcW w:w="3500" w:type="dxa"/>
            <w:vAlign w:val="bottom"/>
          </w:tcPr>
          <w:p>
            <w:pPr>
              <w:spacing w:after="0"/>
              <w:rPr>
                <w:sz w:val="20"/>
                <w:szCs w:val="20"/>
                <w:color w:val="auto"/>
              </w:rPr>
            </w:pPr>
            <w:r>
              <w:rPr>
                <w:rFonts w:ascii="Arial" w:cs="Arial" w:eastAsia="Arial" w:hAnsi="Arial"/>
                <w:sz w:val="18"/>
                <w:szCs w:val="18"/>
                <w:color w:val="auto"/>
              </w:rPr>
              <w:t>Date: August 10, 2023</w:t>
            </w:r>
          </w:p>
        </w:tc>
        <w:tc>
          <w:tcPr>
            <w:tcW w:w="2260" w:type="dxa"/>
            <w:vAlign w:val="bottom"/>
          </w:tcPr>
          <w:p>
            <w:pPr>
              <w:ind w:left="1900"/>
              <w:spacing w:after="0"/>
              <w:rPr>
                <w:sz w:val="20"/>
                <w:szCs w:val="20"/>
                <w:color w:val="auto"/>
              </w:rPr>
            </w:pPr>
            <w:r>
              <w:rPr>
                <w:rFonts w:ascii="Arial" w:cs="Arial" w:eastAsia="Arial" w:hAnsi="Arial"/>
                <w:sz w:val="18"/>
                <w:szCs w:val="18"/>
                <w:color w:val="auto"/>
              </w:rPr>
              <w:t>By:</w:t>
            </w:r>
          </w:p>
        </w:tc>
        <w:tc>
          <w:tcPr>
            <w:tcW w:w="5460" w:type="dxa"/>
            <w:vAlign w:val="bottom"/>
          </w:tcPr>
          <w:p>
            <w:pPr>
              <w:jc w:val="center"/>
              <w:spacing w:after="0"/>
              <w:rPr>
                <w:sz w:val="20"/>
                <w:szCs w:val="20"/>
                <w:color w:val="auto"/>
              </w:rPr>
            </w:pPr>
            <w:r>
              <w:rPr>
                <w:rFonts w:ascii="Arial" w:cs="Arial" w:eastAsia="Arial" w:hAnsi="Arial"/>
                <w:sz w:val="18"/>
                <w:szCs w:val="18"/>
                <w:color w:val="auto"/>
                <w:w w:val="95"/>
              </w:rPr>
              <w:t>/s/ Dominic Piscitelli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0</wp:posOffset>
            </wp:positionV>
            <wp:extent cx="34721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ind w:left="7840"/>
        <w:spacing w:after="0"/>
        <w:rPr>
          <w:sz w:val="20"/>
          <w:szCs w:val="20"/>
          <w:color w:val="auto"/>
        </w:rPr>
      </w:pPr>
      <w:r>
        <w:rPr>
          <w:rFonts w:ascii="Arial" w:cs="Arial" w:eastAsia="Arial" w:hAnsi="Arial"/>
          <w:sz w:val="18"/>
          <w:szCs w:val="18"/>
          <w:b w:val="1"/>
          <w:bCs w:val="1"/>
          <w:color w:val="auto"/>
        </w:rPr>
        <w:t>Dominic Piscitelli</w:t>
      </w:r>
    </w:p>
    <w:p>
      <w:pPr>
        <w:spacing w:after="0" w:line="117" w:lineRule="exact"/>
        <w:rPr>
          <w:sz w:val="20"/>
          <w:szCs w:val="20"/>
          <w:color w:val="auto"/>
        </w:rPr>
      </w:pPr>
    </w:p>
    <w:p>
      <w:pPr>
        <w:ind w:left="7880"/>
        <w:spacing w:after="0"/>
        <w:rPr>
          <w:sz w:val="20"/>
          <w:szCs w:val="20"/>
          <w:color w:val="auto"/>
        </w:rPr>
      </w:pPr>
      <w:r>
        <w:rPr>
          <w:rFonts w:ascii="Arial" w:cs="Arial" w:eastAsia="Arial" w:hAnsi="Arial"/>
          <w:sz w:val="13"/>
          <w:szCs w:val="13"/>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Jacob M. Chacko, certify that:</w:t>
      </w:r>
    </w:p>
    <w:p>
      <w:pPr>
        <w:spacing w:after="0" w:line="225"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ORIC Pharmaceuticals,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60" w:hanging="512"/>
        <w:spacing w:after="0" w:line="308" w:lineRule="auto"/>
        <w:tabs>
          <w:tab w:leader="none" w:pos="5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788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30"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Jacob M. Chacko, M.D.</w:t>
      </w:r>
    </w:p>
    <w:p>
      <w:pPr>
        <w:spacing w:after="0" w:line="3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Dominic Piscitelli, certify that:</w:t>
      </w:r>
    </w:p>
    <w:p>
      <w:pPr>
        <w:spacing w:after="0" w:line="225" w:lineRule="exact"/>
        <w:rPr>
          <w:sz w:val="20"/>
          <w:szCs w:val="20"/>
          <w:color w:val="auto"/>
        </w:rPr>
      </w:pPr>
    </w:p>
    <w:p>
      <w:pPr>
        <w:ind w:left="520" w:hanging="512"/>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ORIC Pharmaceuticals,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60" w:hanging="512"/>
        <w:spacing w:after="0" w:line="308" w:lineRule="auto"/>
        <w:tabs>
          <w:tab w:leader="none" w:pos="5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786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Dominic Piscitelli</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connection with the Quarterly Report of ORIC Pharmaceuticals, Inc. (the “Company”) on Form 10-Q for the period ended June 30, 2023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5680" w:val="left"/>
          <w:tab w:leader="none" w:pos="788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Jacob M. Chacko, M.D.</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connection with the Quarterly Report of ORIC Pharmaceuticals, Inc. (the “Company”) on Form 10-Q for the period ended June 30, 2023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5680" w:val="left"/>
          <w:tab w:leader="none" w:pos="786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Dominic Piscitelli</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2"/>
    </w:lvl>
  </w:abstractNum>
  <w:abstractNum w:abstractNumId="6">
    <w:nsid w:val="5577F8E1"/>
    <w:multiLevelType w:val="hybridMultilevel"/>
    <w:lvl w:ilvl="0">
      <w:lvlJc w:val="left"/>
      <w:lvlText w:val="%1."/>
      <w:numFmt w:val="decimal"/>
      <w:start w:val="3"/>
    </w:lvl>
  </w:abstractNum>
  <w:abstractNum w:abstractNumId="7">
    <w:nsid w:val="440BADFC"/>
    <w:multiLevelType w:val="hybridMultilevel"/>
    <w:lvl w:ilvl="0">
      <w:lvlJc w:val="left"/>
      <w:lvlText w:val="%1."/>
      <w:numFmt w:val="decimal"/>
      <w:start w:val="4"/>
    </w:lvl>
  </w:abstractNum>
  <w:abstractNum w:abstractNumId="8">
    <w:nsid w:val="5072367"/>
    <w:multiLevelType w:val="hybridMultilevel"/>
    <w:lvl w:ilvl="0">
      <w:lvlJc w:val="left"/>
      <w:lvlText w:val="%1."/>
      <w:numFmt w:val="decimal"/>
      <w:start w:val="6"/>
    </w:lvl>
  </w:abstractNum>
  <w:abstractNum w:abstractNumId="9">
    <w:nsid w:val="3804823E"/>
    <w:multiLevelType w:val="hybridMultilevel"/>
    <w:lvl w:ilvl="0">
      <w:lvlJc w:val="left"/>
      <w:lvlText w:val="%1."/>
      <w:numFmt w:val="decimal"/>
      <w:start w:val="7"/>
    </w:lvl>
  </w:abstractNum>
  <w:abstractNum w:abstractNumId="10">
    <w:nsid w:val="77465F01"/>
    <w:multiLevelType w:val="hybridMultilevel"/>
    <w:lvl w:ilvl="0">
      <w:lvlJc w:val="left"/>
      <w:lvlText w:val="%1."/>
      <w:numFmt w:val="decimal"/>
      <w:start w:val="8"/>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22" Type="http://schemas.openxmlformats.org/officeDocument/2006/relationships/hyperlink" Target="https://www.sec.gov/Archives/edgar/data/1796280/000119312523175501/d462067dex41.htm" TargetMode="External"/><Relationship Id="rId223" Type="http://schemas.openxmlformats.org/officeDocument/2006/relationships/hyperlink" Target="https://www.sec.gov/Archives/edgar/data/1796280/000119312523175501/d46206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2023-08-10T15:37:03Z</dcterms:created>
  <dcterms:modified xsi:type="dcterms:W3CDTF">2023-08-10T15:37:03Z</dcterms:modified>
</cp:coreProperties>
</file>